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3C0" w:rsidRPr="004D13C0" w:rsidRDefault="004D13C0" w:rsidP="004D13C0">
      <w:pPr>
        <w:outlineLvl w:val="0"/>
        <w:rPr>
          <w:rFonts w:ascii="Helvetica Neue" w:eastAsia="Times New Roman" w:hAnsi="Helvetica Neue" w:cs="Times New Roman"/>
          <w:b/>
          <w:bCs/>
          <w:color w:val="A51C30"/>
          <w:spacing w:val="-9"/>
          <w:kern w:val="36"/>
          <w:sz w:val="45"/>
          <w:szCs w:val="45"/>
          <w:lang w:eastAsia="en-GB"/>
        </w:rPr>
      </w:pPr>
      <w:r w:rsidRPr="004D13C0">
        <w:rPr>
          <w:rFonts w:ascii="Helvetica Neue" w:eastAsia="Times New Roman" w:hAnsi="Helvetica Neue" w:cs="Times New Roman"/>
          <w:b/>
          <w:bCs/>
          <w:color w:val="A51C30"/>
          <w:spacing w:val="-9"/>
          <w:kern w:val="36"/>
          <w:sz w:val="45"/>
          <w:szCs w:val="45"/>
          <w:lang w:eastAsia="en-GB"/>
        </w:rPr>
        <w:t>Healthy Eating Plate</w:t>
      </w:r>
    </w:p>
    <w:p w:rsidR="004D13C0" w:rsidRPr="004D13C0" w:rsidRDefault="004D13C0" w:rsidP="004D13C0">
      <w:pPr>
        <w:shd w:val="clear" w:color="auto" w:fill="FFFFFF"/>
        <w:spacing w:after="360"/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</w:pPr>
      <w:r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Use the Healthy Eating Plate as a guide for creating healthy, balanced meals—whether served at the table or packed in a lunch box. </w:t>
      </w:r>
      <w:r w:rsidRPr="004D13C0">
        <w:rPr>
          <w:rFonts w:ascii="Merriweather" w:eastAsia="Times New Roman" w:hAnsi="Merriweather" w:cs="Times New Roman"/>
          <w:i/>
          <w:iCs/>
          <w:color w:val="484C58"/>
          <w:sz w:val="25"/>
          <w:szCs w:val="25"/>
          <w:lang w:eastAsia="en-GB"/>
        </w:rPr>
        <w:t>Click on each section of the interactive image below to learn more.</w:t>
      </w:r>
    </w:p>
    <w:p w:rsidR="004D13C0" w:rsidRPr="004D13C0" w:rsidRDefault="00000000" w:rsidP="004D13C0">
      <w:pPr>
        <w:shd w:val="clear" w:color="auto" w:fill="FFFFFF"/>
        <w:rPr>
          <w:rFonts w:ascii="Segoe UI" w:eastAsia="Times New Roman" w:hAnsi="Segoe UI" w:cs="Segoe UI"/>
          <w:color w:val="484C58"/>
          <w:lang w:eastAsia="en-GB"/>
        </w:rPr>
      </w:pPr>
      <w:hyperlink r:id="rId5" w:history="1">
        <w:r w:rsidR="004D13C0" w:rsidRPr="004D13C0">
          <w:rPr>
            <w:rFonts w:ascii="Segoe UI" w:eastAsia="Times New Roman" w:hAnsi="Segoe UI" w:cs="Segoe UI"/>
            <w:color w:val="0000FF"/>
            <w:u w:val="single"/>
            <w:lang w:eastAsia="en-GB"/>
          </w:rPr>
          <w:t>HEALTHY OILS</w:t>
        </w:r>
      </w:hyperlink>
      <w:hyperlink r:id="rId6" w:history="1">
        <w:r w:rsidR="004D13C0" w:rsidRPr="004D13C0">
          <w:rPr>
            <w:rFonts w:ascii="Segoe UI" w:eastAsia="Times New Roman" w:hAnsi="Segoe UI" w:cs="Segoe UI"/>
            <w:color w:val="0000FF"/>
            <w:u w:val="single"/>
            <w:lang w:eastAsia="en-GB"/>
          </w:rPr>
          <w:t>WATER</w:t>
        </w:r>
      </w:hyperlink>
      <w:hyperlink r:id="rId7" w:history="1">
        <w:r w:rsidR="004D13C0" w:rsidRPr="004D13C0">
          <w:rPr>
            <w:rFonts w:ascii="Segoe UI" w:eastAsia="Times New Roman" w:hAnsi="Segoe UI" w:cs="Segoe UI"/>
            <w:color w:val="0000FF"/>
            <w:u w:val="single"/>
            <w:lang w:eastAsia="en-GB"/>
          </w:rPr>
          <w:t>VEGETABLES</w:t>
        </w:r>
      </w:hyperlink>
      <w:hyperlink r:id="rId8" w:history="1">
        <w:r w:rsidR="004D13C0" w:rsidRPr="004D13C0">
          <w:rPr>
            <w:rFonts w:ascii="Segoe UI" w:eastAsia="Times New Roman" w:hAnsi="Segoe UI" w:cs="Segoe UI"/>
            <w:color w:val="0000FF"/>
            <w:u w:val="single"/>
            <w:lang w:eastAsia="en-GB"/>
          </w:rPr>
          <w:t>FRUITS</w:t>
        </w:r>
      </w:hyperlink>
      <w:hyperlink r:id="rId9" w:history="1">
        <w:r w:rsidR="004D13C0" w:rsidRPr="004D13C0">
          <w:rPr>
            <w:rFonts w:ascii="Segoe UI" w:eastAsia="Times New Roman" w:hAnsi="Segoe UI" w:cs="Segoe UI"/>
            <w:color w:val="0000FF"/>
            <w:u w:val="single"/>
            <w:lang w:eastAsia="en-GB"/>
          </w:rPr>
          <w:t>HEALTHY PROTEIN</w:t>
        </w:r>
      </w:hyperlink>
      <w:hyperlink r:id="rId10" w:history="1">
        <w:r w:rsidR="004D13C0" w:rsidRPr="004D13C0">
          <w:rPr>
            <w:rFonts w:ascii="Segoe UI" w:eastAsia="Times New Roman" w:hAnsi="Segoe UI" w:cs="Segoe UI"/>
            <w:color w:val="0000FF"/>
            <w:u w:val="single"/>
            <w:lang w:eastAsia="en-GB"/>
          </w:rPr>
          <w:t>WHOLE GRAINS</w:t>
        </w:r>
      </w:hyperlink>
    </w:p>
    <w:p w:rsidR="004D13C0" w:rsidRPr="004D13C0" w:rsidRDefault="004D13C0" w:rsidP="004D13C0">
      <w:pPr>
        <w:shd w:val="clear" w:color="auto" w:fill="FFFFFF"/>
        <w:spacing w:after="360"/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</w:pPr>
      <w:r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Looking for a printable copy? </w:t>
      </w:r>
      <w:hyperlink r:id="rId11" w:tgtFrame="_blank" w:history="1">
        <w:r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Download one here</w:t>
        </w:r>
      </w:hyperlink>
      <w:r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, and hang it on your refrigerator to serve as a daily reminder when planning and preparing your meals! </w:t>
      </w:r>
      <w:hyperlink r:id="rId12" w:tgtFrame="_blank" w:history="1">
        <w:r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Translations of the Healthy Eating Plate</w:t>
        </w:r>
      </w:hyperlink>
      <w:r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 are also available in over 25 languages.</w:t>
      </w:r>
    </w:p>
    <w:p w:rsidR="004D13C0" w:rsidRPr="004D13C0" w:rsidRDefault="004D13C0" w:rsidP="004D13C0">
      <w:pPr>
        <w:shd w:val="clear" w:color="auto" w:fill="FFFFFF"/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484C58"/>
          <w:spacing w:val="-8"/>
          <w:sz w:val="36"/>
          <w:szCs w:val="36"/>
          <w:lang w:eastAsia="en-GB"/>
        </w:rPr>
      </w:pPr>
      <w:r w:rsidRPr="004D13C0">
        <w:rPr>
          <w:rFonts w:ascii="Helvetica Neue" w:eastAsia="Times New Roman" w:hAnsi="Helvetica Neue" w:cs="Times New Roman"/>
          <w:b/>
          <w:bCs/>
          <w:color w:val="484C58"/>
          <w:spacing w:val="-8"/>
          <w:sz w:val="36"/>
          <w:szCs w:val="36"/>
          <w:lang w:eastAsia="en-GB"/>
        </w:rPr>
        <w:t>Building a Healthy and Balanced Diet</w:t>
      </w:r>
    </w:p>
    <w:p w:rsidR="004D13C0" w:rsidRPr="004D13C0" w:rsidRDefault="004D13C0" w:rsidP="004D13C0">
      <w:pPr>
        <w:shd w:val="clear" w:color="auto" w:fill="FFFFFF"/>
        <w:spacing w:after="360"/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</w:pPr>
      <w:r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t>Make most of your meal </w:t>
      </w:r>
      <w:hyperlink r:id="rId13" w:tgtFrame="_blank" w:history="1">
        <w:r w:rsidRPr="004D13C0">
          <w:rPr>
            <w:rFonts w:ascii="Merriweather" w:eastAsia="Times New Roman" w:hAnsi="Merriweather" w:cs="Times New Roman"/>
            <w:b/>
            <w:bCs/>
            <w:color w:val="007EAD"/>
            <w:sz w:val="25"/>
            <w:szCs w:val="25"/>
            <w:lang w:eastAsia="en-GB"/>
          </w:rPr>
          <w:t>vegetables and fruits</w:t>
        </w:r>
      </w:hyperlink>
      <w:r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t> – ½ of your plate.</w:t>
      </w:r>
      <w:r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br/>
      </w:r>
      <w:r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Aim for color and variety, and remember that </w:t>
      </w:r>
      <w:hyperlink r:id="rId14" w:history="1">
        <w:r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potatoes</w:t>
        </w:r>
      </w:hyperlink>
      <w:r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 don’t count as vegetables on the Healthy Eating Plate because of their negative impact on blood sugar.</w:t>
      </w:r>
    </w:p>
    <w:p w:rsidR="004D13C0" w:rsidRPr="004D13C0" w:rsidRDefault="004D13C0" w:rsidP="004D13C0">
      <w:pPr>
        <w:shd w:val="clear" w:color="auto" w:fill="FFFFFF"/>
        <w:spacing w:after="360"/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</w:pPr>
      <w:r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t>Go for </w:t>
      </w:r>
      <w:hyperlink r:id="rId15" w:history="1">
        <w:r w:rsidRPr="004D13C0">
          <w:rPr>
            <w:rFonts w:ascii="Merriweather" w:eastAsia="Times New Roman" w:hAnsi="Merriweather" w:cs="Times New Roman"/>
            <w:b/>
            <w:bCs/>
            <w:color w:val="007EAD"/>
            <w:sz w:val="25"/>
            <w:szCs w:val="25"/>
            <w:lang w:eastAsia="en-GB"/>
          </w:rPr>
          <w:t>whole grains</w:t>
        </w:r>
      </w:hyperlink>
      <w:r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t> – ¼ of your plate.</w:t>
      </w:r>
      <w:r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br/>
      </w:r>
      <w:r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Whole and intact grains—whole wheat, barley, wheat berries, </w:t>
      </w:r>
      <w:hyperlink r:id="rId16" w:history="1">
        <w:r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quinoa</w:t>
        </w:r>
      </w:hyperlink>
      <w:r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, </w:t>
      </w:r>
      <w:hyperlink r:id="rId17" w:history="1">
        <w:r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oats</w:t>
        </w:r>
      </w:hyperlink>
      <w:r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, </w:t>
      </w:r>
      <w:hyperlink r:id="rId18" w:history="1">
        <w:r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brown rice</w:t>
        </w:r>
      </w:hyperlink>
      <w:r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, and foods made with them, such as whole wheat pasta—have a milder effect on blood sugar and insulin than white bread, white rice, and other refined grains.</w:t>
      </w:r>
    </w:p>
    <w:p w:rsidR="004D13C0" w:rsidRPr="004D13C0" w:rsidRDefault="00000000" w:rsidP="004D13C0">
      <w:pPr>
        <w:shd w:val="clear" w:color="auto" w:fill="FFFFFF"/>
        <w:spacing w:after="360"/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</w:pPr>
      <w:hyperlink r:id="rId19" w:history="1">
        <w:r w:rsidR="004D13C0" w:rsidRPr="004D13C0">
          <w:rPr>
            <w:rFonts w:ascii="Merriweather" w:eastAsia="Times New Roman" w:hAnsi="Merriweather" w:cs="Times New Roman"/>
            <w:b/>
            <w:bCs/>
            <w:color w:val="007EAD"/>
            <w:sz w:val="25"/>
            <w:szCs w:val="25"/>
            <w:lang w:eastAsia="en-GB"/>
          </w:rPr>
          <w:t>Protein power</w:t>
        </w:r>
      </w:hyperlink>
      <w:r w:rsidR="004D13C0"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t> – ¼ of your plate.</w:t>
      </w:r>
      <w:r w:rsidR="004D13C0"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br/>
      </w:r>
      <w:r w:rsidR="004D13C0"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Fish, poultry, </w:t>
      </w:r>
      <w:hyperlink r:id="rId20" w:history="1">
        <w:r w:rsidR="004D13C0"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beans</w:t>
        </w:r>
      </w:hyperlink>
      <w:r w:rsidR="004D13C0"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, and </w:t>
      </w:r>
      <w:hyperlink r:id="rId21" w:history="1">
        <w:r w:rsidR="004D13C0"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nuts</w:t>
        </w:r>
      </w:hyperlink>
      <w:r w:rsidR="004D13C0"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 are all healthy, versatile protein sources—they can be mixed into salads, and pair well with vegetables on a plate. Limit red meat, and avoid processed meats such as bacon and sausage.</w:t>
      </w:r>
    </w:p>
    <w:p w:rsidR="004D13C0" w:rsidRPr="004D13C0" w:rsidRDefault="00000000" w:rsidP="004D13C0">
      <w:pPr>
        <w:shd w:val="clear" w:color="auto" w:fill="FFFFFF"/>
        <w:spacing w:after="360"/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</w:pPr>
      <w:hyperlink r:id="rId22" w:history="1">
        <w:r w:rsidR="004D13C0" w:rsidRPr="004D13C0">
          <w:rPr>
            <w:rFonts w:ascii="Merriweather" w:eastAsia="Times New Roman" w:hAnsi="Merriweather" w:cs="Times New Roman"/>
            <w:b/>
            <w:bCs/>
            <w:color w:val="007EAD"/>
            <w:sz w:val="25"/>
            <w:szCs w:val="25"/>
            <w:lang w:eastAsia="en-GB"/>
          </w:rPr>
          <w:t>Healthy plant oils</w:t>
        </w:r>
      </w:hyperlink>
      <w:r w:rsidR="004D13C0"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t> – in moderation.</w:t>
      </w:r>
      <w:r w:rsidR="004D13C0"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br/>
      </w:r>
      <w:r w:rsidR="004D13C0"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Choose healthy vegetable oils like olive, canola, soy, corn, sunflower, peanut, and others, and avoid partially hydrogenated oils, which contain unhealthy trans fats. Remember that </w:t>
      </w:r>
      <w:hyperlink r:id="rId23" w:tgtFrame="_blank" w:history="1">
        <w:r w:rsidR="004D13C0"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low-fat does not mean “healthy.”</w:t>
        </w:r>
      </w:hyperlink>
    </w:p>
    <w:p w:rsidR="004D13C0" w:rsidRPr="004D13C0" w:rsidRDefault="00000000" w:rsidP="004D13C0">
      <w:pPr>
        <w:shd w:val="clear" w:color="auto" w:fill="FFFFFF"/>
        <w:spacing w:after="360"/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</w:pPr>
      <w:hyperlink r:id="rId24" w:history="1">
        <w:r w:rsidR="004D13C0" w:rsidRPr="004D13C0">
          <w:rPr>
            <w:rFonts w:ascii="Merriweather" w:eastAsia="Times New Roman" w:hAnsi="Merriweather" w:cs="Times New Roman"/>
            <w:b/>
            <w:bCs/>
            <w:color w:val="007EAD"/>
            <w:sz w:val="25"/>
            <w:szCs w:val="25"/>
            <w:lang w:eastAsia="en-GB"/>
          </w:rPr>
          <w:t>Drink water, coffee, or tea</w:t>
        </w:r>
      </w:hyperlink>
      <w:r w:rsidR="004D13C0"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t>.</w:t>
      </w:r>
      <w:r w:rsidR="004D13C0"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br/>
      </w:r>
      <w:r w:rsidR="004D13C0"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Skip </w:t>
      </w:r>
      <w:hyperlink r:id="rId25" w:history="1">
        <w:r w:rsidR="004D13C0"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sugary drinks</w:t>
        </w:r>
      </w:hyperlink>
      <w:r w:rsidR="004D13C0"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, limit </w:t>
      </w:r>
      <w:hyperlink r:id="rId26" w:history="1">
        <w:r w:rsidR="004D13C0"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milk</w:t>
        </w:r>
      </w:hyperlink>
      <w:r w:rsidR="004D13C0"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 and </w:t>
      </w:r>
      <w:hyperlink r:id="rId27" w:history="1">
        <w:r w:rsidR="004D13C0"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dairy products</w:t>
        </w:r>
      </w:hyperlink>
      <w:r w:rsidR="004D13C0"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 to one to two servings per day, and limit juice to a small glass per day.</w:t>
      </w:r>
    </w:p>
    <w:p w:rsidR="004D13C0" w:rsidRPr="004D13C0" w:rsidRDefault="00000000" w:rsidP="004D13C0">
      <w:pPr>
        <w:shd w:val="clear" w:color="auto" w:fill="FFFFFF"/>
        <w:spacing w:after="360"/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</w:pPr>
      <w:hyperlink r:id="rId28" w:history="1">
        <w:r w:rsidR="004D13C0" w:rsidRPr="004D13C0">
          <w:rPr>
            <w:rFonts w:ascii="Merriweather" w:eastAsia="Times New Roman" w:hAnsi="Merriweather" w:cs="Times New Roman"/>
            <w:b/>
            <w:bCs/>
            <w:color w:val="007EAD"/>
            <w:sz w:val="25"/>
            <w:szCs w:val="25"/>
            <w:lang w:eastAsia="en-GB"/>
          </w:rPr>
          <w:t>Stay active</w:t>
        </w:r>
      </w:hyperlink>
      <w:r w:rsidR="004D13C0"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t>.</w:t>
      </w:r>
      <w:r w:rsidR="004D13C0"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br/>
      </w:r>
      <w:r w:rsidR="004D13C0"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The red figure running across the Healthy Eating Plate’s placemat is a reminder that staying active is also important in </w:t>
      </w:r>
      <w:hyperlink r:id="rId29" w:tgtFrame="_blank" w:history="1">
        <w:r w:rsidR="004D13C0" w:rsidRPr="004D13C0">
          <w:rPr>
            <w:rFonts w:ascii="Merriweather" w:eastAsia="Times New Roman" w:hAnsi="Merriweather" w:cs="Times New Roman"/>
            <w:color w:val="007EAD"/>
            <w:sz w:val="25"/>
            <w:szCs w:val="25"/>
            <w:lang w:eastAsia="en-GB"/>
          </w:rPr>
          <w:t>weight control</w:t>
        </w:r>
      </w:hyperlink>
      <w:r w:rsidR="004D13C0" w:rsidRPr="004D13C0"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  <w:t>.</w:t>
      </w:r>
    </w:p>
    <w:p w:rsidR="004D13C0" w:rsidRPr="004D13C0" w:rsidRDefault="004D13C0" w:rsidP="004D13C0">
      <w:pPr>
        <w:shd w:val="clear" w:color="auto" w:fill="FFFFFF"/>
        <w:spacing w:after="360"/>
        <w:rPr>
          <w:rFonts w:ascii="Merriweather" w:eastAsia="Times New Roman" w:hAnsi="Merriweather" w:cs="Times New Roman"/>
          <w:color w:val="484C58"/>
          <w:sz w:val="25"/>
          <w:szCs w:val="25"/>
          <w:lang w:eastAsia="en-GB"/>
        </w:rPr>
      </w:pPr>
      <w:r w:rsidRPr="004D13C0">
        <w:rPr>
          <w:rFonts w:ascii="Merriweather" w:eastAsia="Times New Roman" w:hAnsi="Merriweather" w:cs="Times New Roman"/>
          <w:b/>
          <w:bCs/>
          <w:color w:val="484C58"/>
          <w:sz w:val="25"/>
          <w:szCs w:val="25"/>
          <w:lang w:eastAsia="en-GB"/>
        </w:rPr>
        <w:t>The main message of the Healthy Eating Plate is to focus on diet quality:</w:t>
      </w:r>
    </w:p>
    <w:p w:rsidR="004D13C0" w:rsidRPr="004D13C0" w:rsidRDefault="004D13C0" w:rsidP="004D13C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484C58"/>
          <w:lang w:eastAsia="en-GB"/>
        </w:rPr>
      </w:pPr>
      <w:r w:rsidRPr="004D13C0">
        <w:rPr>
          <w:rFonts w:ascii="Merriweather" w:eastAsia="Times New Roman" w:hAnsi="Merriweather" w:cs="Times New Roman"/>
          <w:color w:val="484C58"/>
          <w:lang w:eastAsia="en-GB"/>
        </w:rPr>
        <w:t>The </w:t>
      </w:r>
      <w:hyperlink r:id="rId30" w:history="1">
        <w:r w:rsidRPr="004D13C0">
          <w:rPr>
            <w:rFonts w:ascii="Merriweather" w:eastAsia="Times New Roman" w:hAnsi="Merriweather" w:cs="Times New Roman"/>
            <w:i/>
            <w:iCs/>
            <w:color w:val="007EAD"/>
            <w:lang w:eastAsia="en-GB"/>
          </w:rPr>
          <w:t>type of carbohydrate</w:t>
        </w:r>
      </w:hyperlink>
      <w:r w:rsidRPr="004D13C0">
        <w:rPr>
          <w:rFonts w:ascii="Merriweather" w:eastAsia="Times New Roman" w:hAnsi="Merriweather" w:cs="Times New Roman"/>
          <w:color w:val="484C58"/>
          <w:lang w:eastAsia="en-GB"/>
        </w:rPr>
        <w:t> in the diet is more important than the</w:t>
      </w:r>
      <w:r w:rsidRPr="004D13C0">
        <w:rPr>
          <w:rFonts w:ascii="Merriweather" w:eastAsia="Times New Roman" w:hAnsi="Merriweather" w:cs="Times New Roman"/>
          <w:i/>
          <w:iCs/>
          <w:color w:val="484C58"/>
          <w:lang w:eastAsia="en-GB"/>
        </w:rPr>
        <w:t> amount of carbohydrate</w:t>
      </w:r>
      <w:r w:rsidRPr="004D13C0">
        <w:rPr>
          <w:rFonts w:ascii="Merriweather" w:eastAsia="Times New Roman" w:hAnsi="Merriweather" w:cs="Times New Roman"/>
          <w:color w:val="484C58"/>
          <w:lang w:eastAsia="en-GB"/>
        </w:rPr>
        <w:t> in the diet, because some sources of carbohydrate—like vegetables (other than potatoes), fruits, whole grains, and beans—are healthier than others.</w:t>
      </w:r>
    </w:p>
    <w:p w:rsidR="00ED02B7" w:rsidRPr="00ED02B7" w:rsidRDefault="004D13C0" w:rsidP="00ED02B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erriweather" w:eastAsia="Times New Roman" w:hAnsi="Merriweather" w:cs="Times New Roman"/>
          <w:color w:val="484C58"/>
          <w:lang w:eastAsia="en-GB"/>
        </w:rPr>
      </w:pPr>
      <w:r w:rsidRPr="004D13C0">
        <w:rPr>
          <w:rFonts w:ascii="Merriweather" w:eastAsia="Times New Roman" w:hAnsi="Merriweather" w:cs="Times New Roman"/>
          <w:color w:val="484C58"/>
          <w:lang w:eastAsia="en-GB"/>
        </w:rPr>
        <w:t>The Healthy Eating Plate also advises consumers to avoid </w:t>
      </w:r>
      <w:hyperlink r:id="rId31" w:tgtFrame="_blank" w:history="1">
        <w:r w:rsidRPr="004D13C0">
          <w:rPr>
            <w:rFonts w:ascii="Merriweather" w:eastAsia="Times New Roman" w:hAnsi="Merriweather" w:cs="Times New Roman"/>
            <w:color w:val="007EAD"/>
            <w:lang w:eastAsia="en-GB"/>
          </w:rPr>
          <w:t>sugary beverages</w:t>
        </w:r>
      </w:hyperlink>
      <w:r w:rsidRPr="004D13C0">
        <w:rPr>
          <w:rFonts w:ascii="Merriweather" w:eastAsia="Times New Roman" w:hAnsi="Merriweather" w:cs="Times New Roman"/>
          <w:color w:val="484C58"/>
          <w:lang w:eastAsia="en-GB"/>
        </w:rPr>
        <w:t>, a major source of calories—usually with little nutritional value—in the American diet.</w:t>
      </w:r>
    </w:p>
    <w:p w:rsidR="004D13C0" w:rsidRPr="004D13C0" w:rsidRDefault="004D13C0" w:rsidP="004D13C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Merriweather" w:eastAsia="Times New Roman" w:hAnsi="Merriweather" w:cs="Times New Roman"/>
          <w:color w:val="484C58"/>
          <w:lang w:eastAsia="en-GB"/>
        </w:rPr>
      </w:pPr>
      <w:r w:rsidRPr="004D13C0">
        <w:rPr>
          <w:rFonts w:ascii="Merriweather" w:eastAsia="Times New Roman" w:hAnsi="Merriweather" w:cs="Times New Roman"/>
          <w:color w:val="484C58"/>
          <w:lang w:eastAsia="en-GB"/>
        </w:rPr>
        <w:t>The Healthy Eating Plate encourages consumers to use </w:t>
      </w:r>
      <w:hyperlink r:id="rId32" w:tgtFrame="_blank" w:history="1">
        <w:r w:rsidRPr="004D13C0">
          <w:rPr>
            <w:rFonts w:ascii="Merriweather" w:eastAsia="Times New Roman" w:hAnsi="Merriweather" w:cs="Times New Roman"/>
            <w:color w:val="007EAD"/>
            <w:lang w:eastAsia="en-GB"/>
          </w:rPr>
          <w:t>healthy oils</w:t>
        </w:r>
      </w:hyperlink>
      <w:r w:rsidRPr="004D13C0">
        <w:rPr>
          <w:rFonts w:ascii="Merriweather" w:eastAsia="Times New Roman" w:hAnsi="Merriweather" w:cs="Times New Roman"/>
          <w:color w:val="484C58"/>
          <w:lang w:eastAsia="en-GB"/>
        </w:rPr>
        <w:t>, and it does not set a maximum on the percentage of calories people should get each day from healthy sources of fat. In this way, the Healthy Eating Plate recommends the opposite of the low-fat message promoted for decades by the USDA.</w:t>
      </w:r>
    </w:p>
    <w:p w:rsidR="00FE6BDD" w:rsidRDefault="00FE6BDD"/>
    <w:sectPr w:rsidR="00FE6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4612A"/>
    <w:multiLevelType w:val="multilevel"/>
    <w:tmpl w:val="CBD6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02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C0"/>
    <w:rsid w:val="004D13C0"/>
    <w:rsid w:val="00DF579A"/>
    <w:rsid w:val="00ED02B7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620B29"/>
  <w15:chartTrackingRefBased/>
  <w15:docId w15:val="{EA2DF885-7BE4-9141-A7EC-4B50714F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3C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D13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3C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13C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D13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4D13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D13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26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ionsource.hsph.harvard.edu/what-should-you-eat/vegetables-and-fruits/" TargetMode="External"/><Relationship Id="rId18" Type="http://schemas.openxmlformats.org/officeDocument/2006/relationships/hyperlink" Target="https://nutritionsource.hsph.harvard.edu/food-features/rice/" TargetMode="External"/><Relationship Id="rId26" Type="http://schemas.openxmlformats.org/officeDocument/2006/relationships/hyperlink" Target="https://nutritionsource.hsph.harvard.edu/mil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utritionsource.hsph.harvard.edu/nuts-for-the-heart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nutritionsource.hsph.harvard.edu/what-should-you-eat/vegetables-and-fruits/" TargetMode="External"/><Relationship Id="rId12" Type="http://schemas.openxmlformats.org/officeDocument/2006/relationships/hyperlink" Target="https://nutritionsource.hsph.harvard.edu/healthy-eating-plate/translations/" TargetMode="External"/><Relationship Id="rId17" Type="http://schemas.openxmlformats.org/officeDocument/2006/relationships/hyperlink" Target="https://nutritionsource.hsph.harvard.edu/food-features/oats/" TargetMode="External"/><Relationship Id="rId25" Type="http://schemas.openxmlformats.org/officeDocument/2006/relationships/hyperlink" Target="https://nutritionsource.hsph.harvard.edu/healthy-drinks/sugary-drink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utritionsource.hsph.harvard.edu/food-features/quinoa/" TargetMode="External"/><Relationship Id="rId20" Type="http://schemas.openxmlformats.org/officeDocument/2006/relationships/hyperlink" Target="https://nutritionsource.hsph.harvard.edu/legumes-pulses/" TargetMode="External"/><Relationship Id="rId29" Type="http://schemas.openxmlformats.org/officeDocument/2006/relationships/hyperlink" Target="https://nutritionsource.hsph.harvard.edu/healthy-weigh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utritionsource.hsph.harvard.edu/healthy-drinks/" TargetMode="External"/><Relationship Id="rId11" Type="http://schemas.openxmlformats.org/officeDocument/2006/relationships/hyperlink" Target="https://nutritionsource.hsph.harvard.edu/wp-content/uploads/2012/09/HEPJan2015.jpg" TargetMode="External"/><Relationship Id="rId24" Type="http://schemas.openxmlformats.org/officeDocument/2006/relationships/hyperlink" Target="https://nutritionsource.hsph.harvard.edu/healthy-drinks/" TargetMode="External"/><Relationship Id="rId32" Type="http://schemas.openxmlformats.org/officeDocument/2006/relationships/hyperlink" Target="https://nutritionsource.hsph.harvard.edu/what-should-you-eat/fats-and-cholesterol/" TargetMode="External"/><Relationship Id="rId5" Type="http://schemas.openxmlformats.org/officeDocument/2006/relationships/hyperlink" Target="https://nutritionsource.hsph.harvard.edu/what-should-you-eat/fats-and-cholesterol/" TargetMode="External"/><Relationship Id="rId15" Type="http://schemas.openxmlformats.org/officeDocument/2006/relationships/hyperlink" Target="https://nutritionsource.hsph.harvard.edu/what-should-you-eat/whole-grains/" TargetMode="External"/><Relationship Id="rId23" Type="http://schemas.openxmlformats.org/officeDocument/2006/relationships/hyperlink" Target="https://nutritionsource.hsph.harvard.edu/2012/06/21/ask-the-expert-healthy-fats/" TargetMode="External"/><Relationship Id="rId28" Type="http://schemas.openxmlformats.org/officeDocument/2006/relationships/hyperlink" Target="https://nutritionsource.hsph.harvard.edu/staying-active/" TargetMode="External"/><Relationship Id="rId10" Type="http://schemas.openxmlformats.org/officeDocument/2006/relationships/hyperlink" Target="https://nutritionsource.hsph.harvard.edu/what-should-you-eat/whole-grains/" TargetMode="External"/><Relationship Id="rId19" Type="http://schemas.openxmlformats.org/officeDocument/2006/relationships/hyperlink" Target="https://nutritionsource.hsph.harvard.edu/what-should-you-eat/protein/" TargetMode="External"/><Relationship Id="rId31" Type="http://schemas.openxmlformats.org/officeDocument/2006/relationships/hyperlink" Target="https://nutritionsource.hsph.harvard.edu/healthy-drinks/sugary-drin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tritionsource.hsph.harvard.edu/what-should-you-eat/protein/" TargetMode="External"/><Relationship Id="rId14" Type="http://schemas.openxmlformats.org/officeDocument/2006/relationships/hyperlink" Target="https://nutritionsource.hsph.harvard.edu/potatoes/" TargetMode="External"/><Relationship Id="rId22" Type="http://schemas.openxmlformats.org/officeDocument/2006/relationships/hyperlink" Target="https://nutritionsource.hsph.harvard.edu/what-should-you-eat/fats-and-cholesterol/" TargetMode="External"/><Relationship Id="rId27" Type="http://schemas.openxmlformats.org/officeDocument/2006/relationships/hyperlink" Target="https://nutritionsource.hsph.harvard.edu/dairy/" TargetMode="External"/><Relationship Id="rId30" Type="http://schemas.openxmlformats.org/officeDocument/2006/relationships/hyperlink" Target="https://nutritionsource.hsph.harvard.edu/carbohydrates/" TargetMode="External"/><Relationship Id="rId8" Type="http://schemas.openxmlformats.org/officeDocument/2006/relationships/hyperlink" Target="https://nutritionsource.hsph.harvard.edu/what-should-you-eat/vegetables-and-fru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2025-09-08T07:39:00Z</dcterms:created>
  <dcterms:modified xsi:type="dcterms:W3CDTF">2025-09-08T12:05:00Z</dcterms:modified>
</cp:coreProperties>
</file>