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ver-letter"/>
    <w:p>
      <w:pPr>
        <w:pStyle w:val="Heading1"/>
      </w:pPr>
      <w:r>
        <w:t xml:space="preserve">Cover Letter</w:t>
      </w:r>
    </w:p>
    <w:p>
      <w:pPr>
        <w:pStyle w:val="FirstParagraph"/>
      </w:pPr>
      <w:r>
        <w:t xml:space="preserve">Nadim Mahmud Dipu</w:t>
      </w:r>
      <w:r>
        <w:t xml:space="preserve"> </w:t>
      </w:r>
      <w:r>
        <w:t xml:space="preserve">Brac University, Dhaka, Bangladesh</w:t>
      </w:r>
      <w:r>
        <w:t xml:space="preserve"> </w:t>
      </w:r>
      <w:r>
        <w:t xml:space="preserve">nadim.mahmud.dipu@g.bracu.ac.bd</w:t>
      </w:r>
      <w:r>
        <w:t xml:space="preserve"> </w:t>
      </w:r>
      <w:r>
        <w:t xml:space="preserve">ORCID: 0009-0005-8767-1636</w:t>
      </w:r>
    </w:p>
    <w:p>
      <w:pPr>
        <w:pStyle w:val="BodyText"/>
      </w:pPr>
      <w:r>
        <w:t xml:space="preserve">Date: _______________</w:t>
      </w:r>
    </w:p>
    <w:p>
      <w:pPr>
        <w:pStyle w:val="BodyText"/>
      </w:pPr>
      <w:r>
        <w:t xml:space="preserve">To the Editor-in-Chief</w:t>
      </w:r>
      <w:r>
        <w:t xml:space="preserve"> </w:t>
      </w:r>
      <w:r>
        <w:t xml:space="preserve">International Journal of Approximate Reasoning</w:t>
      </w:r>
      <w:r>
        <w:t xml:space="preserve"> </w:t>
      </w:r>
      <w:r>
        <w:t xml:space="preserve">Elsevier</w:t>
      </w:r>
    </w:p>
    <w:p>
      <w:pPr>
        <w:pStyle w:val="BodyText"/>
      </w:pPr>
      <w:r>
        <w:t xml:space="preserve">Dear Editor-in-Chief,</w:t>
      </w:r>
    </w:p>
    <w:p>
      <w:pPr>
        <w:pStyle w:val="BodyText"/>
      </w:pPr>
      <w:r>
        <w:t xml:space="preserve">I am pleased to submit my manuscript,</w:t>
      </w:r>
      <w:r>
        <w:t xml:space="preserve"> </w:t>
      </w:r>
      <w:r>
        <w:rPr>
          <w:b/>
          <w:bCs/>
        </w:rPr>
        <w:t xml:space="preserve">“When does group-conditional conformal</w:t>
      </w:r>
      <w:r>
        <w:rPr>
          <w:b/>
          <w:bCs/>
        </w:rPr>
        <w:t xml:space="preserve"> </w:t>
      </w:r>
      <w:r>
        <w:rPr>
          <w:b/>
          <w:bCs/>
        </w:rPr>
        <w:t xml:space="preserve">calibration help? Subgroup coverage, small-group failure, and an uncertainty audit</w:t>
      </w:r>
      <w:r>
        <w:rPr>
          <w:b/>
          <w:bCs/>
        </w:rPr>
        <w:t xml:space="preserve"> </w:t>
      </w:r>
      <w:r>
        <w:rPr>
          <w:b/>
          <w:bCs/>
        </w:rPr>
        <w:t xml:space="preserve">of TabPFN,”</w:t>
      </w:r>
      <w:r>
        <w:t xml:space="preserve"> </w:t>
      </w:r>
      <w:r>
        <w:t xml:space="preserve">for consideration as a research article in the</w:t>
      </w:r>
      <w:r>
        <w:t xml:space="preserve"> </w:t>
      </w:r>
      <w:r>
        <w:rPr>
          <w:i/>
          <w:iCs/>
        </w:rPr>
        <w:t xml:space="preserve">International 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Approximate Reasoning</w:t>
      </w:r>
      <w:r>
        <w:t xml:space="preserve">.</w:t>
      </w:r>
    </w:p>
    <w:p>
      <w:pPr>
        <w:pStyle w:val="BodyText"/>
      </w:pPr>
      <w:r>
        <w:t xml:space="preserve">Split conformal prediction equips any classifier with finite-sample, distribution-free</w:t>
      </w:r>
      <w:r>
        <w:t xml:space="preserve"> </w:t>
      </w:r>
      <w:r>
        <w:rPr>
          <w:i/>
          <w:iCs/>
        </w:rPr>
        <w:t xml:space="preserve">marginal</w:t>
      </w:r>
      <w:r>
        <w:t xml:space="preserve"> </w:t>
      </w:r>
      <w:r>
        <w:t xml:space="preserve">coverage, but marginal validity is silent about how miscoverage is</w:t>
      </w:r>
      <w:r>
        <w:t xml:space="preserve"> </w:t>
      </w:r>
      <w:r>
        <w:t xml:space="preserve">distributed across protected subgroups — precisely the property that matters when</w:t>
      </w:r>
      <w:r>
        <w:t xml:space="preserve"> </w:t>
      </w:r>
      <w:r>
        <w:t xml:space="preserve">prediction sets gate consequential decisions. This paper studies, both empirically and</w:t>
      </w:r>
      <w:r>
        <w:t xml:space="preserve"> </w:t>
      </w:r>
      <w:r>
        <w:t xml:space="preserve">through an exact finite-sample analysis,</w:t>
      </w:r>
      <w:r>
        <w:t xml:space="preserve"> </w:t>
      </w:r>
      <w:r>
        <w:rPr>
          <w:b/>
          <w:bCs/>
        </w:rPr>
        <w:t xml:space="preserve">when group-conditional (Mondrian) calibration</w:t>
      </w:r>
      <w:r>
        <w:rPr>
          <w:b/>
          <w:bCs/>
        </w:rPr>
        <w:t xml:space="preserve"> </w:t>
      </w:r>
      <w:r>
        <w:rPr>
          <w:b/>
          <w:bCs/>
        </w:rPr>
        <w:t xml:space="preserve">repairs subgroup miscoverage and when it makes it worse.</w:t>
      </w:r>
      <w:r>
        <w:t xml:space="preserve"> </w:t>
      </w:r>
      <w:r>
        <w:t xml:space="preserve">The central contributions are: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 exact, pre-deployment null model</w:t>
      </w:r>
      <w:r>
        <w:t xml:space="preserve"> </w:t>
      </w:r>
      <w:r>
        <w:t xml:space="preserve">for the realized per-group coverage gap. Using</w:t>
      </w:r>
      <w:r>
        <w:t xml:space="preserve"> </w:t>
      </w:r>
      <w:r>
        <w:t xml:space="preserve">the Beta law of split-conformal coverage together with a binomial test-measurement</w:t>
      </w:r>
      <w:r>
        <w:t xml:space="preserve"> </w:t>
      </w:r>
      <w:r>
        <w:t xml:space="preserve">layer, the full distribution of the gap statistic</w:t>
      </w:r>
      <w:r>
        <w:t xml:space="preserve"> </w:t>
      </w:r>
      <w:r>
        <w:rPr>
          <w:i/>
          <w:iCs/>
        </w:rPr>
        <w:t xml:space="preserve">under zero structural bias</w:t>
      </w:r>
      <w:r>
        <w:t xml:space="preserve"> </w:t>
      </w:r>
      <w:r>
        <w:t xml:space="preserve">is</w:t>
      </w:r>
      <w:r>
        <w:t xml:space="preserve"> </w:t>
      </w:r>
      <w:r>
        <w:t xml:space="preserve">computed from the target level, the per-group calibration counts, and the test stratum</w:t>
      </w:r>
      <w:r>
        <w:t xml:space="preserve"> </w:t>
      </w:r>
      <w:r>
        <w:t xml:space="preserve">sizes alone — before any group-conditional calibration is run. It decomposes any</w:t>
      </w:r>
      <w:r>
        <w:t xml:space="preserve"> </w:t>
      </w:r>
      <w:r>
        <w:t xml:space="preserve">observed gap into structural bias and sampling noise and yields an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test of</w:t>
      </w:r>
      <w:r>
        <w:t xml:space="preserve"> </w:t>
      </w:r>
      <w:r>
        <w:t xml:space="preserve">whether stratification can help on a given axis.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controlled demonstration that plain Mondrian calibration can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increase</w:t>
      </w:r>
      <w:r>
        <w:rPr>
          <w:b/>
          <w:bCs/>
        </w:rPr>
        <w:t xml:space="preserve"> </w:t>
      </w:r>
      <w:r>
        <w:rPr>
          <w:b/>
          <w:bCs/>
        </w:rPr>
        <w:t xml:space="preserve">the realized</w:t>
      </w:r>
      <w:r>
        <w:rPr>
          <w:b/>
          <w:bCs/>
        </w:rPr>
        <w:t xml:space="preserve"> </w:t>
      </w:r>
      <w:r>
        <w:rPr>
          <w:b/>
          <w:bCs/>
        </w:rPr>
        <w:t xml:space="preserve">disparity</w:t>
      </w:r>
      <w:r>
        <w:t xml:space="preserve"> </w:t>
      </w:r>
      <w:r>
        <w:t xml:space="preserve">it is meant to remove, on a real protected attribute (race) whose smallest</w:t>
      </w:r>
      <w:r>
        <w:t xml:space="preserve"> </w:t>
      </w:r>
      <w:r>
        <w:t xml:space="preserve">calibration stratum holds only ~84 points, and a quantitative account of the</w:t>
      </w:r>
      <w:r>
        <w:t xml:space="preserve"> </w:t>
      </w:r>
      <w:r>
        <w:t xml:space="preserve">marginal-versus-Mondrian crossover as a function of calibration support — validated by a</w:t>
      </w:r>
      <w:r>
        <w:t xml:space="preserve"> </w:t>
      </w:r>
      <w:r>
        <w:t xml:space="preserve">calibration-size sweep and by simulation.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matched-protocol uncertainty audit of the tabular foundation model TabPFN</w:t>
      </w:r>
      <w:r>
        <w:t xml:space="preserve"> </w:t>
      </w:r>
      <w:r>
        <w:t xml:space="preserve">(calibration, conformal efficiency, and group-conditional coverage) against</w:t>
      </w:r>
      <w:r>
        <w:t xml:space="preserve"> </w:t>
      </w:r>
      <w:r>
        <w:t xml:space="preserve">gradient-boosted-tree and MLP baselines, including a temperature-scaled-GBDT comparison</w:t>
      </w:r>
      <w:r>
        <w:t xml:space="preserve"> </w:t>
      </w:r>
      <w:r>
        <w:t xml:space="preserve">that isolates the recalibration component of the deployed recipe.</w:t>
      </w:r>
    </w:p>
    <w:p>
      <w:pPr>
        <w:pStyle w:val="FirstParagraph"/>
      </w:pPr>
      <w:r>
        <w:t xml:space="preserve">The work is squarely within the scope of</w:t>
      </w:r>
      <w:r>
        <w:t xml:space="preserve"> </w:t>
      </w:r>
      <w:r>
        <w:rPr>
          <w:i/>
          <w:iCs/>
        </w:rPr>
        <w:t xml:space="preserve">IJAR</w:t>
      </w:r>
      <w:r>
        <w:t xml:space="preserve">: it concerns the quantification, validity,</w:t>
      </w:r>
      <w:r>
        <w:t xml:space="preserve"> </w:t>
      </w:r>
      <w:r>
        <w:t xml:space="preserve">and finite-sample behaviour of predictive uncertainty, and it contributes to the conformal</w:t>
      </w:r>
      <w:r>
        <w:t xml:space="preserve"> </w:t>
      </w:r>
      <w:r>
        <w:t xml:space="preserve">prediction literature that the journal regularly hosts. All claims are supported by an</w:t>
      </w:r>
      <w:r>
        <w:t xml:space="preserve"> </w:t>
      </w:r>
      <w:r>
        <w:t xml:space="preserve">open, fully scripted pipeline with committed per-seed result files and a verification</w:t>
      </w:r>
      <w:r>
        <w:t xml:space="preserve"> </w:t>
      </w:r>
      <w:r>
        <w:t xml:space="preserve">script that recomputes every reported number.</w:t>
      </w:r>
    </w:p>
    <w:p>
      <w:pPr>
        <w:pStyle w:val="BodyText"/>
      </w:pPr>
      <w:r>
        <w:t xml:space="preserve">I confirm that this manuscript is original, has not been published previously, and is not</w:t>
      </w:r>
      <w:r>
        <w:t xml:space="preserve"> </w:t>
      </w:r>
      <w:r>
        <w:t xml:space="preserve">under consideration for publication elsewhere. There is a single author. The author</w:t>
      </w:r>
      <w:r>
        <w:t xml:space="preserve"> </w:t>
      </w:r>
      <w:r>
        <w:t xml:space="preserve">declares no competing interests, and no funding was received for this research. All code,</w:t>
      </w:r>
      <w:r>
        <w:t xml:space="preserve"> </w:t>
      </w:r>
      <w:r>
        <w:t xml:space="preserve">data-loading scripts, and per-seed result files are publicly available, and an archival</w:t>
      </w:r>
      <w:r>
        <w:t xml:space="preserve"> </w:t>
      </w:r>
      <w:r>
        <w:t xml:space="preserve">copy will be deposited with a persistent identifier prior to publication.</w:t>
      </w:r>
    </w:p>
    <w:p>
      <w:pPr>
        <w:pStyle w:val="BodyText"/>
      </w:pPr>
      <w:r>
        <w:t xml:space="preserve">A list of suggested reviewers is provided separately. Thank you for considering this</w:t>
      </w:r>
      <w:r>
        <w:t xml:space="preserve"> </w:t>
      </w:r>
      <w:r>
        <w:t xml:space="preserve">submission; I look forward to the reviewers’ feedback.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Nadim Mahmud Dipu</w:t>
      </w:r>
      <w:r>
        <w:t xml:space="preserve"> </w:t>
      </w:r>
      <w:r>
        <w:t xml:space="preserve">Brac University, Dhaka, Bangladesh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2026-06-12T10:02:47Z</dcterms:created>
  <dcterms:modified xsi:type="dcterms:W3CDTF">2026-06-12T10:02:47Z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