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0A66C2"/>
          <w:sz w:val="40"/>
          <w:szCs w:val="40"/>
        </w:rPr>
        <w:t xml:space="preserve">LinkedIn Post Style Guide — Technical Deep-Dive Format</w:t>
      </w:r>
    </w:p>
    <w:p>
      <w:pPr>
        <w:spacing w:after="260"/>
      </w:pPr>
      <w:r>
        <w:rPr>
          <w:i/>
          <w:iCs/>
          <w:color w:val="555555"/>
          <w:sz w:val="21"/>
          <w:szCs w:val="21"/>
        </w:rPr>
        <w:t xml:space="preserve">Reference file for generating structured, technical LinkedIn posts on any topic, following this fixed structure and tone.</w:t>
      </w:r>
    </w:p>
    <w:p>
      <w:pPr>
        <w:pBdr>
          <w:bottom w:val="single" w:color="0A66C2" w:sz="8" w:space="1"/>
        </w:pBd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11111"/>
          <w:sz w:val="27"/>
          <w:szCs w:val="27"/>
        </w:rPr>
        <w:t xml:space="preserve">Purpose</w:t>
      </w:r>
    </w:p>
    <w:p>
      <w:pPr>
        <w:spacing w:after="120"/>
      </w:pPr>
      <w:r>
        <w:rPr>
          <w:sz w:val="21"/>
          <w:szCs w:val="21"/>
        </w:rPr>
        <w:t xml:space="preserve">This document defines the structural template, tone, and formatting rules to use when writing technical, deep-dive style LinkedIn posts for Nadim. The subject and technical domain of each post will change, but the structure, formatting style, and tone below should stay consistent every time, unless a different instruction is given.</w:t>
      </w:r>
    </w:p>
    <w:p>
      <w:pPr>
        <w:pStyle w:val="Heading2"/>
        <w:spacing w:after="120" w:before="260"/>
      </w:pPr>
      <w:r>
        <w:rPr>
          <w:b/>
          <w:bCs/>
          <w:color w:val="111111"/>
          <w:sz w:val="27"/>
          <w:szCs w:val="27"/>
        </w:rPr>
        <w:t xml:space="preserve">Post Structure (in order)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1. Title / Headline</w:t>
      </w:r>
      <w:r>
        <w:rPr>
          <w:sz w:val="21"/>
          <w:szCs w:val="21"/>
        </w:rPr>
        <w:t xml:space="preserve"> — One bold opening line naming the topic in a professional, slightly technical way, ending with a subtle sparkle emoji (✨). Pattern: "[Topic] in [Technology] — Practical [Category] Patterns ✨".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2. Framing Intro (2–3 lines)</w:t>
      </w:r>
      <w:r>
        <w:rPr>
          <w:sz w:val="21"/>
          <w:szCs w:val="21"/>
        </w:rPr>
        <w:t xml:space="preserve"> — A short contrarian or insight-driven opening that reframes how the reader thinks about the topic (e.g. "Most successful X don't do Y. They do Z. That's where [topic] comes in."). No bullets here — plain short sentences, one idea per line.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3. Multiple Labeled Sub-Sections</w:t>
      </w:r>
      <w:r>
        <w:rPr>
          <w:sz w:val="21"/>
          <w:szCs w:val="21"/>
        </w:rPr>
        <w:t xml:space="preserve"> — The body is broken into several distinct sections, each with its own bolded sub-header preceded by a relevant emoji (e.g. 🔴 What X Really Means, 🔵 Strategy Name, 🟢 Patterns Used in Production, 🔒 Non-Negotiables). Each sub-header is followed by 3–6 checkmark (✔️) bullet points, short phrases or short arrow-style statements ("A → B").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4. Connective Sentences Between Sections</w:t>
      </w:r>
      <w:r>
        <w:rPr>
          <w:sz w:val="21"/>
          <w:szCs w:val="21"/>
        </w:rPr>
        <w:t xml:space="preserve"> — A single plain-text sentence between some sections that bridges the previous section to the next (e.g. "Once resolved, the tenant is stored in a Tenant Context and flows through the request lifecycle."). Used sparingly, not after every section.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5. Closing Insight</w:t>
      </w:r>
      <w:r>
        <w:rPr>
          <w:sz w:val="21"/>
          <w:szCs w:val="21"/>
        </w:rPr>
        <w:t xml:space="preserve"> — A short closing section (often marked with 💡 or a similar emoji) that delivers a memorable, quotable takeaway line summarizing the philosophy of the post, in 2 short sentences.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1"/>
          <w:szCs w:val="21"/>
        </w:rPr>
        <w:t xml:space="preserve">6. Hashtags</w:t>
      </w:r>
      <w:r>
        <w:rPr>
          <w:sz w:val="21"/>
          <w:szCs w:val="21"/>
        </w:rPr>
        <w:t xml:space="preserve"> — A closing block of 12–18 relevant hashtags, all lowercase, no spaces, grouped by topic relevance (core topic first, then adjacent skills/roles).</w:t>
      </w:r>
    </w:p>
    <w:p>
      <w:pPr>
        <w:pStyle w:val="Heading2"/>
        <w:spacing w:after="120" w:before="260"/>
      </w:pPr>
      <w:r>
        <w:rPr>
          <w:b/>
          <w:bCs/>
          <w:color w:val="111111"/>
          <w:sz w:val="27"/>
          <w:szCs w:val="27"/>
        </w:rPr>
        <w:t xml:space="preserve">Tone &amp; Voice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Technical but confident — written for practitioners (engineers, architects), not a general audience.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Uses contrast/reframing to open ("Most people do X. The best do Y.") to establish authority quickly.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Dense with structure rather than storytelling — favors scannable sections over narrative flow.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Each sub-section functions like a mini-lesson; bullets are short and declarative, not full sentences.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Emojis are used as section icons/markers (one distinct emoji per sub-header) rather than inline decoration.</w:t>
      </w:r>
    </w:p>
    <w:p>
      <w:pPr>
        <w:pStyle w:val="Heading2"/>
        <w:spacing w:after="120" w:before="260"/>
      </w:pPr>
      <w:r>
        <w:rPr>
          <w:b/>
          <w:bCs/>
          <w:color w:val="111111"/>
          <w:sz w:val="27"/>
          <w:szCs w:val="27"/>
        </w:rPr>
        <w:t xml:space="preserve">Formatting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Use a distinct emoji before each sub-header to visually separate sections (vary emojis by section meaning, not repeated).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Use ✔️ as the default bullet marker within sections.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Keep bullets short — a phrase, or an arrow relationship ("A → B (context)") rather than full sentences.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Insert a blank line between every section for readability.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Bold only the sub-headers and the title — not the bullet points themselves, unless emphasizing one key term.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No markdown symbols (no #, *, or - used for formatting) — rely on bold text, emojis, and line breaks only.</w:t>
      </w:r>
    </w:p>
    <w:p>
      <w:pPr>
        <w:pStyle w:val="Heading2"/>
        <w:spacing w:after="120" w:before="260"/>
      </w:pPr>
      <w:r>
        <w:rPr>
          <w:b/>
          <w:bCs/>
          <w:color w:val="111111"/>
          <w:sz w:val="27"/>
          <w:szCs w:val="27"/>
        </w:rPr>
        <w:t xml:space="preserve">Reference Example</w:t>
      </w:r>
    </w:p>
    <w:p>
      <w:pPr>
        <w:spacing w:after="120"/>
      </w:pPr>
      <w:r>
        <w:rPr>
          <w:sz w:val="21"/>
          <w:szCs w:val="21"/>
        </w:rPr>
        <w:t xml:space="preserve">This is the original example this style guide was built from. Use it only as a structural and tonal reference — do not reuse its topic or technical content for unrelated posts.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Multi-Tenant Architecture in .NET — Practical SaaS Patterns ✨</w:t>
      </w:r>
    </w:p>
    <w:p>
      <w:pPr>
        <w:spacing w:after="80"/>
      </w:pPr>
      <w:r>
        <w:t xml:space="preserve"/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Most successful SaaS products don't build one app per customer.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They build one system that securely serves many tenants.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That's where multi-tenancy comes in — the foundation of scalable SaaS platforms.</w:t>
      </w:r>
    </w:p>
    <w:p>
      <w:pPr>
        <w:spacing w:after="80"/>
      </w:pPr>
      <w:r>
        <w:t xml:space="preserve"/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🔴 What Multi-Tenancy Really Means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✔️ One application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✔️ Many tenants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✔️ Shared infrastructure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✔️ Strict data isolation</w:t>
      </w:r>
    </w:p>
    <w:p>
      <w:pPr>
        <w:spacing w:after="80"/>
      </w:pPr>
      <w:r>
        <w:t xml:space="preserve"/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🔷 Every tenant should feel like they're the only customer.</w:t>
      </w:r>
    </w:p>
    <w:p>
      <w:pPr>
        <w:spacing w:after="80"/>
      </w:pPr>
      <w:r>
        <w:t xml:space="preserve"/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🔵 Tenant Resolution Strategies (How You Identify a Tenant)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✔️ Subdomain-based → tenant1.app.com (most common for SaaS)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✔️ Header-based → X-Tenant-ID (APIs, internal systems)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✔️ Token-based → Tenant stored in JWT claims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✔️ URL-based → /tenant1/dashboard (simple, but less clean)</w:t>
      </w:r>
    </w:p>
    <w:p>
      <w:pPr>
        <w:spacing w:after="80"/>
      </w:pPr>
      <w:r>
        <w:t xml:space="preserve"/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Once resolved, the tenant is stored in a Tenant Context and flows through the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request lifecycle.</w:t>
      </w:r>
    </w:p>
    <w:p>
      <w:pPr>
        <w:spacing w:after="80"/>
      </w:pPr>
      <w:r>
        <w:t xml:space="preserve"/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🟢 Real SaaS Patterns Used in Production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✔️ Shared database + TenantId (most common, cost-effective, scalable)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✔️ Per-tenant configuration &amp; feature flags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✔️ Role-based access within tenant boundaries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✔️ Soft limits per tenant (users, storage, API usage)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✔️ Background jobs executed per tenant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✔️ Tenant-aware caching, logging &amp; monitoring</w:t>
      </w:r>
    </w:p>
    <w:p>
      <w:pPr>
        <w:spacing w:after="80"/>
      </w:pPr>
      <w:r>
        <w:t xml:space="preserve"/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These patterns allow massive scale without duplicating applications.</w:t>
      </w:r>
    </w:p>
    <w:p>
      <w:pPr>
        <w:spacing w:after="80"/>
      </w:pPr>
      <w:r>
        <w:t xml:space="preserve"/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🔒 Non-Negotiables in Multi-Tenant Systems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✔️ Zero tolerance for cross-tenant data leaks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✔️ Authorization must always enforce tenant scope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✔️ Secure onboarding, offboarding &amp; tenant lifecycle management</w:t>
      </w:r>
    </w:p>
    <w:p>
      <w:pPr>
        <w:spacing w:after="80"/>
      </w:pPr>
      <w:r>
        <w:t xml:space="preserve"/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💡 Multi-tenancy isn't just a database decision — it's an architectural mindset.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Done right, it unlocks scalability, efficiency, and long-term SaaS growth.</w:t>
      </w:r>
    </w:p>
    <w:p>
      <w:pPr>
        <w:spacing w:after="80"/>
      </w:pPr>
      <w:r>
        <w:t xml:space="preserve"/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#DotNet #SaaS #SoftwareArchitecture #MultiTenancy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#SystemDesign #BackendDevelopment #CloudArchitecture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#Microservices #APIDesign #ScalableSystems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#TechLeadership #DeveloperTips #CleanArchitecture</w:t>
      </w:r>
    </w:p>
    <w:p>
      <w:pPr>
        <w:shd w:fill="F5F5F5" w:val="clear"/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#Engineering #Programming #EnterpriseSoftware</w:t>
      </w:r>
    </w:p>
    <w:p>
      <w:pPr>
        <w:pStyle w:val="Heading2"/>
        <w:spacing w:after="120" w:before="260"/>
      </w:pPr>
      <w:r>
        <w:rPr>
          <w:b/>
          <w:bCs/>
          <w:color w:val="111111"/>
          <w:sz w:val="27"/>
          <w:szCs w:val="27"/>
        </w:rPr>
        <w:t xml:space="preserve">How to Use This File</w:t>
      </w:r>
    </w:p>
    <w:p>
      <w:pPr>
        <w:spacing w:after="120"/>
      </w:pPr>
      <w:r>
        <w:rPr>
          <w:sz w:val="21"/>
          <w:szCs w:val="21"/>
        </w:rPr>
        <w:t xml:space="preserve">When given a new technical topic or prompt, generate a new post that follows the 6-part structure, tone, and formatting rules above — populated entirely with content relevant to the new topic, including new section headers and emojis chosen to fit that topic. The example above is a reference for structure and style only, not content to copy.</w:t>
      </w:r>
    </w:p>
    <w:sectPr>
      <w:pgSz w:w="12240" w:h="15840" w:orient="portrait"/>
      <w:pgMar w:top="1080" w:right="1224" w:bottom="108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none"/>
      <w:lvlJc w:val="left"/>
      <w:pPr>
        <w:ind w:left="215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2026-09-09T07:02:09.206Z</dcterms:created>
  <dcterms:modified xsi:type="dcterms:W3CDTF">2026-09-09T07:02:09.218Z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