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0" w:line="300" w:lineRule="auto"/>
        <w:jc w:val="center"/>
      </w:pPr>
      <w:r>
        <w:rPr>
          <w:rFonts w:ascii="Calibri" w:hAnsi="Calibri"/>
          <w:b/>
          <w:i w:val="0"/>
          <w:color w:val="2E74B5"/>
          <w:sz w:val="22"/>
        </w:rPr>
        <w:t>PROYECTO SUBTE FPCA</w:t>
      </w:r>
    </w:p>
    <w:p>
      <w:pPr>
        <w:spacing w:after="160"/>
        <w:jc w:val="center"/>
      </w:pPr>
      <w:r>
        <w:rPr>
          <w:rFonts w:ascii="Calibri" w:hAnsi="Calibri"/>
          <w:b/>
          <w:i w:val="0"/>
          <w:color w:val="172A3A"/>
          <w:sz w:val="52"/>
        </w:rPr>
        <w:t>Bitácora técnica y metodológica</w:t>
      </w:r>
    </w:p>
    <w:p>
      <w:pPr>
        <w:spacing w:before="0" w:after="360" w:line="300" w:lineRule="auto"/>
        <w:jc w:val="center"/>
      </w:pPr>
      <w:r>
        <w:rPr>
          <w:rFonts w:ascii="Calibri" w:hAnsi="Calibri"/>
          <w:b w:val="0"/>
          <w:i/>
          <w:color w:val="5C6770"/>
          <w:sz w:val="22"/>
        </w:rPr>
        <w:t>Procesamiento histórico de molinetes 2014-2026, auditoría de calidad, FPCA segmentada, clustering y selección de prototipos MaxVol</w:t>
      </w:r>
    </w:p>
    <w:tbl>
      <w:tblPr>
        <w:tblStyle w:val="TableGrid"/>
        <w:tblW w:type="dxa" w:w="9360"/>
        <w:tblLayout w:type="fixed"/>
        <w:tblLook w:firstColumn="1" w:firstRow="1" w:lastColumn="0" w:lastRow="0" w:noHBand="0" w:noVBand="1" w:val="04A0"/>
        <w:jc w:val="left"/>
        <w:tblInd w:w="120" w:type="dxa"/>
      </w:tblPr>
      <w:tblGrid>
        <w:gridCol w:w="2100"/>
        <w:gridCol w:w="7260"/>
      </w:tblGrid>
      <w:tr>
        <w:trPr>
          <w:tblHeader w:val="true"/>
        </w:trPr>
        <w:tc>
          <w:tcPr>
            <w:tcW w:type="dxa" w:w="2100"/>
            <w:tcMar>
              <w:top w:w="80" w:type="dxa"/>
              <w:start w:w="120" w:type="dxa"/>
              <w:bottom w:w="80" w:type="dxa"/>
              <w:end w:w="120" w:type="dxa"/>
            </w:tcMar>
            <w:vAlign w:val="center"/>
            <w:shd w:fill="E8EEF5"/>
          </w:tcPr>
          <w:p>
            <w:pPr>
              <w:spacing w:after="0" w:line="264" w:lineRule="auto"/>
              <w:jc w:val="center"/>
            </w:pPr>
            <w:r>
              <w:rPr>
                <w:rFonts w:ascii="Calibri" w:hAnsi="Calibri"/>
                <w:b/>
                <w:i w:val="0"/>
                <w:color w:val="1F4D78"/>
                <w:sz w:val="19"/>
              </w:rPr>
              <w:t>Campo</w:t>
            </w:r>
          </w:p>
        </w:tc>
        <w:tc>
          <w:tcPr>
            <w:tcW w:type="dxa" w:w="7260"/>
            <w:tcMar>
              <w:top w:w="80" w:type="dxa"/>
              <w:start w:w="120" w:type="dxa"/>
              <w:bottom w:w="80" w:type="dxa"/>
              <w:end w:w="120" w:type="dxa"/>
            </w:tcMar>
            <w:vAlign w:val="center"/>
            <w:shd w:fill="E8EEF5"/>
          </w:tcPr>
          <w:p>
            <w:pPr>
              <w:spacing w:after="0" w:line="264" w:lineRule="auto"/>
              <w:jc w:val="center"/>
            </w:pPr>
            <w:r>
              <w:rPr>
                <w:rFonts w:ascii="Calibri" w:hAnsi="Calibri"/>
                <w:b/>
                <w:i w:val="0"/>
                <w:color w:val="1F4D78"/>
                <w:sz w:val="19"/>
              </w:rPr>
              <w:t>Valor</w:t>
            </w:r>
          </w:p>
        </w:tc>
      </w:tr>
      <w:tr>
        <w:tc>
          <w:tcPr>
            <w:tcW w:type="dxa" w:w="21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9"/>
              </w:rPr>
              <w:t>Notebook principal</w:t>
            </w:r>
          </w:p>
        </w:tc>
        <w:tc>
          <w:tcPr>
            <w:tcW w:type="dxa" w:w="72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9"/>
              </w:rPr>
              <w:t>Proyecto_Subte_FPCA_2014-26.ipynb</w:t>
            </w:r>
          </w:p>
        </w:tc>
      </w:tr>
      <w:tr>
        <w:tc>
          <w:tcPr>
            <w:tcW w:type="dxa" w:w="21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9"/>
              </w:rPr>
              <w:t>Notebook del dashboard</w:t>
            </w:r>
          </w:p>
        </w:tc>
        <w:tc>
          <w:tcPr>
            <w:tcW w:type="dxa" w:w="72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9"/>
              </w:rPr>
              <w:t>creacion_dashboard.ipynb</w:t>
            </w:r>
          </w:p>
        </w:tc>
      </w:tr>
      <w:tr>
        <w:tc>
          <w:tcPr>
            <w:tcW w:type="dxa" w:w="21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9"/>
              </w:rPr>
              <w:t>Carpeta de trabajo</w:t>
            </w:r>
          </w:p>
        </w:tc>
        <w:tc>
          <w:tcPr>
            <w:tcW w:type="dxa" w:w="72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9"/>
              </w:rPr>
              <w:t>subte_fpca_work</w:t>
            </w:r>
          </w:p>
        </w:tc>
      </w:tr>
      <w:tr>
        <w:tc>
          <w:tcPr>
            <w:tcW w:type="dxa" w:w="21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9"/>
              </w:rPr>
              <w:t>Versión de estaciones</w:t>
            </w:r>
          </w:p>
        </w:tc>
        <w:tc>
          <w:tcPr>
            <w:tcW w:type="dxa" w:w="72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9"/>
              </w:rPr>
              <w:t>v2-aliases-inventario-y-mapa-2026-08-31</w:t>
            </w:r>
          </w:p>
        </w:tc>
      </w:tr>
      <w:tr>
        <w:tc>
          <w:tcPr>
            <w:tcW w:type="dxa" w:w="21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9"/>
              </w:rPr>
              <w:t>Última actualización</w:t>
            </w:r>
          </w:p>
        </w:tc>
        <w:tc>
          <w:tcPr>
            <w:tcW w:type="dxa" w:w="72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9"/>
              </w:rPr>
              <w:t>2026-09-17</w:t>
            </w:r>
          </w:p>
        </w:tc>
      </w:tr>
      <w:tr>
        <w:tc>
          <w:tcPr>
            <w:tcW w:type="dxa" w:w="21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9"/>
              </w:rPr>
              <w:t>Estado</w:t>
            </w:r>
          </w:p>
        </w:tc>
        <w:tc>
          <w:tcPr>
            <w:tcW w:type="dxa" w:w="72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9"/>
              </w:rPr>
              <w:t>Análisis completo y dashboard interactivo validado; operación habitual documentada</w:t>
            </w:r>
          </w:p>
        </w:tc>
      </w:tr>
    </w:tbl>
    <w:p>
      <w:pPr>
        <w:spacing w:after="40"/>
      </w:pPr>
    </w:p>
    <w:p>
      <w:pPr>
        <w:spacing w:before="0" w:after="100" w:line="300" w:lineRule="auto"/>
        <w:jc w:val="center"/>
      </w:pPr>
      <w:r>
        <w:rPr>
          <w:rFonts w:ascii="Calibri" w:hAnsi="Calibri"/>
          <w:b/>
          <w:i w:val="0"/>
          <w:color w:val="1F4D78"/>
          <w:sz w:val="22"/>
        </w:rPr>
        <w:t>Propósito de esta bitácora</w:t>
      </w:r>
    </w:p>
    <w:p>
      <w:pPr>
        <w:spacing w:before="0" w:after="160" w:line="300" w:lineRule="auto"/>
        <w:jc w:val="center"/>
      </w:pPr>
      <w:r>
        <w:rPr>
          <w:rFonts w:ascii="Calibri" w:hAnsi="Calibri"/>
          <w:b w:val="0"/>
          <w:i w:val="0"/>
          <w:color w:val="172A3A"/>
          <w:sz w:val="22"/>
        </w:rPr>
        <w:t>Registrar decisiones, problemas encontrados, reglas de limpieza, ajustes de rendimiento, metodología analítica, validaciones y próximos pasos. Este documento debe actualizarse junto con cada cambio sustantivo del notebook.</w:t>
      </w:r>
    </w:p>
    <w:p>
      <w:r>
        <w:br w:type="page"/>
      </w:r>
    </w:p>
    <w:p>
      <w:pPr>
        <w:pStyle w:val="Heading1"/>
      </w:pPr>
      <w:r>
        <w:t>1. Objetivo y alcance</w:t>
      </w:r>
    </w:p>
    <w:p>
      <w:pPr>
        <w:spacing w:before="0" w:after="120" w:line="300" w:lineRule="auto"/>
      </w:pPr>
      <w:r>
        <w:rPr>
          <w:rFonts w:ascii="Calibri" w:hAnsi="Calibri"/>
          <w:b w:val="0"/>
          <w:i w:val="0"/>
          <w:color w:val="172A3A"/>
          <w:sz w:val="22"/>
        </w:rPr>
        <w:t>El proyecto estudia la evolución del uso del Subte de Buenos Aires a partir de registros de molinetes en intervalos de 15 minutos. La unidad funcional es línea-estación por año y segmento de día. El análisis separa Laborable, Sábado y Domingo/Feriado para evitar que la diferencia entre calendarios domine los patrones entre estaciones.</w:t>
      </w:r>
    </w:p>
    <w:p>
      <w:pPr>
        <w:pStyle w:val="ListBullet"/>
        <w:spacing w:after="80" w:line="300" w:lineRule="auto"/>
        <w:ind w:left="540" w:hanging="271"/>
      </w:pPr>
      <w:r>
        <w:rPr>
          <w:rFonts w:ascii="Calibri" w:hAnsi="Calibri"/>
          <w:b w:val="0"/>
          <w:i w:val="0"/>
          <w:color w:val="172A3A"/>
          <w:sz w:val="22"/>
        </w:rPr>
        <w:t>Período analizado: 2014-2026; 2026 se trata como año parcial mientras no cierre el calendario.</w:t>
      </w:r>
    </w:p>
    <w:p>
      <w:pPr>
        <w:pStyle w:val="ListBullet"/>
        <w:spacing w:after="80" w:line="300" w:lineRule="auto"/>
        <w:ind w:left="540" w:hanging="271"/>
      </w:pPr>
      <w:r>
        <w:rPr>
          <w:rFonts w:ascii="Calibri" w:hAnsi="Calibri"/>
          <w:b w:val="0"/>
          <w:i w:val="0"/>
          <w:color w:val="172A3A"/>
          <w:sz w:val="22"/>
        </w:rPr>
        <w:t>Universo: líneas A, B, C, D, E y H. El Premetro (PM) queda fuera del análisis.</w:t>
      </w:r>
    </w:p>
    <w:p>
      <w:pPr>
        <w:pStyle w:val="ListBullet"/>
        <w:spacing w:after="80" w:line="300" w:lineRule="auto"/>
        <w:ind w:left="540" w:hanging="271"/>
      </w:pPr>
      <w:r>
        <w:rPr>
          <w:rFonts w:ascii="Calibri" w:hAnsi="Calibri"/>
          <w:b w:val="0"/>
          <w:i w:val="0"/>
          <w:color w:val="172A3A"/>
          <w:sz w:val="22"/>
        </w:rPr>
        <w:t>Variable principal: PAX_TOTAL agregado por estación, fecha y slot de 15 minutos.</w:t>
      </w:r>
    </w:p>
    <w:p>
      <w:pPr>
        <w:pStyle w:val="ListBullet"/>
        <w:spacing w:after="80" w:line="300" w:lineRule="auto"/>
        <w:ind w:left="540" w:hanging="271"/>
      </w:pPr>
      <w:r>
        <w:rPr>
          <w:rFonts w:ascii="Calibri" w:hAnsi="Calibri"/>
          <w:b w:val="0"/>
          <w:i w:val="0"/>
          <w:color w:val="172A3A"/>
          <w:sz w:val="22"/>
        </w:rPr>
        <w:t>Propósito estadístico: describir formas horarias, clusters comparables en el tiempo, rupturas pandémicas, anomalías y prototipos geométricos.</w:t>
      </w:r>
    </w:p>
    <w:p>
      <w:pPr>
        <w:pStyle w:val="ListBullet"/>
        <w:spacing w:after="80" w:line="300" w:lineRule="auto"/>
        <w:ind w:left="540" w:hanging="271"/>
      </w:pPr>
      <w:r>
        <w:rPr>
          <w:rFonts w:ascii="Calibri" w:hAnsi="Calibri"/>
          <w:b w:val="0"/>
          <w:i w:val="0"/>
          <w:color w:val="172A3A"/>
          <w:sz w:val="22"/>
        </w:rPr>
        <w:t>Alcance del dashboard: operación habitual; las extensiones por eventos y los slots nocturnos aislados quedan fuera del día típico mostrado.</w:t>
      </w:r>
    </w:p>
    <w:p>
      <w:pPr>
        <w:pStyle w:val="Heading1"/>
      </w:pPr>
      <w:r>
        <w:t>2. Arquitectura del procesamiento</w:t>
      </w:r>
    </w:p>
    <w:tbl>
      <w:tblPr>
        <w:tblStyle w:val="TableGrid"/>
        <w:tblW w:type="dxa" w:w="9360"/>
        <w:tblLayout w:type="fixed"/>
        <w:tblLook w:firstColumn="1" w:firstRow="1" w:lastColumn="0" w:lastRow="0" w:noHBand="0" w:noVBand="1" w:val="04A0"/>
        <w:jc w:val="left"/>
        <w:tblInd w:w="120" w:type="dxa"/>
      </w:tblPr>
      <w:tblGrid>
        <w:gridCol w:w="1500"/>
        <w:gridCol w:w="3720"/>
        <w:gridCol w:w="4140"/>
      </w:tblGrid>
      <w:tr>
        <w:trPr>
          <w:tblHeader w:val="true"/>
        </w:trPr>
        <w:tc>
          <w:tcPr>
            <w:tcW w:type="dxa" w:w="1500"/>
            <w:tcMar>
              <w:top w:w="80" w:type="dxa"/>
              <w:start w:w="120" w:type="dxa"/>
              <w:bottom w:w="80" w:type="dxa"/>
              <w:end w:w="120" w:type="dxa"/>
            </w:tcMar>
            <w:vAlign w:val="center"/>
            <w:shd w:fill="E8EEF5"/>
          </w:tcPr>
          <w:p>
            <w:pPr>
              <w:spacing w:after="0" w:line="264" w:lineRule="auto"/>
              <w:jc w:val="center"/>
            </w:pPr>
            <w:r>
              <w:rPr>
                <w:rFonts w:ascii="Calibri" w:hAnsi="Calibri"/>
                <w:b/>
                <w:i w:val="0"/>
                <w:color w:val="1F4D78"/>
                <w:sz w:val="17"/>
              </w:rPr>
              <w:t>Capa</w:t>
            </w:r>
          </w:p>
        </w:tc>
        <w:tc>
          <w:tcPr>
            <w:tcW w:type="dxa" w:w="3720"/>
            <w:tcMar>
              <w:top w:w="80" w:type="dxa"/>
              <w:start w:w="120" w:type="dxa"/>
              <w:bottom w:w="80" w:type="dxa"/>
              <w:end w:w="120" w:type="dxa"/>
            </w:tcMar>
            <w:vAlign w:val="center"/>
            <w:shd w:fill="E8EEF5"/>
          </w:tcPr>
          <w:p>
            <w:pPr>
              <w:spacing w:after="0" w:line="264" w:lineRule="auto"/>
              <w:jc w:val="center"/>
            </w:pPr>
            <w:r>
              <w:rPr>
                <w:rFonts w:ascii="Calibri" w:hAnsi="Calibri"/>
                <w:b/>
                <w:i w:val="0"/>
                <w:color w:val="1F4D78"/>
                <w:sz w:val="17"/>
              </w:rPr>
              <w:t>Contenido</w:t>
            </w:r>
          </w:p>
        </w:tc>
        <w:tc>
          <w:tcPr>
            <w:tcW w:type="dxa" w:w="4140"/>
            <w:tcMar>
              <w:top w:w="80" w:type="dxa"/>
              <w:start w:w="120" w:type="dxa"/>
              <w:bottom w:w="80" w:type="dxa"/>
              <w:end w:w="120" w:type="dxa"/>
            </w:tcMar>
            <w:vAlign w:val="center"/>
            <w:shd w:fill="E8EEF5"/>
          </w:tcPr>
          <w:p>
            <w:pPr>
              <w:spacing w:after="0" w:line="264" w:lineRule="auto"/>
              <w:jc w:val="center"/>
            </w:pPr>
            <w:r>
              <w:rPr>
                <w:rFonts w:ascii="Calibri" w:hAnsi="Calibri"/>
                <w:b/>
                <w:i w:val="0"/>
                <w:color w:val="1F4D78"/>
                <w:sz w:val="17"/>
              </w:rPr>
              <w:t>Motivo</w:t>
            </w:r>
          </w:p>
        </w:tc>
      </w:tr>
      <w:tr>
        <w:tc>
          <w:tcPr>
            <w:tcW w:type="dxa" w:w="15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Fuentes</w:t>
            </w:r>
          </w:p>
        </w:tc>
        <w:tc>
          <w:tcPr>
            <w:tcW w:type="dxa" w:w="372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CSV y miembros CSV dentro de ZIP</w:t>
            </w:r>
          </w:p>
        </w:tc>
        <w:tc>
          <w:tcPr>
            <w:tcW w:type="dxa" w:w="414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Conservar los datos originales sin reescritura</w:t>
            </w:r>
          </w:p>
        </w:tc>
      </w:tr>
      <w:tr>
        <w:tc>
          <w:tcPr>
            <w:tcW w:type="dxa" w:w="15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Estandarizados</w:t>
            </w:r>
          </w:p>
        </w:tc>
        <w:tc>
          <w:tcPr>
            <w:tcW w:type="dxa" w:w="372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Un Parquet por fuente</w:t>
            </w:r>
          </w:p>
        </w:tc>
        <w:tc>
          <w:tcPr>
            <w:tcW w:type="dxa" w:w="414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Lectura incremental y formatos históricos homogéneos</w:t>
            </w:r>
          </w:p>
        </w:tc>
      </w:tr>
      <w:tr>
        <w:tc>
          <w:tcPr>
            <w:tcW w:type="dxa" w:w="15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Deduplicados</w:t>
            </w:r>
          </w:p>
        </w:tc>
        <w:tc>
          <w:tcPr>
            <w:tcW w:type="dxa" w:w="372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Parquet anual solo cuando hay claves repetidas</w:t>
            </w:r>
          </w:p>
        </w:tc>
        <w:tc>
          <w:tcPr>
            <w:tcW w:type="dxa" w:w="414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Resolver conflictos sin cargar todo en memoria</w:t>
            </w:r>
          </w:p>
        </w:tc>
      </w:tr>
      <w:tr>
        <w:tc>
          <w:tcPr>
            <w:tcW w:type="dxa" w:w="15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Station-slot</w:t>
            </w:r>
          </w:p>
        </w:tc>
        <w:tc>
          <w:tcPr>
            <w:tcW w:type="dxa" w:w="372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Estación-fecha-slot por año</w:t>
            </w:r>
          </w:p>
        </w:tc>
        <w:tc>
          <w:tcPr>
            <w:tcW w:type="dxa" w:w="414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Reducir drásticamente el volumen para auditorías y FPCA</w:t>
            </w:r>
          </w:p>
        </w:tc>
      </w:tr>
      <w:tr>
        <w:tc>
          <w:tcPr>
            <w:tcW w:type="dxa" w:w="15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Vista canónica</w:t>
            </w:r>
          </w:p>
        </w:tc>
        <w:tc>
          <w:tcPr>
            <w:tcW w:type="dxa" w:w="372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Alias de línea/estación y descartes</w:t>
            </w:r>
          </w:p>
        </w:tc>
        <w:tc>
          <w:tcPr>
            <w:tcW w:type="dxa" w:w="414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Corregir identidades sin releer 122 fuentes</w:t>
            </w:r>
          </w:p>
        </w:tc>
      </w:tr>
      <w:tr>
        <w:tc>
          <w:tcPr>
            <w:tcW w:type="dxa" w:w="15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Resultados</w:t>
            </w:r>
          </w:p>
        </w:tc>
        <w:tc>
          <w:tcPr>
            <w:tcW w:type="dxa" w:w="372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CSV, Markdown y ZIP</w:t>
            </w:r>
          </w:p>
        </w:tc>
        <w:tc>
          <w:tcPr>
            <w:tcW w:type="dxa" w:w="414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Entregables reproducibles y auditables</w:t>
            </w:r>
          </w:p>
        </w:tc>
      </w:tr>
    </w:tbl>
    <w:p>
      <w:pPr>
        <w:spacing w:after="40"/>
      </w:pPr>
    </w:p>
    <w:p>
      <w:pPr>
        <w:pStyle w:val="Heading1"/>
      </w:pPr>
      <w:r>
        <w:t>3. Historial de problemas y tratamientos</w:t>
      </w:r>
    </w:p>
    <w:p>
      <w:pPr>
        <w:pStyle w:val="Heading2"/>
      </w:pPr>
      <w:r>
        <w:t>3.1 Formatos de fecha</w:t>
      </w:r>
    </w:p>
    <w:p>
      <w:pPr>
        <w:spacing w:before="0" w:after="120" w:line="300" w:lineRule="auto"/>
      </w:pPr>
      <w:r>
        <w:rPr>
          <w:rFonts w:ascii="Calibri" w:hAnsi="Calibri"/>
          <w:b w:val="0"/>
          <w:i w:val="0"/>
          <w:color w:val="172A3A"/>
          <w:sz w:val="22"/>
        </w:rPr>
        <w:t>El archivo formato_fechas_por_archivo.csv es la fuente de verdad para el parseo. La regla explícita por archivo evita inferencias ambiguas, especialmente cuando día y mes son ambos menores o iguales a 12.</w:t>
      </w:r>
    </w:p>
    <w:tbl>
      <w:tblPr>
        <w:tblStyle w:val="TableGrid"/>
        <w:tblW w:type="dxa" w:w="9360"/>
        <w:tblLayout w:type="fixed"/>
        <w:tblLook w:firstColumn="1" w:firstRow="1" w:lastColumn="0" w:lastRow="0" w:noHBand="0" w:noVBand="1" w:val="04A0"/>
        <w:jc w:val="left"/>
        <w:tblInd w:w="120" w:type="dxa"/>
      </w:tblPr>
      <w:tblGrid>
        <w:gridCol w:w="1200"/>
        <w:gridCol w:w="3420"/>
        <w:gridCol w:w="4740"/>
      </w:tblGrid>
      <w:tr>
        <w:trPr>
          <w:tblHeader w:val="true"/>
        </w:trPr>
        <w:tc>
          <w:tcPr>
            <w:tcW w:type="dxa" w:w="1200"/>
            <w:tcMar>
              <w:top w:w="80" w:type="dxa"/>
              <w:start w:w="120" w:type="dxa"/>
              <w:bottom w:w="80" w:type="dxa"/>
              <w:end w:w="120" w:type="dxa"/>
            </w:tcMar>
            <w:vAlign w:val="center"/>
            <w:shd w:fill="E8EEF5"/>
          </w:tcPr>
          <w:p>
            <w:pPr>
              <w:spacing w:after="0" w:line="264" w:lineRule="auto"/>
              <w:jc w:val="center"/>
            </w:pPr>
            <w:r>
              <w:rPr>
                <w:rFonts w:ascii="Calibri" w:hAnsi="Calibri"/>
                <w:b/>
                <w:i w:val="0"/>
                <w:color w:val="1F4D78"/>
                <w:sz w:val="17"/>
              </w:rPr>
              <w:t>Caso</w:t>
            </w:r>
          </w:p>
        </w:tc>
        <w:tc>
          <w:tcPr>
            <w:tcW w:type="dxa" w:w="3420"/>
            <w:tcMar>
              <w:top w:w="80" w:type="dxa"/>
              <w:start w:w="120" w:type="dxa"/>
              <w:bottom w:w="80" w:type="dxa"/>
              <w:end w:w="120" w:type="dxa"/>
            </w:tcMar>
            <w:vAlign w:val="center"/>
            <w:shd w:fill="E8EEF5"/>
          </w:tcPr>
          <w:p>
            <w:pPr>
              <w:spacing w:after="0" w:line="264" w:lineRule="auto"/>
              <w:jc w:val="center"/>
            </w:pPr>
            <w:r>
              <w:rPr>
                <w:rFonts w:ascii="Calibri" w:hAnsi="Calibri"/>
                <w:b/>
                <w:i w:val="0"/>
                <w:color w:val="1F4D78"/>
                <w:sz w:val="17"/>
              </w:rPr>
              <w:t>Problema</w:t>
            </w:r>
          </w:p>
        </w:tc>
        <w:tc>
          <w:tcPr>
            <w:tcW w:type="dxa" w:w="4740"/>
            <w:tcMar>
              <w:top w:w="80" w:type="dxa"/>
              <w:start w:w="120" w:type="dxa"/>
              <w:bottom w:w="80" w:type="dxa"/>
              <w:end w:w="120" w:type="dxa"/>
            </w:tcMar>
            <w:vAlign w:val="center"/>
            <w:shd w:fill="E8EEF5"/>
          </w:tcPr>
          <w:p>
            <w:pPr>
              <w:spacing w:after="0" w:line="264" w:lineRule="auto"/>
              <w:jc w:val="center"/>
            </w:pPr>
            <w:r>
              <w:rPr>
                <w:rFonts w:ascii="Calibri" w:hAnsi="Calibri"/>
                <w:b/>
                <w:i w:val="0"/>
                <w:color w:val="1F4D78"/>
                <w:sz w:val="17"/>
              </w:rPr>
              <w:t>Tratamiento implementado</w:t>
            </w:r>
          </w:p>
        </w:tc>
      </w:tr>
      <w:tr>
        <w:tc>
          <w:tcPr>
            <w:tcW w:type="dxa" w:w="12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2014</w:t>
            </w:r>
          </w:p>
        </w:tc>
        <w:tc>
          <w:tcPr>
            <w:tcW w:type="dxa" w:w="342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La fuente usa YYYY-MM-DD y un encabezado desplazado; inicialmente aparecía sin días válidos</w:t>
            </w:r>
          </w:p>
        </w:tc>
        <w:tc>
          <w:tcPr>
            <w:tcW w:type="dxa" w:w="474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Ruta resuelta desde la raíz del proyecto, encabezado detectado y fecha parseada explícitamente</w:t>
            </w:r>
          </w:p>
        </w:tc>
      </w:tr>
      <w:tr>
        <w:tc>
          <w:tcPr>
            <w:tcW w:type="dxa" w:w="12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2020</w:t>
            </w:r>
          </w:p>
        </w:tc>
        <w:tc>
          <w:tcPr>
            <w:tcW w:type="dxa" w:w="342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Ene-Feb y Nov-Dic usan DD/MM/YYYY; Mar-Oct usa MM/DD/YYYY</w:t>
            </w:r>
          </w:p>
        </w:tc>
        <w:tc>
          <w:tcPr>
            <w:tcW w:type="dxa" w:w="474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Regla mixed_2020_blocks con límites auditados por posición de fila</w:t>
            </w:r>
          </w:p>
        </w:tc>
      </w:tr>
      <w:tr>
        <w:tc>
          <w:tcPr>
            <w:tcW w:type="dxa" w:w="12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2021</w:t>
            </w:r>
          </w:p>
        </w:tc>
        <w:tc>
          <w:tcPr>
            <w:tcW w:type="dxa" w:w="342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Conviven DD/MM/YYYY y fechas ISO YYYY-MM-DD</w:t>
            </w:r>
          </w:p>
        </w:tc>
        <w:tc>
          <w:tcPr>
            <w:tcW w:type="dxa" w:w="474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Regla mixed_iso_dmy: ISO primero y DD/MM/YYYY para el resto</w:t>
            </w:r>
          </w:p>
        </w:tc>
      </w:tr>
      <w:tr>
        <w:tc>
          <w:tcPr>
            <w:tcW w:type="dxa" w:w="12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General</w:t>
            </w:r>
          </w:p>
        </w:tc>
        <w:tc>
          <w:tcPr>
            <w:tcW w:type="dxa" w:w="342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La autodetección podía intercambiar día y mes</w:t>
            </w:r>
          </w:p>
        </w:tc>
        <w:tc>
          <w:tcPr>
            <w:tcW w:type="dxa" w:w="474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Catálogo por archivo, firma de caché y reproceso solo de fuentes afectadas</w:t>
            </w:r>
          </w:p>
        </w:tc>
      </w:tr>
    </w:tbl>
    <w:p>
      <w:pPr>
        <w:spacing w:after="40"/>
      </w:pPr>
    </w:p>
    <w:p>
      <w:pPr>
        <w:pStyle w:val="Heading2"/>
      </w:pPr>
      <w:r>
        <w:t>3.2 Intervalos</w:t>
      </w:r>
    </w:p>
    <w:p>
      <w:pPr>
        <w:spacing w:before="0" w:after="120" w:line="300" w:lineRule="auto"/>
      </w:pPr>
      <w:r>
        <w:rPr>
          <w:rFonts w:ascii="Calibri" w:hAnsi="Calibri"/>
          <w:b w:val="0"/>
          <w:i w:val="0"/>
          <w:color w:val="172A3A"/>
          <w:sz w:val="22"/>
        </w:rPr>
        <w:t>La fuente oficial informa slots de 15 minutos. Para 2014, intervalos inclusivos como 09:15:00-09:29:00 se reconocen como 15 minutos. Se separan dos controles: duración objetivo y alineación a la grilla. Las duraciones no estándar quedan disponibles para inspección en intervalos_faltantes_muestra.csv y en la distribución de duraciones.</w:t>
      </w:r>
    </w:p>
    <w:p>
      <w:pPr>
        <w:pStyle w:val="Heading2"/>
      </w:pPr>
      <w:r>
        <w:t>3.3 Premetro</w:t>
      </w:r>
    </w:p>
    <w:p>
      <w:pPr>
        <w:spacing w:before="0" w:after="120" w:line="300" w:lineRule="auto"/>
      </w:pPr>
      <w:r>
        <w:rPr>
          <w:rFonts w:ascii="Calibri" w:hAnsi="Calibri"/>
          <w:b w:val="0"/>
          <w:i w:val="0"/>
          <w:color w:val="172A3A"/>
          <w:sz w:val="22"/>
        </w:rPr>
        <w:t>Los archivos o filas identificados como PM corresponden al Premetro y se excluyen del universo. La regla opera tanto por fuente como por código de línea para evitar que registros de prueba contaminen estaciones, intervalos o perfiles.</w:t>
      </w:r>
    </w:p>
    <w:p>
      <w:pPr>
        <w:pStyle w:val="Heading2"/>
      </w:pPr>
      <w:r>
        <w:t>3.4 Duplicados</w:t>
      </w:r>
    </w:p>
    <w:p>
      <w:pPr>
        <w:pStyle w:val="ListBullet"/>
        <w:spacing w:after="80" w:line="300" w:lineRule="auto"/>
        <w:ind w:left="540" w:hanging="271"/>
      </w:pPr>
      <w:r>
        <w:rPr>
          <w:rFonts w:ascii="Calibri" w:hAnsi="Calibri"/>
          <w:b w:val="0"/>
          <w:i w:val="0"/>
          <w:color w:val="172A3A"/>
          <w:sz w:val="22"/>
        </w:rPr>
        <w:t>Duplicado exacto: repetición de fecha, intervalo, línea, estación, molinete y todos los campos de pasajeros; se cuenta n-1.</w:t>
      </w:r>
    </w:p>
    <w:p>
      <w:pPr>
        <w:pStyle w:val="ListBullet"/>
        <w:spacing w:after="80" w:line="300" w:lineRule="auto"/>
        <w:ind w:left="540" w:hanging="271"/>
      </w:pPr>
      <w:r>
        <w:rPr>
          <w:rFonts w:ascii="Calibri" w:hAnsi="Calibri"/>
          <w:b w:val="0"/>
          <w:i w:val="0"/>
          <w:color w:val="172A3A"/>
          <w:sz w:val="22"/>
        </w:rPr>
        <w:t>Clave repetida: misma fecha, intervalo, línea, estación y molinete, aunque cambien los pasajeros.</w:t>
      </w:r>
    </w:p>
    <w:p>
      <w:pPr>
        <w:pStyle w:val="ListBullet"/>
        <w:spacing w:after="80" w:line="300" w:lineRule="auto"/>
        <w:ind w:left="540" w:hanging="271"/>
      </w:pPr>
      <w:r>
        <w:rPr>
          <w:rFonts w:ascii="Calibri" w:hAnsi="Calibri"/>
          <w:b w:val="0"/>
          <w:i w:val="0"/>
          <w:color w:val="172A3A"/>
          <w:sz w:val="22"/>
        </w:rPr>
        <w:t>Clave conflictiva: una clave repetida con diferencias en PAX_TOTAL o sus componentes.</w:t>
      </w:r>
    </w:p>
    <w:p>
      <w:pPr>
        <w:pStyle w:val="ListBullet"/>
        <w:spacing w:after="80" w:line="300" w:lineRule="auto"/>
        <w:ind w:left="540" w:hanging="271"/>
      </w:pPr>
      <w:r>
        <w:rPr>
          <w:rFonts w:ascii="Calibri" w:hAnsi="Calibri"/>
          <w:b w:val="0"/>
          <w:i w:val="0"/>
          <w:color w:val="172A3A"/>
          <w:sz w:val="22"/>
        </w:rPr>
        <w:t>Resolución: conservar una fila por clave, priorizando el mayor PAX_TOTAL y luego el origen más reciente según el orden definido.</w:t>
      </w:r>
    </w:p>
    <w:p>
      <w:pPr>
        <w:pStyle w:val="Heading2"/>
      </w:pPr>
      <w:r>
        <w:t>3.5 Identidad de estaciones</w:t>
      </w:r>
    </w:p>
    <w:p>
      <w:pPr>
        <w:spacing w:before="0" w:after="120" w:line="300" w:lineRule="auto"/>
      </w:pPr>
      <w:r>
        <w:rPr>
          <w:rFonts w:ascii="Calibri" w:hAnsi="Calibri"/>
          <w:b w:val="0"/>
          <w:i w:val="0"/>
          <w:color w:val="172A3A"/>
          <w:sz w:val="22"/>
        </w:rPr>
        <w:t>El conteo inflado surgía porque estacion_id concatenaba texto crudo de línea y estación. La corrección mantiene los originales para auditoría, construye línea y estación canónicas y agrega nuevamente los station-slots que convergen en la misma identidad.</w:t>
      </w:r>
    </w:p>
    <w:tbl>
      <w:tblPr>
        <w:tblStyle w:val="TableGrid"/>
        <w:tblW w:type="dxa" w:w="9360"/>
        <w:tblLayout w:type="fixed"/>
        <w:tblLook w:firstColumn="1" w:firstRow="1" w:lastColumn="0" w:lastRow="0" w:noHBand="0" w:noVBand="1" w:val="04A0"/>
        <w:jc w:val="left"/>
        <w:tblInd w:w="120" w:type="dxa"/>
      </w:tblPr>
      <w:tblGrid>
        <w:gridCol w:w="1500"/>
        <w:gridCol w:w="3930"/>
        <w:gridCol w:w="3930"/>
      </w:tblGrid>
      <w:tr>
        <w:trPr>
          <w:tblHeader w:val="true"/>
        </w:trPr>
        <w:tc>
          <w:tcPr>
            <w:tcW w:type="dxa" w:w="1500"/>
            <w:tcMar>
              <w:top w:w="80" w:type="dxa"/>
              <w:start w:w="120" w:type="dxa"/>
              <w:bottom w:w="80" w:type="dxa"/>
              <w:end w:w="120" w:type="dxa"/>
            </w:tcMar>
            <w:vAlign w:val="center"/>
            <w:shd w:fill="E8EEF5"/>
          </w:tcPr>
          <w:p>
            <w:pPr>
              <w:spacing w:after="0" w:line="264" w:lineRule="auto"/>
              <w:jc w:val="center"/>
            </w:pPr>
            <w:r>
              <w:rPr>
                <w:rFonts w:ascii="Calibri" w:hAnsi="Calibri"/>
                <w:b/>
                <w:i w:val="0"/>
                <w:color w:val="1F4D78"/>
                <w:sz w:val="17"/>
              </w:rPr>
              <w:t>Tipo</w:t>
            </w:r>
          </w:p>
        </w:tc>
        <w:tc>
          <w:tcPr>
            <w:tcW w:type="dxa" w:w="3930"/>
            <w:tcMar>
              <w:top w:w="80" w:type="dxa"/>
              <w:start w:w="120" w:type="dxa"/>
              <w:bottom w:w="80" w:type="dxa"/>
              <w:end w:w="120" w:type="dxa"/>
            </w:tcMar>
            <w:vAlign w:val="center"/>
            <w:shd w:fill="E8EEF5"/>
          </w:tcPr>
          <w:p>
            <w:pPr>
              <w:spacing w:after="0" w:line="264" w:lineRule="auto"/>
              <w:jc w:val="center"/>
            </w:pPr>
            <w:r>
              <w:rPr>
                <w:rFonts w:ascii="Calibri" w:hAnsi="Calibri"/>
                <w:b/>
                <w:i w:val="0"/>
                <w:color w:val="1F4D78"/>
                <w:sz w:val="17"/>
              </w:rPr>
              <w:t>Ejemplos</w:t>
            </w:r>
          </w:p>
        </w:tc>
        <w:tc>
          <w:tcPr>
            <w:tcW w:type="dxa" w:w="3930"/>
            <w:tcMar>
              <w:top w:w="80" w:type="dxa"/>
              <w:start w:w="120" w:type="dxa"/>
              <w:bottom w:w="80" w:type="dxa"/>
              <w:end w:w="120" w:type="dxa"/>
            </w:tcMar>
            <w:vAlign w:val="center"/>
            <w:shd w:fill="E8EEF5"/>
          </w:tcPr>
          <w:p>
            <w:pPr>
              <w:spacing w:after="0" w:line="264" w:lineRule="auto"/>
              <w:jc w:val="center"/>
            </w:pPr>
            <w:r>
              <w:rPr>
                <w:rFonts w:ascii="Calibri" w:hAnsi="Calibri"/>
                <w:b/>
                <w:i w:val="0"/>
                <w:color w:val="1F4D78"/>
                <w:sz w:val="17"/>
              </w:rPr>
              <w:t>Acción</w:t>
            </w:r>
          </w:p>
        </w:tc>
      </w:tr>
      <w:tr>
        <w:tc>
          <w:tcPr>
            <w:tcW w:type="dxa" w:w="15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Código de línea</w:t>
            </w:r>
          </w:p>
        </w:tc>
        <w:tc>
          <w:tcPr>
            <w:tcW w:type="dxa" w:w="393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LINEAA, LINEA_A, A</w:t>
            </w:r>
          </w:p>
        </w:tc>
        <w:tc>
          <w:tcPr>
            <w:tcW w:type="dxa" w:w="393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Unificar como A; análogo para B, C, D, E y H</w:t>
            </w:r>
          </w:p>
        </w:tc>
      </w:tr>
      <w:tr>
        <w:tc>
          <w:tcPr>
            <w:tcW w:type="dxa" w:w="15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Codificación</w:t>
            </w:r>
          </w:p>
        </w:tc>
        <w:tc>
          <w:tcPr>
            <w:tcW w:type="dxa" w:w="393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Variantes corruptas de SAENZ PEÑA y AGÜERO</w:t>
            </w:r>
          </w:p>
        </w:tc>
        <w:tc>
          <w:tcPr>
            <w:tcW w:type="dxa" w:w="393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Unificar por patrón controlado</w:t>
            </w:r>
          </w:p>
        </w:tc>
      </w:tr>
      <w:tr>
        <w:tc>
          <w:tcPr>
            <w:tcW w:type="dxa" w:w="15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Sufijo</w:t>
            </w:r>
          </w:p>
        </w:tc>
        <w:tc>
          <w:tcPr>
            <w:tcW w:type="dxa" w:w="393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PUEYRREDON.B, RETIRO.C, CALLAO.D, RETIRO.E</w:t>
            </w:r>
          </w:p>
        </w:tc>
        <w:tc>
          <w:tcPr>
            <w:tcW w:type="dxa" w:w="393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Quitar sufijo cuando línea+nombre identifican la estación</w:t>
            </w:r>
          </w:p>
        </w:tc>
      </w:tr>
      <w:tr>
        <w:tc>
          <w:tcPr>
            <w:tcW w:type="dxa" w:w="15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No informado</w:t>
            </w:r>
          </w:p>
        </w:tc>
        <w:tc>
          <w:tcPr>
            <w:tcW w:type="dxa" w:w="393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#N/D, SIN ESTACION</w:t>
            </w:r>
          </w:p>
        </w:tc>
        <w:tc>
          <w:tcPr>
            <w:tcW w:type="dxa" w:w="393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Excluir y registrar motivo</w:t>
            </w:r>
          </w:p>
        </w:tc>
      </w:tr>
      <w:tr>
        <w:tc>
          <w:tcPr>
            <w:tcW w:type="dxa" w:w="15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Prueba</w:t>
            </w:r>
          </w:p>
        </w:tc>
        <w:tc>
          <w:tcPr>
            <w:tcW w:type="dxa" w:w="393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PRUEBA | PRUEBA</w:t>
            </w:r>
          </w:p>
        </w:tc>
        <w:tc>
          <w:tcPr>
            <w:tcW w:type="dxa" w:w="393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Excluir y registrar motivo</w:t>
            </w:r>
          </w:p>
        </w:tc>
      </w:tr>
      <w:tr>
        <w:tc>
          <w:tcPr>
            <w:tcW w:type="dxa" w:w="15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Asignación imposible</w:t>
            </w:r>
          </w:p>
        </w:tc>
        <w:tc>
          <w:tcPr>
            <w:tcW w:type="dxa" w:w="393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LORIA en B, C, D, E o H</w:t>
            </w:r>
          </w:p>
        </w:tc>
        <w:tc>
          <w:tcPr>
            <w:tcW w:type="dxa" w:w="393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Excluir; Loria pertenece a la línea A</w:t>
            </w:r>
          </w:p>
        </w:tc>
      </w:tr>
    </w:tbl>
    <w:p>
      <w:pPr>
        <w:spacing w:after="40"/>
      </w:pPr>
    </w:p>
    <w:p>
      <w:pPr>
        <w:pStyle w:val="Heading1"/>
      </w:pPr>
      <w:r>
        <w:t>4. Validación del inventario de estaciones</w:t>
      </w:r>
    </w:p>
    <w:p>
      <w:pPr>
        <w:spacing w:before="0" w:after="120" w:line="300" w:lineRule="auto"/>
      </w:pPr>
      <w:r>
        <w:rPr>
          <w:rFonts w:ascii="Calibri" w:hAnsi="Calibri"/>
          <w:b w:val="0"/>
          <w:i w:val="0"/>
          <w:color w:val="172A3A"/>
          <w:sz w:val="22"/>
        </w:rPr>
        <w:t>La vista canónica fue contrastada directamente contra los Parquet agregados. El resultado separa estaciones observadas de estaciones esperadas en la red. En 2020 se observan 89 porque Plaza de Mayo no tiene registros en el archivo; esto es un faltante de cobertura y no una reducción del inventario nominal.</w:t>
      </w:r>
    </w:p>
    <w:tbl>
      <w:tblPr>
        <w:tblStyle w:val="TableGrid"/>
        <w:tblW w:type="dxa" w:w="9360"/>
        <w:tblLayout w:type="fixed"/>
        <w:tblLook w:firstColumn="1" w:firstRow="1" w:lastColumn="0" w:lastRow="0" w:noHBand="0" w:noVBand="1" w:val="04A0"/>
        <w:jc w:val="left"/>
        <w:tblInd w:w="120" w:type="dxa"/>
      </w:tblPr>
      <w:tblGrid>
        <w:gridCol w:w="1000"/>
        <w:gridCol w:w="1500"/>
        <w:gridCol w:w="1500"/>
        <w:gridCol w:w="5360"/>
      </w:tblGrid>
      <w:tr>
        <w:trPr>
          <w:tblHeader w:val="true"/>
        </w:trPr>
        <w:tc>
          <w:tcPr>
            <w:tcW w:type="dxa" w:w="1000"/>
            <w:tcMar>
              <w:top w:w="80" w:type="dxa"/>
              <w:start w:w="120" w:type="dxa"/>
              <w:bottom w:w="80" w:type="dxa"/>
              <w:end w:w="120" w:type="dxa"/>
            </w:tcMar>
            <w:vAlign w:val="center"/>
            <w:shd w:fill="E8EEF5"/>
          </w:tcPr>
          <w:p>
            <w:pPr>
              <w:spacing w:after="0" w:line="264" w:lineRule="auto"/>
              <w:jc w:val="center"/>
            </w:pPr>
            <w:r>
              <w:rPr>
                <w:rFonts w:ascii="Calibri" w:hAnsi="Calibri"/>
                <w:b/>
                <w:i w:val="0"/>
                <w:color w:val="1F4D78"/>
                <w:sz w:val="17"/>
              </w:rPr>
              <w:t>Año</w:t>
            </w:r>
          </w:p>
        </w:tc>
        <w:tc>
          <w:tcPr>
            <w:tcW w:type="dxa" w:w="1500"/>
            <w:tcMar>
              <w:top w:w="80" w:type="dxa"/>
              <w:start w:w="120" w:type="dxa"/>
              <w:bottom w:w="80" w:type="dxa"/>
              <w:end w:w="120" w:type="dxa"/>
            </w:tcMar>
            <w:vAlign w:val="center"/>
            <w:shd w:fill="E8EEF5"/>
          </w:tcPr>
          <w:p>
            <w:pPr>
              <w:spacing w:after="0" w:line="264" w:lineRule="auto"/>
              <w:jc w:val="center"/>
            </w:pPr>
            <w:r>
              <w:rPr>
                <w:rFonts w:ascii="Calibri" w:hAnsi="Calibri"/>
                <w:b/>
                <w:i w:val="0"/>
                <w:color w:val="1F4D78"/>
                <w:sz w:val="17"/>
              </w:rPr>
              <w:t>Observadas</w:t>
            </w:r>
          </w:p>
        </w:tc>
        <w:tc>
          <w:tcPr>
            <w:tcW w:type="dxa" w:w="1500"/>
            <w:tcMar>
              <w:top w:w="80" w:type="dxa"/>
              <w:start w:w="120" w:type="dxa"/>
              <w:bottom w:w="80" w:type="dxa"/>
              <w:end w:w="120" w:type="dxa"/>
            </w:tcMar>
            <w:vAlign w:val="center"/>
            <w:shd w:fill="E8EEF5"/>
          </w:tcPr>
          <w:p>
            <w:pPr>
              <w:spacing w:after="0" w:line="264" w:lineRule="auto"/>
              <w:jc w:val="center"/>
            </w:pPr>
            <w:r>
              <w:rPr>
                <w:rFonts w:ascii="Calibri" w:hAnsi="Calibri"/>
                <w:b/>
                <w:i w:val="0"/>
                <w:color w:val="1F4D78"/>
                <w:sz w:val="17"/>
              </w:rPr>
              <w:t>Esperadas</w:t>
            </w:r>
          </w:p>
        </w:tc>
        <w:tc>
          <w:tcPr>
            <w:tcW w:type="dxa" w:w="5360"/>
            <w:tcMar>
              <w:top w:w="80" w:type="dxa"/>
              <w:start w:w="120" w:type="dxa"/>
              <w:bottom w:w="80" w:type="dxa"/>
              <w:end w:w="120" w:type="dxa"/>
            </w:tcMar>
            <w:vAlign w:val="center"/>
            <w:shd w:fill="E8EEF5"/>
          </w:tcPr>
          <w:p>
            <w:pPr>
              <w:spacing w:after="0" w:line="264" w:lineRule="auto"/>
              <w:jc w:val="center"/>
            </w:pPr>
            <w:r>
              <w:rPr>
                <w:rFonts w:ascii="Calibri" w:hAnsi="Calibri"/>
                <w:b/>
                <w:i w:val="0"/>
                <w:color w:val="1F4D78"/>
                <w:sz w:val="17"/>
              </w:rPr>
              <w:t>Lectura</w:t>
            </w:r>
          </w:p>
        </w:tc>
      </w:tr>
      <w:tr>
        <w:tc>
          <w:tcPr>
            <w:tcW w:type="dxa" w:w="10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2014</w:t>
            </w:r>
          </w:p>
        </w:tc>
        <w:tc>
          <w:tcPr>
            <w:tcW w:type="dxa" w:w="15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83</w:t>
            </w:r>
          </w:p>
        </w:tc>
        <w:tc>
          <w:tcPr>
            <w:tcW w:type="dxa" w:w="15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83</w:t>
            </w:r>
          </w:p>
        </w:tc>
        <w:tc>
          <w:tcPr>
            <w:tcW w:type="dxa" w:w="53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OK</w:t>
            </w:r>
          </w:p>
        </w:tc>
      </w:tr>
      <w:tr>
        <w:tc>
          <w:tcPr>
            <w:tcW w:type="dxa" w:w="10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2015</w:t>
            </w:r>
          </w:p>
        </w:tc>
        <w:tc>
          <w:tcPr>
            <w:tcW w:type="dxa" w:w="15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85</w:t>
            </w:r>
          </w:p>
        </w:tc>
        <w:tc>
          <w:tcPr>
            <w:tcW w:type="dxa" w:w="15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85</w:t>
            </w:r>
          </w:p>
        </w:tc>
        <w:tc>
          <w:tcPr>
            <w:tcW w:type="dxa" w:w="53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OK</w:t>
            </w:r>
          </w:p>
        </w:tc>
      </w:tr>
      <w:tr>
        <w:tc>
          <w:tcPr>
            <w:tcW w:type="dxa" w:w="10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2016</w:t>
            </w:r>
          </w:p>
        </w:tc>
        <w:tc>
          <w:tcPr>
            <w:tcW w:type="dxa" w:w="15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86</w:t>
            </w:r>
          </w:p>
        </w:tc>
        <w:tc>
          <w:tcPr>
            <w:tcW w:type="dxa" w:w="15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86</w:t>
            </w:r>
          </w:p>
        </w:tc>
        <w:tc>
          <w:tcPr>
            <w:tcW w:type="dxa" w:w="53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OK</w:t>
            </w:r>
          </w:p>
        </w:tc>
      </w:tr>
      <w:tr>
        <w:tc>
          <w:tcPr>
            <w:tcW w:type="dxa" w:w="10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2017</w:t>
            </w:r>
          </w:p>
        </w:tc>
        <w:tc>
          <w:tcPr>
            <w:tcW w:type="dxa" w:w="15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86</w:t>
            </w:r>
          </w:p>
        </w:tc>
        <w:tc>
          <w:tcPr>
            <w:tcW w:type="dxa" w:w="15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86</w:t>
            </w:r>
          </w:p>
        </w:tc>
        <w:tc>
          <w:tcPr>
            <w:tcW w:type="dxa" w:w="53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OK</w:t>
            </w:r>
          </w:p>
        </w:tc>
      </w:tr>
      <w:tr>
        <w:tc>
          <w:tcPr>
            <w:tcW w:type="dxa" w:w="10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2018</w:t>
            </w:r>
          </w:p>
        </w:tc>
        <w:tc>
          <w:tcPr>
            <w:tcW w:type="dxa" w:w="15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87</w:t>
            </w:r>
          </w:p>
        </w:tc>
        <w:tc>
          <w:tcPr>
            <w:tcW w:type="dxa" w:w="15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87</w:t>
            </w:r>
          </w:p>
        </w:tc>
        <w:tc>
          <w:tcPr>
            <w:tcW w:type="dxa" w:w="53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OK</w:t>
            </w:r>
          </w:p>
        </w:tc>
      </w:tr>
      <w:tr>
        <w:tc>
          <w:tcPr>
            <w:tcW w:type="dxa" w:w="10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2019</w:t>
            </w:r>
          </w:p>
        </w:tc>
        <w:tc>
          <w:tcPr>
            <w:tcW w:type="dxa" w:w="15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90</w:t>
            </w:r>
          </w:p>
        </w:tc>
        <w:tc>
          <w:tcPr>
            <w:tcW w:type="dxa" w:w="15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90</w:t>
            </w:r>
          </w:p>
        </w:tc>
        <w:tc>
          <w:tcPr>
            <w:tcW w:type="dxa" w:w="53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OK</w:t>
            </w:r>
          </w:p>
        </w:tc>
      </w:tr>
      <w:tr>
        <w:tc>
          <w:tcPr>
            <w:tcW w:type="dxa" w:w="10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2020</w:t>
            </w:r>
          </w:p>
        </w:tc>
        <w:tc>
          <w:tcPr>
            <w:tcW w:type="dxa" w:w="15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89</w:t>
            </w:r>
          </w:p>
        </w:tc>
        <w:tc>
          <w:tcPr>
            <w:tcW w:type="dxa" w:w="15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90</w:t>
            </w:r>
          </w:p>
        </w:tc>
        <w:tc>
          <w:tcPr>
            <w:tcW w:type="dxa" w:w="53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Plaza de Mayo sin observaciones</w:t>
            </w:r>
          </w:p>
        </w:tc>
      </w:tr>
      <w:tr>
        <w:tc>
          <w:tcPr>
            <w:tcW w:type="dxa" w:w="10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2021</w:t>
            </w:r>
          </w:p>
        </w:tc>
        <w:tc>
          <w:tcPr>
            <w:tcW w:type="dxa" w:w="15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90</w:t>
            </w:r>
          </w:p>
        </w:tc>
        <w:tc>
          <w:tcPr>
            <w:tcW w:type="dxa" w:w="15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90</w:t>
            </w:r>
          </w:p>
        </w:tc>
        <w:tc>
          <w:tcPr>
            <w:tcW w:type="dxa" w:w="53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OK</w:t>
            </w:r>
          </w:p>
        </w:tc>
      </w:tr>
      <w:tr>
        <w:tc>
          <w:tcPr>
            <w:tcW w:type="dxa" w:w="10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2022</w:t>
            </w:r>
          </w:p>
        </w:tc>
        <w:tc>
          <w:tcPr>
            <w:tcW w:type="dxa" w:w="15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90</w:t>
            </w:r>
          </w:p>
        </w:tc>
        <w:tc>
          <w:tcPr>
            <w:tcW w:type="dxa" w:w="15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90</w:t>
            </w:r>
          </w:p>
        </w:tc>
        <w:tc>
          <w:tcPr>
            <w:tcW w:type="dxa" w:w="53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OK</w:t>
            </w:r>
          </w:p>
        </w:tc>
      </w:tr>
      <w:tr>
        <w:tc>
          <w:tcPr>
            <w:tcW w:type="dxa" w:w="10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2023</w:t>
            </w:r>
          </w:p>
        </w:tc>
        <w:tc>
          <w:tcPr>
            <w:tcW w:type="dxa" w:w="15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90</w:t>
            </w:r>
          </w:p>
        </w:tc>
        <w:tc>
          <w:tcPr>
            <w:tcW w:type="dxa" w:w="15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90</w:t>
            </w:r>
          </w:p>
        </w:tc>
        <w:tc>
          <w:tcPr>
            <w:tcW w:type="dxa" w:w="53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OK</w:t>
            </w:r>
          </w:p>
        </w:tc>
      </w:tr>
      <w:tr>
        <w:tc>
          <w:tcPr>
            <w:tcW w:type="dxa" w:w="10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2024</w:t>
            </w:r>
          </w:p>
        </w:tc>
        <w:tc>
          <w:tcPr>
            <w:tcW w:type="dxa" w:w="15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90</w:t>
            </w:r>
          </w:p>
        </w:tc>
        <w:tc>
          <w:tcPr>
            <w:tcW w:type="dxa" w:w="15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90</w:t>
            </w:r>
          </w:p>
        </w:tc>
        <w:tc>
          <w:tcPr>
            <w:tcW w:type="dxa" w:w="53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OK</w:t>
            </w:r>
          </w:p>
        </w:tc>
      </w:tr>
      <w:tr>
        <w:tc>
          <w:tcPr>
            <w:tcW w:type="dxa" w:w="10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2025</w:t>
            </w:r>
          </w:p>
        </w:tc>
        <w:tc>
          <w:tcPr>
            <w:tcW w:type="dxa" w:w="15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90</w:t>
            </w:r>
          </w:p>
        </w:tc>
        <w:tc>
          <w:tcPr>
            <w:tcW w:type="dxa" w:w="15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90</w:t>
            </w:r>
          </w:p>
        </w:tc>
        <w:tc>
          <w:tcPr>
            <w:tcW w:type="dxa" w:w="53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OK tras descartes</w:t>
            </w:r>
          </w:p>
        </w:tc>
      </w:tr>
      <w:tr>
        <w:tc>
          <w:tcPr>
            <w:tcW w:type="dxa" w:w="10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2026</w:t>
            </w:r>
          </w:p>
        </w:tc>
        <w:tc>
          <w:tcPr>
            <w:tcW w:type="dxa" w:w="15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90</w:t>
            </w:r>
          </w:p>
        </w:tc>
        <w:tc>
          <w:tcPr>
            <w:tcW w:type="dxa" w:w="15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90</w:t>
            </w:r>
          </w:p>
        </w:tc>
        <w:tc>
          <w:tcPr>
            <w:tcW w:type="dxa" w:w="53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OK; año parcial</w:t>
            </w:r>
          </w:p>
        </w:tc>
      </w:tr>
    </w:tbl>
    <w:p>
      <w:pPr>
        <w:spacing w:after="40"/>
      </w:pPr>
    </w:p>
    <w:p>
      <w:pPr>
        <w:spacing w:before="0" w:after="120" w:line="300" w:lineRule="auto"/>
      </w:pPr>
      <w:r>
        <w:rPr>
          <w:rFonts w:ascii="Calibri" w:hAnsi="Calibri"/>
          <w:b w:val="0"/>
          <w:i/>
          <w:color w:val="5C6770"/>
          <w:sz w:val="22"/>
        </w:rPr>
        <w:t>Descartes validados: diez registros station-slot de Loria asignados a líneas incorrectas en 2025, seis #N/D en 2025, un #N/D en 2026 y un registro PRUEBA en 2025. El detalle exacto se exporta a estaciones_descartadas.csv.</w:t>
      </w:r>
    </w:p>
    <w:p>
      <w:pPr>
        <w:pStyle w:val="Heading1"/>
      </w:pPr>
      <w:r>
        <w:t>5. Rendimiento, memoria y caché</w:t>
      </w:r>
    </w:p>
    <w:p>
      <w:pPr>
        <w:pStyle w:val="ListBullet"/>
        <w:spacing w:after="80" w:line="300" w:lineRule="auto"/>
        <w:ind w:left="540" w:hanging="271"/>
      </w:pPr>
      <w:r>
        <w:rPr>
          <w:rFonts w:ascii="Calibri" w:hAnsi="Calibri"/>
          <w:b w:val="0"/>
          <w:i w:val="0"/>
          <w:color w:val="172A3A"/>
          <w:sz w:val="22"/>
        </w:rPr>
        <w:t>Lectura por chunks de 300.000 filas y escritura Parquet con compresión Zstandard.</w:t>
      </w:r>
    </w:p>
    <w:p>
      <w:pPr>
        <w:pStyle w:val="ListBullet"/>
        <w:spacing w:after="80" w:line="300" w:lineRule="auto"/>
        <w:ind w:left="540" w:hanging="271"/>
      </w:pPr>
      <w:r>
        <w:rPr>
          <w:rFonts w:ascii="Calibri" w:hAnsi="Calibri"/>
          <w:b w:val="0"/>
          <w:i w:val="0"/>
          <w:color w:val="172A3A"/>
          <w:sz w:val="22"/>
        </w:rPr>
        <w:t>Manifiesto por fuente con tamaño, fecha de modificación, formato, años y conteos de duración; las fuentes sin cambios se reutilizan.</w:t>
      </w:r>
    </w:p>
    <w:p>
      <w:pPr>
        <w:pStyle w:val="ListBullet"/>
        <w:spacing w:after="80" w:line="300" w:lineRule="auto"/>
        <w:ind w:left="540" w:hanging="271"/>
      </w:pPr>
      <w:r>
        <w:rPr>
          <w:rFonts w:ascii="Calibri" w:hAnsi="Calibri"/>
          <w:b w:val="0"/>
          <w:i w:val="0"/>
          <w:color w:val="172A3A"/>
          <w:sz w:val="22"/>
        </w:rPr>
        <w:t>DuckDB en memoria para evitar bloqueos entre kernels; los resultados persistentes permanecen en Parquet.</w:t>
      </w:r>
    </w:p>
    <w:p>
      <w:pPr>
        <w:pStyle w:val="ListBullet"/>
        <w:spacing w:after="80" w:line="300" w:lineRule="auto"/>
        <w:ind w:left="540" w:hanging="271"/>
      </w:pPr>
      <w:r>
        <w:rPr>
          <w:rFonts w:ascii="Calibri" w:hAnsi="Calibri"/>
          <w:b w:val="0"/>
          <w:i w:val="0"/>
          <w:color w:val="172A3A"/>
          <w:sz w:val="22"/>
        </w:rPr>
        <w:t>Límite automático de memoria: aproximadamente 55% de RAM total y 75% de RAM disponible, tomando el mínimo.</w:t>
      </w:r>
    </w:p>
    <w:p>
      <w:pPr>
        <w:pStyle w:val="ListBullet"/>
        <w:spacing w:after="80" w:line="300" w:lineRule="auto"/>
        <w:ind w:left="540" w:hanging="271"/>
      </w:pPr>
      <w:r>
        <w:rPr>
          <w:rFonts w:ascii="Calibri" w:hAnsi="Calibri"/>
          <w:b w:val="0"/>
          <w:i w:val="0"/>
          <w:color w:val="172A3A"/>
          <w:sz w:val="22"/>
        </w:rPr>
        <w:t>Máximo automático de cuatro hilos y ajuste adicional según memoria disponible.</w:t>
      </w:r>
    </w:p>
    <w:p>
      <w:pPr>
        <w:pStyle w:val="ListBullet"/>
        <w:spacing w:after="80" w:line="300" w:lineRule="auto"/>
        <w:ind w:left="540" w:hanging="271"/>
      </w:pPr>
      <w:r>
        <w:rPr>
          <w:rFonts w:ascii="Calibri" w:hAnsi="Calibri"/>
          <w:b w:val="0"/>
          <w:i w:val="0"/>
          <w:color w:val="172A3A"/>
          <w:sz w:val="22"/>
        </w:rPr>
        <w:t>Directorio temporal explícito, reserva mínima de 3 GiB y límite de spill equivalente a 85% del espacio utilizable.</w:t>
      </w:r>
    </w:p>
    <w:p>
      <w:pPr>
        <w:pStyle w:val="ListBullet"/>
        <w:spacing w:after="80" w:line="300" w:lineRule="auto"/>
        <w:ind w:left="540" w:hanging="271"/>
      </w:pPr>
      <w:r>
        <w:rPr>
          <w:rFonts w:ascii="Calibri" w:hAnsi="Calibri"/>
          <w:b w:val="0"/>
          <w:i w:val="0"/>
          <w:color w:val="172A3A"/>
          <w:sz w:val="22"/>
        </w:rPr>
        <w:t>Capas anuales de deduplicación, station-slot, cobertura y auditoría: solo se reconstruyen años afectados.</w:t>
      </w:r>
    </w:p>
    <w:p>
      <w:pPr>
        <w:pStyle w:val="ListBullet"/>
        <w:spacing w:after="80" w:line="300" w:lineRule="auto"/>
        <w:ind w:left="540" w:hanging="271"/>
      </w:pPr>
      <w:r>
        <w:rPr>
          <w:rFonts w:ascii="Calibri" w:hAnsi="Calibri"/>
          <w:b w:val="0"/>
          <w:i w:val="0"/>
          <w:color w:val="172A3A"/>
          <w:sz w:val="22"/>
        </w:rPr>
        <w:t>La normalización de estaciones es una vista liviana; no invalida la caché de 122 fuentes.</w:t>
      </w:r>
    </w:p>
    <w:p>
      <w:pPr>
        <w:pStyle w:val="Heading1"/>
      </w:pPr>
      <w:r>
        <w:t>6. Metodología estadística</w:t>
      </w:r>
    </w:p>
    <w:p>
      <w:pPr>
        <w:pStyle w:val="Heading2"/>
      </w:pPr>
      <w:r>
        <w:t>6.1 Curvas y cobertura</w:t>
      </w:r>
    </w:p>
    <w:p>
      <w:pPr>
        <w:spacing w:before="0" w:after="120" w:line="300" w:lineRule="auto"/>
      </w:pPr>
      <w:r>
        <w:rPr>
          <w:rFonts w:ascii="Calibri" w:hAnsi="Calibri"/>
          <w:b w:val="0"/>
          <w:i w:val="0"/>
          <w:color w:val="172A3A"/>
          <w:sz w:val="22"/>
        </w:rPr>
        <w:t>Se agregan molinetes por estación-fecha-slot. Los slots esperados se estiman por año y segmento de día. Se descartan curvas con cobertura inferior al umbral y se conserva el volumen diario mediano como variable separada de la forma.</w:t>
      </w:r>
    </w:p>
    <w:p>
      <w:pPr>
        <w:pStyle w:val="Heading2"/>
      </w:pPr>
      <w:r>
        <w:t>6.2 Suavizado y FPCA</w:t>
      </w:r>
    </w:p>
    <w:p>
      <w:pPr>
        <w:spacing w:before="0" w:after="120" w:line="300" w:lineRule="auto"/>
      </w:pPr>
      <w:r>
        <w:rPr>
          <w:rFonts w:ascii="Calibri" w:hAnsi="Calibri"/>
          <w:b w:val="0"/>
          <w:i w:val="0"/>
          <w:color w:val="172A3A"/>
          <w:sz w:val="22"/>
        </w:rPr>
        <w:t>Las curvas normalizadas se suavizan con base B-spline y penalización de segunda diferencia. Lambda se elige por GCV dentro de cada segmento. La FPCA se ajusta sobre años completos no pandémicos; 2020-2021 y años parciales se proyectan después sobre ese espacio estable.</w:t>
      </w:r>
    </w:p>
    <w:p>
      <w:pPr>
        <w:pStyle w:val="Heading2"/>
      </w:pPr>
      <w:r>
        <w:t>6.3 Clustering</w:t>
      </w:r>
    </w:p>
    <w:p>
      <w:pPr>
        <w:spacing w:before="0" w:after="120" w:line="300" w:lineRule="auto"/>
      </w:pPr>
      <w:r>
        <w:rPr>
          <w:rFonts w:ascii="Calibri" w:hAnsi="Calibri"/>
          <w:b w:val="0"/>
          <w:i w:val="0"/>
          <w:color w:val="172A3A"/>
          <w:sz w:val="22"/>
        </w:rPr>
        <w:t>K-means se ajusta sobre los scores retenidos. El número de grupos se evalúa mediante silhouette, estabilidad ARI entre repeticiones y tamaño mínimo. Las etiquetas se ordenan por hora del pico del perfil mediano para facilitar su lectura temporal.</w:t>
      </w:r>
    </w:p>
    <w:p>
      <w:pPr>
        <w:spacing w:before="0" w:after="120" w:line="300" w:lineRule="auto"/>
      </w:pPr>
      <w:r>
        <w:rPr>
          <w:rFonts w:ascii="Calibri" w:hAnsi="Calibri"/>
          <w:b/>
          <w:i w:val="0"/>
          <w:color w:val="1F4D78"/>
          <w:sz w:val="22"/>
        </w:rPr>
        <w:t>Ejecución validada después de la normalización de estaciones:</w:t>
      </w:r>
    </w:p>
    <w:tbl>
      <w:tblPr>
        <w:tblStyle w:val="TableGrid"/>
        <w:tblW w:type="dxa" w:w="9360"/>
        <w:tblLayout w:type="fixed"/>
        <w:tblLook w:firstColumn="1" w:firstRow="1" w:lastColumn="0" w:lastRow="0" w:noHBand="0" w:noVBand="1" w:val="04A0"/>
        <w:jc w:val="left"/>
        <w:tblInd w:w="120" w:type="dxa"/>
      </w:tblPr>
      <w:tblGrid>
        <w:gridCol w:w="2400"/>
        <w:gridCol w:w="1200"/>
        <w:gridCol w:w="1200"/>
        <w:gridCol w:w="700"/>
        <w:gridCol w:w="1700"/>
        <w:gridCol w:w="2160"/>
      </w:tblGrid>
      <w:tr>
        <w:trPr>
          <w:tblHeader w:val="true"/>
        </w:trPr>
        <w:tc>
          <w:tcPr>
            <w:tcW w:type="dxa" w:w="2400"/>
            <w:tcMar>
              <w:top w:w="80" w:type="dxa"/>
              <w:start w:w="120" w:type="dxa"/>
              <w:bottom w:w="80" w:type="dxa"/>
              <w:end w:w="120" w:type="dxa"/>
            </w:tcMar>
            <w:vAlign w:val="center"/>
            <w:shd w:fill="E8EEF5"/>
          </w:tcPr>
          <w:p>
            <w:pPr>
              <w:spacing w:after="0" w:line="264" w:lineRule="auto"/>
              <w:jc w:val="center"/>
            </w:pPr>
            <w:r>
              <w:rPr>
                <w:rFonts w:ascii="Calibri" w:hAnsi="Calibri"/>
                <w:b/>
                <w:i w:val="0"/>
                <w:color w:val="1F4D78"/>
                <w:sz w:val="17"/>
              </w:rPr>
              <w:t>Segmento</w:t>
            </w:r>
          </w:p>
        </w:tc>
        <w:tc>
          <w:tcPr>
            <w:tcW w:type="dxa" w:w="1200"/>
            <w:tcMar>
              <w:top w:w="80" w:type="dxa"/>
              <w:start w:w="120" w:type="dxa"/>
              <w:bottom w:w="80" w:type="dxa"/>
              <w:end w:w="120" w:type="dxa"/>
            </w:tcMar>
            <w:vAlign w:val="center"/>
            <w:shd w:fill="E8EEF5"/>
          </w:tcPr>
          <w:p>
            <w:pPr>
              <w:spacing w:after="0" w:line="264" w:lineRule="auto"/>
              <w:jc w:val="center"/>
            </w:pPr>
            <w:r>
              <w:rPr>
                <w:rFonts w:ascii="Calibri" w:hAnsi="Calibri"/>
                <w:b/>
                <w:i w:val="0"/>
                <w:color w:val="1F4D78"/>
                <w:sz w:val="17"/>
              </w:rPr>
              <w:t>Curvas</w:t>
            </w:r>
          </w:p>
        </w:tc>
        <w:tc>
          <w:tcPr>
            <w:tcW w:type="dxa" w:w="1200"/>
            <w:tcMar>
              <w:top w:w="80" w:type="dxa"/>
              <w:start w:w="120" w:type="dxa"/>
              <w:bottom w:w="80" w:type="dxa"/>
              <w:end w:w="120" w:type="dxa"/>
            </w:tcMar>
            <w:vAlign w:val="center"/>
            <w:shd w:fill="E8EEF5"/>
          </w:tcPr>
          <w:p>
            <w:pPr>
              <w:spacing w:after="0" w:line="264" w:lineRule="auto"/>
              <w:jc w:val="center"/>
            </w:pPr>
            <w:r>
              <w:rPr>
                <w:rFonts w:ascii="Calibri" w:hAnsi="Calibri"/>
                <w:b/>
                <w:i w:val="0"/>
                <w:color w:val="1F4D78"/>
                <w:sz w:val="17"/>
              </w:rPr>
              <w:t>FPC 90%</w:t>
            </w:r>
          </w:p>
        </w:tc>
        <w:tc>
          <w:tcPr>
            <w:tcW w:type="dxa" w:w="700"/>
            <w:tcMar>
              <w:top w:w="80" w:type="dxa"/>
              <w:start w:w="120" w:type="dxa"/>
              <w:bottom w:w="80" w:type="dxa"/>
              <w:end w:w="120" w:type="dxa"/>
            </w:tcMar>
            <w:vAlign w:val="center"/>
            <w:shd w:fill="E8EEF5"/>
          </w:tcPr>
          <w:p>
            <w:pPr>
              <w:spacing w:after="0" w:line="264" w:lineRule="auto"/>
              <w:jc w:val="center"/>
            </w:pPr>
            <w:r>
              <w:rPr>
                <w:rFonts w:ascii="Calibri" w:hAnsi="Calibri"/>
                <w:b/>
                <w:i w:val="0"/>
                <w:color w:val="1F4D78"/>
                <w:sz w:val="17"/>
              </w:rPr>
              <w:t>k</w:t>
            </w:r>
          </w:p>
        </w:tc>
        <w:tc>
          <w:tcPr>
            <w:tcW w:type="dxa" w:w="1700"/>
            <w:tcMar>
              <w:top w:w="80" w:type="dxa"/>
              <w:start w:w="120" w:type="dxa"/>
              <w:bottom w:w="80" w:type="dxa"/>
              <w:end w:w="120" w:type="dxa"/>
            </w:tcMar>
            <w:vAlign w:val="center"/>
            <w:shd w:fill="E8EEF5"/>
          </w:tcPr>
          <w:p>
            <w:pPr>
              <w:spacing w:after="0" w:line="264" w:lineRule="auto"/>
              <w:jc w:val="center"/>
            </w:pPr>
            <w:r>
              <w:rPr>
                <w:rFonts w:ascii="Calibri" w:hAnsi="Calibri"/>
                <w:b/>
                <w:i w:val="0"/>
                <w:color w:val="1F4D78"/>
                <w:sz w:val="17"/>
              </w:rPr>
              <w:t>Silhouette</w:t>
            </w:r>
          </w:p>
        </w:tc>
        <w:tc>
          <w:tcPr>
            <w:tcW w:type="dxa" w:w="2160"/>
            <w:tcMar>
              <w:top w:w="80" w:type="dxa"/>
              <w:start w:w="120" w:type="dxa"/>
              <w:bottom w:w="80" w:type="dxa"/>
              <w:end w:w="120" w:type="dxa"/>
            </w:tcMar>
            <w:vAlign w:val="center"/>
            <w:shd w:fill="E8EEF5"/>
          </w:tcPr>
          <w:p>
            <w:pPr>
              <w:spacing w:after="0" w:line="264" w:lineRule="auto"/>
              <w:jc w:val="center"/>
            </w:pPr>
            <w:r>
              <w:rPr>
                <w:rFonts w:ascii="Calibri" w:hAnsi="Calibri"/>
                <w:b/>
                <w:i w:val="0"/>
                <w:color w:val="1F4D78"/>
                <w:sz w:val="17"/>
              </w:rPr>
              <w:t>ARI</w:t>
            </w:r>
          </w:p>
        </w:tc>
      </w:tr>
      <w:tr>
        <w:tc>
          <w:tcPr>
            <w:tcW w:type="dxa" w:w="24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Laborable</w:t>
            </w:r>
          </w:p>
        </w:tc>
        <w:tc>
          <w:tcPr>
            <w:tcW w:type="dxa" w:w="12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1105</w:t>
            </w:r>
          </w:p>
        </w:tc>
        <w:tc>
          <w:tcPr>
            <w:tcW w:type="dxa" w:w="12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2</w:t>
            </w:r>
          </w:p>
        </w:tc>
        <w:tc>
          <w:tcPr>
            <w:tcW w:type="dxa" w:w="7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2</w:t>
            </w:r>
          </w:p>
        </w:tc>
        <w:tc>
          <w:tcPr>
            <w:tcW w:type="dxa" w:w="17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0.529</w:t>
            </w:r>
          </w:p>
        </w:tc>
        <w:tc>
          <w:tcPr>
            <w:tcW w:type="dxa" w:w="21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1.000</w:t>
            </w:r>
          </w:p>
        </w:tc>
      </w:tr>
      <w:tr>
        <w:tc>
          <w:tcPr>
            <w:tcW w:type="dxa" w:w="24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Sábado</w:t>
            </w:r>
          </w:p>
        </w:tc>
        <w:tc>
          <w:tcPr>
            <w:tcW w:type="dxa" w:w="12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1065</w:t>
            </w:r>
          </w:p>
        </w:tc>
        <w:tc>
          <w:tcPr>
            <w:tcW w:type="dxa" w:w="12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3</w:t>
            </w:r>
          </w:p>
        </w:tc>
        <w:tc>
          <w:tcPr>
            <w:tcW w:type="dxa" w:w="7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3</w:t>
            </w:r>
          </w:p>
        </w:tc>
        <w:tc>
          <w:tcPr>
            <w:tcW w:type="dxa" w:w="17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0.381</w:t>
            </w:r>
          </w:p>
        </w:tc>
        <w:tc>
          <w:tcPr>
            <w:tcW w:type="dxa" w:w="21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0.996</w:t>
            </w:r>
          </w:p>
        </w:tc>
      </w:tr>
      <w:tr>
        <w:tc>
          <w:tcPr>
            <w:tcW w:type="dxa" w:w="24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Domingo/Feriado</w:t>
            </w:r>
          </w:p>
        </w:tc>
        <w:tc>
          <w:tcPr>
            <w:tcW w:type="dxa" w:w="12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1100</w:t>
            </w:r>
          </w:p>
        </w:tc>
        <w:tc>
          <w:tcPr>
            <w:tcW w:type="dxa" w:w="12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3</w:t>
            </w:r>
          </w:p>
        </w:tc>
        <w:tc>
          <w:tcPr>
            <w:tcW w:type="dxa" w:w="7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2</w:t>
            </w:r>
          </w:p>
        </w:tc>
        <w:tc>
          <w:tcPr>
            <w:tcW w:type="dxa" w:w="17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0.514</w:t>
            </w:r>
          </w:p>
        </w:tc>
        <w:tc>
          <w:tcPr>
            <w:tcW w:type="dxa" w:w="21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0.998</w:t>
            </w:r>
          </w:p>
        </w:tc>
      </w:tr>
    </w:tbl>
    <w:p>
      <w:pPr>
        <w:spacing w:after="40"/>
      </w:pPr>
    </w:p>
    <w:p>
      <w:pPr>
        <w:pStyle w:val="Heading2"/>
      </w:pPr>
      <w:r>
        <w:t>6.4 MaxVol</w:t>
      </w:r>
    </w:p>
    <w:p>
      <w:pPr>
        <w:spacing w:before="0" w:after="120" w:line="300" w:lineRule="auto"/>
      </w:pPr>
      <w:r>
        <w:rPr>
          <w:rFonts w:ascii="Calibri" w:hAnsi="Calibri"/>
          <w:b w:val="0"/>
          <w:i w:val="0"/>
          <w:color w:val="172A3A"/>
          <w:sz w:val="22"/>
        </w:rPr>
        <w:t>MaxVol se aplica por segmento sobre los scores estandarizados de las FPC necesarias para alcanzar el objetivo de varianza. Se agrega una columna de unos para representar geometría afín. Una selección QR con pivoteo inicializa el algoritmo y los intercambios continúan hasta que el mayor coeficiente de interpolación queda por debajo de 1,05 o se alcanza el máximo de iteraciones.</w:t>
      </w:r>
    </w:p>
    <w:p>
      <w:pPr>
        <w:pStyle w:val="ListBullet"/>
        <w:spacing w:after="80" w:line="300" w:lineRule="auto"/>
        <w:ind w:left="540" w:hanging="271"/>
      </w:pPr>
      <w:r>
        <w:rPr>
          <w:rFonts w:ascii="Calibri" w:hAnsi="Calibri"/>
          <w:b w:val="0"/>
          <w:i w:val="0"/>
          <w:color w:val="172A3A"/>
          <w:sz w:val="22"/>
        </w:rPr>
        <w:t>Los prototipos son observaciones reales y extremas; no son centroides.</w:t>
      </w:r>
    </w:p>
    <w:p>
      <w:pPr>
        <w:pStyle w:val="ListBullet"/>
        <w:spacing w:after="80" w:line="300" w:lineRule="auto"/>
        <w:ind w:left="540" w:hanging="271"/>
      </w:pPr>
      <w:r>
        <w:rPr>
          <w:rFonts w:ascii="Calibri" w:hAnsi="Calibri"/>
          <w:b w:val="0"/>
          <w:i w:val="0"/>
          <w:color w:val="172A3A"/>
          <w:sz w:val="22"/>
        </w:rPr>
        <w:t>Se muestran como estrellas sobre todos los scores FPCA y también como curvas horarias.</w:t>
      </w:r>
    </w:p>
    <w:p>
      <w:pPr>
        <w:pStyle w:val="ListBullet"/>
        <w:spacing w:after="80" w:line="300" w:lineRule="auto"/>
        <w:ind w:left="540" w:hanging="271"/>
      </w:pPr>
      <w:r>
        <w:rPr>
          <w:rFonts w:ascii="Calibri" w:hAnsi="Calibri"/>
          <w:b w:val="0"/>
          <w:i w:val="0"/>
          <w:color w:val="172A3A"/>
          <w:sz w:val="22"/>
        </w:rPr>
        <w:t>La tabla prototipos_maxvol.csv conserva estación, año, cluster, pico, volumen, referencia y diagnóstico numérico.</w:t>
      </w:r>
    </w:p>
    <w:p>
      <w:pPr>
        <w:pStyle w:val="ListBullet"/>
        <w:spacing w:after="80" w:line="300" w:lineRule="auto"/>
        <w:ind w:left="540" w:hanging="271"/>
      </w:pPr>
      <w:r>
        <w:rPr>
          <w:rFonts w:ascii="Calibri" w:hAnsi="Calibri"/>
          <w:b w:val="0"/>
          <w:i w:val="0"/>
          <w:color w:val="172A3A"/>
          <w:sz w:val="22"/>
        </w:rPr>
        <w:t>Los casos pandémicos o parciales pueden ser elegidos por su excepcionalidad; deben interpretarse con cobertura y contexto.</w:t>
      </w:r>
    </w:p>
    <w:p>
      <w:pPr>
        <w:pStyle w:val="Heading2"/>
      </w:pPr>
      <w:r>
        <w:t>6.5 Preparación del dashboard geográfico</w:t>
      </w:r>
    </w:p>
    <w:p>
      <w:pPr>
        <w:spacing w:before="0" w:after="120" w:line="300" w:lineRule="auto"/>
      </w:pPr>
      <w:r>
        <w:rPr>
          <w:rFonts w:ascii="Calibri" w:hAnsi="Calibri"/>
          <w:b w:val="0"/>
          <w:i w:val="0"/>
          <w:color w:val="172A3A"/>
          <w:sz w:val="22"/>
        </w:rPr>
        <w:t>Se incorporó una capa local de 90 coordenadas canónicas proveniente del GeoJSON oficial de Buenos Aires Data. Los nombres extendidos del catálogo se traducen al diccionario histórico usado por el análisis. La unión se valida: una estación analítica sin coordenadas detiene la generación del insumo del mapa.</w:t>
      </w:r>
    </w:p>
    <w:p>
      <w:pPr>
        <w:pStyle w:val="ListBullet"/>
        <w:spacing w:after="80" w:line="300" w:lineRule="auto"/>
        <w:ind w:left="540" w:hanging="271"/>
      </w:pPr>
      <w:r>
        <w:rPr>
          <w:rFonts w:ascii="Calibri" w:hAnsi="Calibri"/>
          <w:b w:val="0"/>
          <w:i w:val="0"/>
          <w:color w:val="172A3A"/>
          <w:sz w:val="22"/>
        </w:rPr>
        <w:t>El mapa representa un día típico mediante la mediana de pasajeros por estación, segmento y slot de 15 minutos.</w:t>
      </w:r>
    </w:p>
    <w:p>
      <w:pPr>
        <w:pStyle w:val="ListBullet"/>
        <w:spacing w:after="80" w:line="300" w:lineRule="auto"/>
        <w:ind w:left="540" w:hanging="271"/>
      </w:pPr>
      <w:r>
        <w:rPr>
          <w:rFonts w:ascii="Calibri" w:hAnsi="Calibri"/>
          <w:b w:val="0"/>
          <w:i w:val="0"/>
          <w:color w:val="172A3A"/>
          <w:sz w:val="22"/>
        </w:rPr>
        <w:t>El color identifica la línea; el tamaño del círculo expresa volumen absoluto y usa una escala estable entre horas para evitar amplificar volúmenes nocturnos mínimos.</w:t>
      </w:r>
    </w:p>
    <w:p>
      <w:pPr>
        <w:pStyle w:val="ListBullet"/>
        <w:spacing w:after="80" w:line="300" w:lineRule="auto"/>
        <w:ind w:left="540" w:hanging="271"/>
      </w:pPr>
      <w:r>
        <w:rPr>
          <w:rFonts w:ascii="Calibri" w:hAnsi="Calibri"/>
          <w:b w:val="0"/>
          <w:i w:val="0"/>
          <w:color w:val="172A3A"/>
          <w:sz w:val="22"/>
        </w:rPr>
        <w:t>El trazado se apoya en OpenStreetMap y conecta las estaciones oficiales en el orden ferroviario de cada línea; no requiere API key.</w:t>
      </w:r>
    </w:p>
    <w:p>
      <w:pPr>
        <w:pStyle w:val="ListBullet"/>
        <w:spacing w:after="80" w:line="300" w:lineRule="auto"/>
        <w:ind w:left="540" w:hanging="271"/>
      </w:pPr>
      <w:r>
        <w:rPr>
          <w:rFonts w:ascii="Calibri" w:hAnsi="Calibri"/>
          <w:b w:val="0"/>
          <w:i w:val="0"/>
          <w:color w:val="172A3A"/>
          <w:sz w:val="22"/>
        </w:rPr>
        <w:t>La capa de salida mapa_estaciones_perfil_tipico.csv está lista para una interfaz interactiva con año, segmento de día, líneas y deslizador horario.</w:t>
      </w:r>
    </w:p>
    <w:p>
      <w:pPr>
        <w:pStyle w:val="ListBullet"/>
        <w:spacing w:after="80" w:line="300" w:lineRule="auto"/>
        <w:ind w:left="540" w:hanging="271"/>
      </w:pPr>
      <w:r>
        <w:rPr>
          <w:rFonts w:ascii="Calibri" w:hAnsi="Calibri"/>
          <w:b w:val="0"/>
          <w:i w:val="0"/>
          <w:color w:val="172A3A"/>
          <w:sz w:val="22"/>
        </w:rPr>
        <w:t>El año 2026 se expone como lectura actual, pero debe estar rotulado como parcial; 2025 es la referencia anual completa sugerida.</w:t>
      </w:r>
    </w:p>
    <w:p>
      <w:pPr>
        <w:pStyle w:val="Heading2"/>
      </w:pPr>
      <w:r>
        <w:t>6.6 Alcance horario y diseño del dashboard</w:t>
      </w:r>
    </w:p>
    <w:p>
      <w:pPr>
        <w:spacing w:before="0" w:after="120" w:line="300" w:lineRule="auto"/>
      </w:pPr>
      <w:r>
        <w:rPr>
          <w:rFonts w:ascii="Calibri" w:hAnsi="Calibri"/>
          <w:b w:val="0"/>
          <w:i w:val="0"/>
          <w:color w:val="172A3A"/>
          <w:sz w:val="22"/>
        </w:rPr>
        <w:t>El dashboard se diseñó para estudiar horarios corrientes y no anomalías operativas. Se adoptan ventanas explícitas: laborables 05:30-23:30, sábados 06:00-24:00 y domingos/feriados 08:00-22:00. Dentro de esas ventanas se conserva todo el dato disponible; sólo las franjas fuera de horario habitual se representan como cero.</w:t>
      </w:r>
    </w:p>
    <w:p>
      <w:pPr>
        <w:pStyle w:val="ListBullet"/>
        <w:spacing w:after="80" w:line="300" w:lineRule="auto"/>
        <w:ind w:left="540" w:hanging="271"/>
      </w:pPr>
      <w:r>
        <w:rPr>
          <w:rFonts w:ascii="Calibri" w:hAnsi="Calibri"/>
          <w:b w:val="0"/>
          <w:i w:val="0"/>
          <w:color w:val="172A3A"/>
          <w:sz w:val="22"/>
        </w:rPr>
        <w:t>El deslizador se restringe automáticamente a la ventana del tipo de día seleccionado y no admite ingreso numérico manual.</w:t>
      </w:r>
    </w:p>
    <w:p>
      <w:pPr>
        <w:pStyle w:val="ListBullet"/>
        <w:spacing w:after="80" w:line="300" w:lineRule="auto"/>
        <w:ind w:left="540" w:hanging="271"/>
      </w:pPr>
      <w:r>
        <w:rPr>
          <w:rFonts w:ascii="Calibri" w:hAnsi="Calibri"/>
          <w:b w:val="0"/>
          <w:i w:val="0"/>
          <w:color w:val="172A3A"/>
          <w:sz w:val="22"/>
        </w:rPr>
        <w:t>El botón Reproducir/Pausar avanza en intervalos de 15 minutos. Durante la reproducción sólo se recalcula el mapa; al pausar, la hora se marca en los gráficos con eje temporal.</w:t>
      </w:r>
    </w:p>
    <w:p>
      <w:pPr>
        <w:pStyle w:val="ListBullet"/>
        <w:spacing w:after="80" w:line="300" w:lineRule="auto"/>
        <w:ind w:left="540" w:hanging="271"/>
      </w:pPr>
      <w:r>
        <w:rPr>
          <w:rFonts w:ascii="Calibri" w:hAnsi="Calibri"/>
          <w:b w:val="0"/>
          <w:i w:val="0"/>
          <w:color w:val="172A3A"/>
          <w:sz w:val="22"/>
        </w:rPr>
        <w:t>El linking and brushing mantiene una selección independiente por gráfico y aplica la intersección de las selecciones activas a todo el panel.</w:t>
      </w:r>
    </w:p>
    <w:p>
      <w:pPr>
        <w:pStyle w:val="ListBullet"/>
        <w:spacing w:after="80" w:line="300" w:lineRule="auto"/>
        <w:ind w:left="540" w:hanging="271"/>
      </w:pPr>
      <w:r>
        <w:rPr>
          <w:rFonts w:ascii="Calibri" w:hAnsi="Calibri"/>
          <w:b w:val="0"/>
          <w:i w:val="0"/>
          <w:color w:val="172A3A"/>
          <w:sz w:val="22"/>
        </w:rPr>
        <w:t>Reset view/Reset axes elimina únicamente la selección originada en ese gráfico; el botón global elimina todas las selecciones.</w:t>
      </w:r>
    </w:p>
    <w:p>
      <w:pPr>
        <w:pStyle w:val="ListBullet"/>
        <w:spacing w:after="80" w:line="300" w:lineRule="auto"/>
        <w:ind w:left="540" w:hanging="271"/>
      </w:pPr>
      <w:r>
        <w:rPr>
          <w:rFonts w:ascii="Calibri" w:hAnsi="Calibri"/>
          <w:b w:val="0"/>
          <w:i w:val="0"/>
          <w:color w:val="172A3A"/>
          <w:sz w:val="22"/>
        </w:rPr>
        <w:t>Los redibujados automáticos con selectedData=None no borran filtros persistentes, evitando el retorno momentáneo al estado original.</w:t>
      </w:r>
    </w:p>
    <w:p>
      <w:pPr>
        <w:pStyle w:val="ListBullet"/>
        <w:spacing w:after="80" w:line="300" w:lineRule="auto"/>
        <w:ind w:left="540" w:hanging="271"/>
      </w:pPr>
      <w:r>
        <w:rPr>
          <w:rFonts w:ascii="Calibri" w:hAnsi="Calibri"/>
          <w:b w:val="0"/>
          <w:i w:val="0"/>
          <w:color w:val="172A3A"/>
          <w:sz w:val="22"/>
        </w:rPr>
        <w:t>El mapa conserva el color de línea en el anillo del círculo y expresa la intensidad temporal con un relleno secuencial; el nombre oficial y las métricas aparecen en el hover.</w:t>
      </w:r>
    </w:p>
    <w:p>
      <w:pPr>
        <w:pStyle w:val="ListBullet"/>
        <w:spacing w:after="80" w:line="300" w:lineRule="auto"/>
        <w:ind w:left="540" w:hanging="271"/>
      </w:pPr>
      <w:r>
        <w:rPr>
          <w:rFonts w:ascii="Calibri" w:hAnsi="Calibri"/>
          <w:b w:val="0"/>
          <w:i w:val="0"/>
          <w:color w:val="172A3A"/>
          <w:sz w:val="22"/>
        </w:rPr>
        <w:t>La identidad visual incorpora el logo Demanda Subte, amarillo y negro, y distintivos circulares de línea sin borde blanco.</w:t>
      </w:r>
    </w:p>
    <w:p>
      <w:pPr>
        <w:pStyle w:val="ListBullet"/>
        <w:spacing w:after="80" w:line="300" w:lineRule="auto"/>
        <w:ind w:left="540" w:hanging="271"/>
      </w:pPr>
      <w:r>
        <w:rPr>
          <w:rFonts w:ascii="Calibri" w:hAnsi="Calibri"/>
          <w:b w:val="0"/>
          <w:i w:val="0"/>
          <w:color w:val="172A3A"/>
          <w:sz w:val="22"/>
        </w:rPr>
        <w:t>La escala '% del día' se reserva para perfiles temporales: expresa la proporción del tráfico diario típico concentrada en cada slot, no pasajeros absolutos.</w:t>
      </w:r>
    </w:p>
    <w:p>
      <w:pPr>
        <w:pStyle w:val="ListBullet"/>
        <w:spacing w:after="80" w:line="300" w:lineRule="auto"/>
        <w:ind w:left="540" w:hanging="271"/>
      </w:pPr>
      <w:r>
        <w:rPr>
          <w:rFonts w:ascii="Calibri" w:hAnsi="Calibri"/>
          <w:b w:val="0"/>
          <w:i w:val="0"/>
          <w:color w:val="172A3A"/>
          <w:sz w:val="22"/>
        </w:rPr>
        <w:t>En duración del pico, el largo de la barra es la racha continua con demanda al menos igual al 80% del máximo puntual; el color es la proporción del día concentrada en la mejor ventana de 60 minutos.</w:t>
      </w:r>
    </w:p>
    <w:p>
      <w:pPr>
        <w:pStyle w:val="ListBullet"/>
        <w:spacing w:after="80" w:line="300" w:lineRule="auto"/>
        <w:ind w:left="540" w:hanging="271"/>
      </w:pPr>
      <w:r>
        <w:rPr>
          <w:rFonts w:ascii="Calibri" w:hAnsi="Calibri"/>
          <w:b w:val="0"/>
          <w:i w:val="0"/>
          <w:color w:val="172A3A"/>
          <w:sz w:val="22"/>
        </w:rPr>
        <w:t>El ranking comparativo de picos separa las estaciones con meseta más extensa de aquellas con más pasajeros en su mejor ventana de 60 minutos.</w:t>
      </w:r>
    </w:p>
    <w:p>
      <w:pPr>
        <w:pStyle w:val="Heading1"/>
      </w:pPr>
      <w:r>
        <w:t>7. Interpretación analítica disponible</w:t>
      </w:r>
    </w:p>
    <w:p>
      <w:pPr>
        <w:spacing w:before="0" w:after="120" w:line="300" w:lineRule="auto"/>
      </w:pPr>
      <w:r>
        <w:rPr>
          <w:rFonts w:ascii="Calibri" w:hAnsi="Calibri"/>
          <w:b w:val="0"/>
          <w:i/>
          <w:color w:val="5C6770"/>
          <w:sz w:val="22"/>
        </w:rPr>
        <w:t>Los siguientes patrones corresponden a la ejecución completa validada con estaciones canónicas:</w:t>
      </w:r>
    </w:p>
    <w:p>
      <w:pPr>
        <w:pStyle w:val="ListBullet"/>
        <w:spacing w:after="80" w:line="300" w:lineRule="auto"/>
        <w:ind w:left="540" w:hanging="271"/>
      </w:pPr>
      <w:r>
        <w:rPr>
          <w:rFonts w:ascii="Calibri" w:hAnsi="Calibri"/>
          <w:b w:val="0"/>
          <w:i w:val="0"/>
          <w:color w:val="172A3A"/>
          <w:sz w:val="22"/>
        </w:rPr>
        <w:t>LAB-C1 (Laborable): pico 08:30, perfil relativamente equilibrado, mediana diaria 7,998 y silhouette mediana 0.598.</w:t>
      </w:r>
    </w:p>
    <w:p>
      <w:pPr>
        <w:pStyle w:val="ListBullet"/>
        <w:spacing w:after="80" w:line="300" w:lineRule="auto"/>
        <w:ind w:left="540" w:hanging="271"/>
      </w:pPr>
      <w:r>
        <w:rPr>
          <w:rFonts w:ascii="Calibri" w:hAnsi="Calibri"/>
          <w:b w:val="0"/>
          <w:i w:val="0"/>
          <w:color w:val="172A3A"/>
          <w:sz w:val="22"/>
        </w:rPr>
        <w:t>LAB-C2 (Laborable): pico 17:30, mayor peso vespertino, mediana diaria 7,996 y silhouette mediana 0.591.</w:t>
      </w:r>
    </w:p>
    <w:p>
      <w:pPr>
        <w:pStyle w:val="ListBullet"/>
        <w:spacing w:after="80" w:line="300" w:lineRule="auto"/>
        <w:ind w:left="540" w:hanging="271"/>
      </w:pPr>
      <w:r>
        <w:rPr>
          <w:rFonts w:ascii="Calibri" w:hAnsi="Calibri"/>
          <w:b w:val="0"/>
          <w:i w:val="0"/>
          <w:color w:val="172A3A"/>
          <w:sz w:val="22"/>
        </w:rPr>
        <w:t>SAB-C1 (Sábado): pico 12:45, perfil relativamente equilibrado, mediana diaria 2,692 y silhouette mediana 0.405.</w:t>
      </w:r>
    </w:p>
    <w:p>
      <w:pPr>
        <w:pStyle w:val="ListBullet"/>
        <w:spacing w:after="80" w:line="300" w:lineRule="auto"/>
        <w:ind w:left="540" w:hanging="271"/>
      </w:pPr>
      <w:r>
        <w:rPr>
          <w:rFonts w:ascii="Calibri" w:hAnsi="Calibri"/>
          <w:b w:val="0"/>
          <w:i w:val="0"/>
          <w:color w:val="172A3A"/>
          <w:sz w:val="22"/>
        </w:rPr>
        <w:t>SAB-C2 (Sábado): pico 13:00, perfil relativamente equilibrado, mediana diaria 3,726 y silhouette mediana 0.410.</w:t>
      </w:r>
    </w:p>
    <w:p>
      <w:pPr>
        <w:pStyle w:val="ListBullet"/>
        <w:spacing w:after="80" w:line="300" w:lineRule="auto"/>
        <w:ind w:left="540" w:hanging="271"/>
      </w:pPr>
      <w:r>
        <w:rPr>
          <w:rFonts w:ascii="Calibri" w:hAnsi="Calibri"/>
          <w:b w:val="0"/>
          <w:i w:val="0"/>
          <w:color w:val="172A3A"/>
          <w:sz w:val="22"/>
        </w:rPr>
        <w:t>SAB-C3 (Sábado): pico 17:15, mayor peso vespertino, mediana diaria 3,940 y silhouette mediana 0.399.</w:t>
      </w:r>
    </w:p>
    <w:p>
      <w:pPr>
        <w:pStyle w:val="ListBullet"/>
        <w:spacing w:after="80" w:line="300" w:lineRule="auto"/>
        <w:ind w:left="540" w:hanging="271"/>
      </w:pPr>
      <w:r>
        <w:rPr>
          <w:rFonts w:ascii="Calibri" w:hAnsi="Calibri"/>
          <w:b w:val="0"/>
          <w:i w:val="0"/>
          <w:color w:val="172A3A"/>
          <w:sz w:val="22"/>
        </w:rPr>
        <w:t>DOM-C1 (Domingo/Feriado): pico 16:45, mayor peso vespertino, mediana diaria 1,470 y silhouette mediana 0.623.</w:t>
      </w:r>
    </w:p>
    <w:p>
      <w:pPr>
        <w:pStyle w:val="ListBullet"/>
        <w:spacing w:after="80" w:line="300" w:lineRule="auto"/>
        <w:ind w:left="540" w:hanging="271"/>
      </w:pPr>
      <w:r>
        <w:rPr>
          <w:rFonts w:ascii="Calibri" w:hAnsi="Calibri"/>
          <w:b w:val="0"/>
          <w:i w:val="0"/>
          <w:color w:val="172A3A"/>
          <w:sz w:val="22"/>
        </w:rPr>
        <w:t>DOM-C2 (Domingo/Feriado): pico 18:30, mayor peso vespertino, mediana diaria 2,347 y silhouette mediana 0.389.</w:t>
      </w:r>
    </w:p>
    <w:p>
      <w:pPr>
        <w:spacing w:before="0" w:after="120" w:line="300" w:lineRule="auto"/>
      </w:pPr>
      <w:r>
        <w:rPr>
          <w:rFonts w:ascii="Calibri" w:hAnsi="Calibri"/>
          <w:b w:val="0"/>
          <w:i w:val="0"/>
          <w:color w:val="172A3A"/>
          <w:sz w:val="22"/>
        </w:rPr>
        <w:t>Lectura sustantiva esperada: en laborables se separan perfiles con fuerte entrada matutina de perfiles con concentración de salida por la tarde. Los sábados aparecen formas de mediodía más o menos concentradas y un grupo más vespertino. Domingos y feriados se desplazan hacia la tarde-noche. Esta interpretación describe forma relativa; no implica que todas las estaciones del grupo tengan el mismo volumen.</w:t>
      </w:r>
    </w:p>
    <w:p>
      <w:pPr>
        <w:pStyle w:val="Heading2"/>
      </w:pPr>
      <w:r>
        <w:t>7.1 Sensibilidad del liderazgo de la Línea B</w:t>
      </w:r>
    </w:p>
    <w:p>
      <w:pPr>
        <w:spacing w:before="0" w:after="120" w:line="300" w:lineRule="auto"/>
      </w:pPr>
      <w:r>
        <w:rPr>
          <w:rFonts w:ascii="Calibri" w:hAnsi="Calibri"/>
          <w:b w:val="0"/>
          <w:i w:val="0"/>
          <w:color w:val="172A3A"/>
          <w:sz w:val="22"/>
        </w:rPr>
        <w:t>Se comparó el reparto por línea de 2025 laborable usando todos los slots observados y aplicando exclusivamente la ventana habitual. El objetivo fue verificar si las extensiones nocturnas o eventos especiales explicaban el liderazgo de la Línea B.</w:t>
      </w:r>
    </w:p>
    <w:tbl>
      <w:tblPr>
        <w:tblStyle w:val="TableGrid"/>
        <w:tblW w:type="dxa" w:w="9360"/>
        <w:tblLayout w:type="fixed"/>
        <w:tblLook w:firstColumn="1" w:firstRow="1" w:lastColumn="0" w:lastRow="0" w:noHBand="0" w:noVBand="1" w:val="04A0"/>
        <w:jc w:val="left"/>
        <w:tblInd w:w="120" w:type="dxa"/>
      </w:tblPr>
      <w:tblGrid>
        <w:gridCol w:w="1000"/>
        <w:gridCol w:w="1900"/>
        <w:gridCol w:w="1900"/>
        <w:gridCol w:w="1900"/>
        <w:gridCol w:w="2660"/>
      </w:tblGrid>
      <w:tr>
        <w:trPr>
          <w:tblHeader w:val="true"/>
        </w:trPr>
        <w:tc>
          <w:tcPr>
            <w:tcW w:type="dxa" w:w="1000"/>
            <w:tcMar>
              <w:top w:w="80" w:type="dxa"/>
              <w:start w:w="120" w:type="dxa"/>
              <w:bottom w:w="80" w:type="dxa"/>
              <w:end w:w="120" w:type="dxa"/>
            </w:tcMar>
            <w:vAlign w:val="center"/>
            <w:shd w:fill="E8EEF5"/>
          </w:tcPr>
          <w:p>
            <w:pPr>
              <w:spacing w:after="0" w:line="264" w:lineRule="auto"/>
              <w:jc w:val="center"/>
            </w:pPr>
            <w:r>
              <w:rPr>
                <w:rFonts w:ascii="Calibri" w:hAnsi="Calibri"/>
                <w:b/>
                <w:i w:val="0"/>
                <w:color w:val="1F4D78"/>
                <w:sz w:val="17"/>
              </w:rPr>
              <w:t>Línea</w:t>
            </w:r>
          </w:p>
        </w:tc>
        <w:tc>
          <w:tcPr>
            <w:tcW w:type="dxa" w:w="1900"/>
            <w:tcMar>
              <w:top w:w="80" w:type="dxa"/>
              <w:start w:w="120" w:type="dxa"/>
              <w:bottom w:w="80" w:type="dxa"/>
              <w:end w:w="120" w:type="dxa"/>
            </w:tcMar>
            <w:vAlign w:val="center"/>
            <w:shd w:fill="E8EEF5"/>
          </w:tcPr>
          <w:p>
            <w:pPr>
              <w:spacing w:after="0" w:line="264" w:lineRule="auto"/>
              <w:jc w:val="center"/>
            </w:pPr>
            <w:r>
              <w:rPr>
                <w:rFonts w:ascii="Calibri" w:hAnsi="Calibri"/>
                <w:b/>
                <w:i w:val="0"/>
                <w:color w:val="1F4D78"/>
                <w:sz w:val="17"/>
              </w:rPr>
              <w:t>Share sin ajuste</w:t>
            </w:r>
          </w:p>
        </w:tc>
        <w:tc>
          <w:tcPr>
            <w:tcW w:type="dxa" w:w="1900"/>
            <w:tcMar>
              <w:top w:w="80" w:type="dxa"/>
              <w:start w:w="120" w:type="dxa"/>
              <w:bottom w:w="80" w:type="dxa"/>
              <w:end w:w="120" w:type="dxa"/>
            </w:tcMar>
            <w:vAlign w:val="center"/>
            <w:shd w:fill="E8EEF5"/>
          </w:tcPr>
          <w:p>
            <w:pPr>
              <w:spacing w:after="0" w:line="264" w:lineRule="auto"/>
              <w:jc w:val="center"/>
            </w:pPr>
            <w:r>
              <w:rPr>
                <w:rFonts w:ascii="Calibri" w:hAnsi="Calibri"/>
                <w:b/>
                <w:i w:val="0"/>
                <w:color w:val="1F4D78"/>
                <w:sz w:val="17"/>
              </w:rPr>
              <w:t>Share habitual</w:t>
            </w:r>
          </w:p>
        </w:tc>
        <w:tc>
          <w:tcPr>
            <w:tcW w:type="dxa" w:w="1900"/>
            <w:tcMar>
              <w:top w:w="80" w:type="dxa"/>
              <w:start w:w="120" w:type="dxa"/>
              <w:bottom w:w="80" w:type="dxa"/>
              <w:end w:w="120" w:type="dxa"/>
            </w:tcMar>
            <w:vAlign w:val="center"/>
            <w:shd w:fill="E8EEF5"/>
          </w:tcPr>
          <w:p>
            <w:pPr>
              <w:spacing w:after="0" w:line="264" w:lineRule="auto"/>
              <w:jc w:val="center"/>
            </w:pPr>
            <w:r>
              <w:rPr>
                <w:rFonts w:ascii="Calibri" w:hAnsi="Calibri"/>
                <w:b/>
                <w:i w:val="0"/>
                <w:color w:val="1F4D78"/>
                <w:sz w:val="17"/>
              </w:rPr>
              <w:t>Volumen excluido</w:t>
            </w:r>
          </w:p>
        </w:tc>
        <w:tc>
          <w:tcPr>
            <w:tcW w:type="dxa" w:w="2660"/>
            <w:tcMar>
              <w:top w:w="80" w:type="dxa"/>
              <w:start w:w="120" w:type="dxa"/>
              <w:bottom w:w="80" w:type="dxa"/>
              <w:end w:w="120" w:type="dxa"/>
            </w:tcMar>
            <w:vAlign w:val="center"/>
            <w:shd w:fill="E8EEF5"/>
          </w:tcPr>
          <w:p>
            <w:pPr>
              <w:spacing w:after="0" w:line="264" w:lineRule="auto"/>
              <w:jc w:val="center"/>
            </w:pPr>
            <w:r>
              <w:rPr>
                <w:rFonts w:ascii="Calibri" w:hAnsi="Calibri"/>
                <w:b/>
                <w:i w:val="0"/>
                <w:color w:val="1F4D78"/>
                <w:sz w:val="17"/>
              </w:rPr>
              <w:t>Ranking habitual</w:t>
            </w:r>
          </w:p>
        </w:tc>
      </w:tr>
      <w:tr>
        <w:tc>
          <w:tcPr>
            <w:tcW w:type="dxa" w:w="10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B</w:t>
            </w:r>
          </w:p>
        </w:tc>
        <w:tc>
          <w:tcPr>
            <w:tcW w:type="dxa" w:w="19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23,52%</w:t>
            </w:r>
          </w:p>
        </w:tc>
        <w:tc>
          <w:tcPr>
            <w:tcW w:type="dxa" w:w="19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23,56%</w:t>
            </w:r>
          </w:p>
        </w:tc>
        <w:tc>
          <w:tcPr>
            <w:tcW w:type="dxa" w:w="19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0,46%</w:t>
            </w:r>
          </w:p>
        </w:tc>
        <w:tc>
          <w:tcPr>
            <w:tcW w:type="dxa" w:w="26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1</w:t>
            </w:r>
          </w:p>
        </w:tc>
      </w:tr>
      <w:tr>
        <w:tc>
          <w:tcPr>
            <w:tcW w:type="dxa" w:w="10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D</w:t>
            </w:r>
          </w:p>
        </w:tc>
        <w:tc>
          <w:tcPr>
            <w:tcW w:type="dxa" w:w="19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22,11%</w:t>
            </w:r>
          </w:p>
        </w:tc>
        <w:tc>
          <w:tcPr>
            <w:tcW w:type="dxa" w:w="19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21,98%</w:t>
            </w:r>
          </w:p>
        </w:tc>
        <w:tc>
          <w:tcPr>
            <w:tcW w:type="dxa" w:w="19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1,22%</w:t>
            </w:r>
          </w:p>
        </w:tc>
        <w:tc>
          <w:tcPr>
            <w:tcW w:type="dxa" w:w="26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2</w:t>
            </w:r>
          </w:p>
        </w:tc>
      </w:tr>
      <w:tr>
        <w:tc>
          <w:tcPr>
            <w:tcW w:type="dxa" w:w="10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A</w:t>
            </w:r>
          </w:p>
        </w:tc>
        <w:tc>
          <w:tcPr>
            <w:tcW w:type="dxa" w:w="19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19,57%</w:t>
            </w:r>
          </w:p>
        </w:tc>
        <w:tc>
          <w:tcPr>
            <w:tcW w:type="dxa" w:w="19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19,68%</w:t>
            </w:r>
          </w:p>
        </w:tc>
        <w:tc>
          <w:tcPr>
            <w:tcW w:type="dxa" w:w="19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0,10%</w:t>
            </w:r>
          </w:p>
        </w:tc>
        <w:tc>
          <w:tcPr>
            <w:tcW w:type="dxa" w:w="26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3</w:t>
            </w:r>
          </w:p>
        </w:tc>
      </w:tr>
      <w:tr>
        <w:tc>
          <w:tcPr>
            <w:tcW w:type="dxa" w:w="10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C</w:t>
            </w:r>
          </w:p>
        </w:tc>
        <w:tc>
          <w:tcPr>
            <w:tcW w:type="dxa" w:w="19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13,84%</w:t>
            </w:r>
          </w:p>
        </w:tc>
        <w:tc>
          <w:tcPr>
            <w:tcW w:type="dxa" w:w="19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13,82%</w:t>
            </w:r>
          </w:p>
        </w:tc>
        <w:tc>
          <w:tcPr>
            <w:tcW w:type="dxa" w:w="19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0,76%</w:t>
            </w:r>
          </w:p>
        </w:tc>
        <w:tc>
          <w:tcPr>
            <w:tcW w:type="dxa" w:w="26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4</w:t>
            </w:r>
          </w:p>
        </w:tc>
      </w:tr>
      <w:tr>
        <w:tc>
          <w:tcPr>
            <w:tcW w:type="dxa" w:w="10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H</w:t>
            </w:r>
          </w:p>
        </w:tc>
        <w:tc>
          <w:tcPr>
            <w:tcW w:type="dxa" w:w="19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10,97%</w:t>
            </w:r>
          </w:p>
        </w:tc>
        <w:tc>
          <w:tcPr>
            <w:tcW w:type="dxa" w:w="19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10,92%</w:t>
            </w:r>
          </w:p>
        </w:tc>
        <w:tc>
          <w:tcPr>
            <w:tcW w:type="dxa" w:w="19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1,16%</w:t>
            </w:r>
          </w:p>
        </w:tc>
        <w:tc>
          <w:tcPr>
            <w:tcW w:type="dxa" w:w="26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5</w:t>
            </w:r>
          </w:p>
        </w:tc>
      </w:tr>
      <w:tr>
        <w:tc>
          <w:tcPr>
            <w:tcW w:type="dxa" w:w="10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E</w:t>
            </w:r>
          </w:p>
        </w:tc>
        <w:tc>
          <w:tcPr>
            <w:tcW w:type="dxa" w:w="19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10,00%</w:t>
            </w:r>
          </w:p>
        </w:tc>
        <w:tc>
          <w:tcPr>
            <w:tcW w:type="dxa" w:w="19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10,04%</w:t>
            </w:r>
          </w:p>
        </w:tc>
        <w:tc>
          <w:tcPr>
            <w:tcW w:type="dxa" w:w="19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0,17%</w:t>
            </w:r>
          </w:p>
        </w:tc>
        <w:tc>
          <w:tcPr>
            <w:tcW w:type="dxa" w:w="26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6</w:t>
            </w:r>
          </w:p>
        </w:tc>
      </w:tr>
    </w:tbl>
    <w:p>
      <w:pPr>
        <w:spacing w:after="40"/>
      </w:pPr>
    </w:p>
    <w:p>
      <w:pPr>
        <w:spacing w:before="0" w:after="120" w:line="300" w:lineRule="auto"/>
      </w:pPr>
      <w:r>
        <w:rPr>
          <w:rFonts w:ascii="Calibri" w:hAnsi="Calibri"/>
          <w:b w:val="0"/>
          <w:i/>
          <w:color w:val="5C6770"/>
          <w:sz w:val="22"/>
        </w:rPr>
        <w:t>Conclusión: la Línea B permanece primera y la Línea D segunda. La exclusión de las franjas fuera del horario habitual reduce menos de medio punto porcentual del volumen horario de la B; por lo tanto, su liderazgo corresponde al uso habitual y no a extensiones nocturnas. El notebook principal conserva el cálculo, el gráfico comparativo y la exportación CSV para reutilizarlos en la presentación.</w:t>
      </w:r>
    </w:p>
    <w:p>
      <w:pPr>
        <w:pStyle w:val="Heading2"/>
      </w:pPr>
      <w:r>
        <w:t>7.2 Prototipos MaxVol encontrados</w:t>
      </w:r>
    </w:p>
    <w:tbl>
      <w:tblPr>
        <w:tblStyle w:val="TableGrid"/>
        <w:tblW w:type="dxa" w:w="9360"/>
        <w:tblLayout w:type="fixed"/>
        <w:tblLook w:firstColumn="1" w:firstRow="1" w:lastColumn="0" w:lastRow="0" w:noHBand="0" w:noVBand="1" w:val="04A0"/>
        <w:jc w:val="left"/>
        <w:tblInd w:w="120" w:type="dxa"/>
      </w:tblPr>
      <w:tblGrid>
        <w:gridCol w:w="1000"/>
        <w:gridCol w:w="3000"/>
        <w:gridCol w:w="800"/>
        <w:gridCol w:w="1000"/>
        <w:gridCol w:w="1760"/>
        <w:gridCol w:w="1800"/>
      </w:tblGrid>
      <w:tr>
        <w:trPr>
          <w:tblHeader w:val="true"/>
        </w:trPr>
        <w:tc>
          <w:tcPr>
            <w:tcW w:type="dxa" w:w="1000"/>
            <w:tcMar>
              <w:top w:w="80" w:type="dxa"/>
              <w:start w:w="120" w:type="dxa"/>
              <w:bottom w:w="80" w:type="dxa"/>
              <w:end w:w="120" w:type="dxa"/>
            </w:tcMar>
            <w:vAlign w:val="center"/>
            <w:shd w:fill="E8EEF5"/>
          </w:tcPr>
          <w:p>
            <w:pPr>
              <w:spacing w:after="0" w:line="264" w:lineRule="auto"/>
              <w:jc w:val="center"/>
            </w:pPr>
            <w:r>
              <w:rPr>
                <w:rFonts w:ascii="Calibri" w:hAnsi="Calibri"/>
                <w:b/>
                <w:i w:val="0"/>
                <w:color w:val="1F4D78"/>
                <w:sz w:val="16"/>
              </w:rPr>
              <w:t>ID</w:t>
            </w:r>
          </w:p>
        </w:tc>
        <w:tc>
          <w:tcPr>
            <w:tcW w:type="dxa" w:w="3000"/>
            <w:tcMar>
              <w:top w:w="80" w:type="dxa"/>
              <w:start w:w="120" w:type="dxa"/>
              <w:bottom w:w="80" w:type="dxa"/>
              <w:end w:w="120" w:type="dxa"/>
            </w:tcMar>
            <w:vAlign w:val="center"/>
            <w:shd w:fill="E8EEF5"/>
          </w:tcPr>
          <w:p>
            <w:pPr>
              <w:spacing w:after="0" w:line="264" w:lineRule="auto"/>
              <w:jc w:val="center"/>
            </w:pPr>
            <w:r>
              <w:rPr>
                <w:rFonts w:ascii="Calibri" w:hAnsi="Calibri"/>
                <w:b/>
                <w:i w:val="0"/>
                <w:color w:val="1F4D78"/>
                <w:sz w:val="16"/>
              </w:rPr>
              <w:t>Estación</w:t>
            </w:r>
          </w:p>
        </w:tc>
        <w:tc>
          <w:tcPr>
            <w:tcW w:type="dxa" w:w="800"/>
            <w:tcMar>
              <w:top w:w="80" w:type="dxa"/>
              <w:start w:w="120" w:type="dxa"/>
              <w:bottom w:w="80" w:type="dxa"/>
              <w:end w:w="120" w:type="dxa"/>
            </w:tcMar>
            <w:vAlign w:val="center"/>
            <w:shd w:fill="E8EEF5"/>
          </w:tcPr>
          <w:p>
            <w:pPr>
              <w:spacing w:after="0" w:line="264" w:lineRule="auto"/>
              <w:jc w:val="center"/>
            </w:pPr>
            <w:r>
              <w:rPr>
                <w:rFonts w:ascii="Calibri" w:hAnsi="Calibri"/>
                <w:b/>
                <w:i w:val="0"/>
                <w:color w:val="1F4D78"/>
                <w:sz w:val="16"/>
              </w:rPr>
              <w:t>Año</w:t>
            </w:r>
          </w:p>
        </w:tc>
        <w:tc>
          <w:tcPr>
            <w:tcW w:type="dxa" w:w="1000"/>
            <w:tcMar>
              <w:top w:w="80" w:type="dxa"/>
              <w:start w:w="120" w:type="dxa"/>
              <w:bottom w:w="80" w:type="dxa"/>
              <w:end w:w="120" w:type="dxa"/>
            </w:tcMar>
            <w:vAlign w:val="center"/>
            <w:shd w:fill="E8EEF5"/>
          </w:tcPr>
          <w:p>
            <w:pPr>
              <w:spacing w:after="0" w:line="264" w:lineRule="auto"/>
              <w:jc w:val="center"/>
            </w:pPr>
            <w:r>
              <w:rPr>
                <w:rFonts w:ascii="Calibri" w:hAnsi="Calibri"/>
                <w:b/>
                <w:i w:val="0"/>
                <w:color w:val="1F4D78"/>
                <w:sz w:val="16"/>
              </w:rPr>
              <w:t>Pico</w:t>
            </w:r>
          </w:p>
        </w:tc>
        <w:tc>
          <w:tcPr>
            <w:tcW w:type="dxa" w:w="1760"/>
            <w:tcMar>
              <w:top w:w="80" w:type="dxa"/>
              <w:start w:w="120" w:type="dxa"/>
              <w:bottom w:w="80" w:type="dxa"/>
              <w:end w:w="120" w:type="dxa"/>
            </w:tcMar>
            <w:vAlign w:val="center"/>
            <w:shd w:fill="E8EEF5"/>
          </w:tcPr>
          <w:p>
            <w:pPr>
              <w:spacing w:after="0" w:line="264" w:lineRule="auto"/>
              <w:jc w:val="center"/>
            </w:pPr>
            <w:r>
              <w:rPr>
                <w:rFonts w:ascii="Calibri" w:hAnsi="Calibri"/>
                <w:b/>
                <w:i w:val="0"/>
                <w:color w:val="1F4D78"/>
                <w:sz w:val="16"/>
              </w:rPr>
              <w:t>Ventana dominante</w:t>
            </w:r>
          </w:p>
        </w:tc>
        <w:tc>
          <w:tcPr>
            <w:tcW w:type="dxa" w:w="1800"/>
            <w:tcMar>
              <w:top w:w="80" w:type="dxa"/>
              <w:start w:w="120" w:type="dxa"/>
              <w:bottom w:w="80" w:type="dxa"/>
              <w:end w:w="120" w:type="dxa"/>
            </w:tcMar>
            <w:vAlign w:val="center"/>
            <w:shd w:fill="E8EEF5"/>
          </w:tcPr>
          <w:p>
            <w:pPr>
              <w:spacing w:after="0" w:line="264" w:lineRule="auto"/>
              <w:jc w:val="center"/>
            </w:pPr>
            <w:r>
              <w:rPr>
                <w:rFonts w:ascii="Calibri" w:hAnsi="Calibri"/>
                <w:b/>
                <w:i w:val="0"/>
                <w:color w:val="1F4D78"/>
                <w:sz w:val="16"/>
              </w:rPr>
              <w:t>Condición</w:t>
            </w:r>
          </w:p>
        </w:tc>
      </w:tr>
      <w:tr>
        <w:tc>
          <w:tcPr>
            <w:tcW w:type="dxa" w:w="10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6"/>
              </w:rPr>
              <w:t>DOM-P1</w:t>
            </w:r>
          </w:p>
        </w:tc>
        <w:tc>
          <w:tcPr>
            <w:tcW w:type="dxa" w:w="30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6"/>
              </w:rPr>
              <w:t>C | CONSTITUCION</w:t>
            </w:r>
          </w:p>
        </w:tc>
        <w:tc>
          <w:tcPr>
            <w:tcW w:type="dxa" w:w="8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6"/>
              </w:rPr>
              <w:t>2020</w:t>
            </w:r>
          </w:p>
        </w:tc>
        <w:tc>
          <w:tcPr>
            <w:tcW w:type="dxa" w:w="10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6"/>
              </w:rPr>
              <w:t>18:30</w:t>
            </w:r>
          </w:p>
        </w:tc>
        <w:tc>
          <w:tcPr>
            <w:tcW w:type="dxa" w:w="17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6"/>
              </w:rPr>
              <w:t>Tarde 40.1%</w:t>
            </w:r>
          </w:p>
        </w:tc>
        <w:tc>
          <w:tcPr>
            <w:tcW w:type="dxa" w:w="18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6"/>
              </w:rPr>
              <w:t>Fuera de referencia</w:t>
            </w:r>
          </w:p>
        </w:tc>
      </w:tr>
      <w:tr>
        <w:tc>
          <w:tcPr>
            <w:tcW w:type="dxa" w:w="10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6"/>
              </w:rPr>
              <w:t>DOM-P2</w:t>
            </w:r>
          </w:p>
        </w:tc>
        <w:tc>
          <w:tcPr>
            <w:tcW w:type="dxa" w:w="30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6"/>
              </w:rPr>
              <w:t>D | JURAMENTO</w:t>
            </w:r>
          </w:p>
        </w:tc>
        <w:tc>
          <w:tcPr>
            <w:tcW w:type="dxa" w:w="8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6"/>
              </w:rPr>
              <w:t>2020</w:t>
            </w:r>
          </w:p>
        </w:tc>
        <w:tc>
          <w:tcPr>
            <w:tcW w:type="dxa" w:w="10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6"/>
              </w:rPr>
              <w:t>21:00</w:t>
            </w:r>
          </w:p>
        </w:tc>
        <w:tc>
          <w:tcPr>
            <w:tcW w:type="dxa" w:w="17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6"/>
              </w:rPr>
              <w:t>Tarde 43.0%</w:t>
            </w:r>
          </w:p>
        </w:tc>
        <w:tc>
          <w:tcPr>
            <w:tcW w:type="dxa" w:w="18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6"/>
              </w:rPr>
              <w:t>Fuera de referencia</w:t>
            </w:r>
          </w:p>
        </w:tc>
      </w:tr>
      <w:tr>
        <w:tc>
          <w:tcPr>
            <w:tcW w:type="dxa" w:w="10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6"/>
              </w:rPr>
              <w:t>DOM-P3</w:t>
            </w:r>
          </w:p>
        </w:tc>
        <w:tc>
          <w:tcPr>
            <w:tcW w:type="dxa" w:w="30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6"/>
              </w:rPr>
              <w:t>H | FACULTAD DE DERECHO</w:t>
            </w:r>
          </w:p>
        </w:tc>
        <w:tc>
          <w:tcPr>
            <w:tcW w:type="dxa" w:w="8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6"/>
              </w:rPr>
              <w:t>2018</w:t>
            </w:r>
          </w:p>
        </w:tc>
        <w:tc>
          <w:tcPr>
            <w:tcW w:type="dxa" w:w="10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6"/>
              </w:rPr>
              <w:t>18:15</w:t>
            </w:r>
          </w:p>
        </w:tc>
        <w:tc>
          <w:tcPr>
            <w:tcW w:type="dxa" w:w="17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6"/>
              </w:rPr>
              <w:t>Tarde 71.4%</w:t>
            </w:r>
          </w:p>
        </w:tc>
        <w:tc>
          <w:tcPr>
            <w:tcW w:type="dxa" w:w="18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6"/>
              </w:rPr>
              <w:t>Referencia</w:t>
            </w:r>
          </w:p>
        </w:tc>
      </w:tr>
      <w:tr>
        <w:tc>
          <w:tcPr>
            <w:tcW w:type="dxa" w:w="10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6"/>
              </w:rPr>
              <w:t>DOM-P4</w:t>
            </w:r>
          </w:p>
        </w:tc>
        <w:tc>
          <w:tcPr>
            <w:tcW w:type="dxa" w:w="30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6"/>
              </w:rPr>
              <w:t>A | PASCO</w:t>
            </w:r>
          </w:p>
        </w:tc>
        <w:tc>
          <w:tcPr>
            <w:tcW w:type="dxa" w:w="8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6"/>
              </w:rPr>
              <w:t>2021</w:t>
            </w:r>
          </w:p>
        </w:tc>
        <w:tc>
          <w:tcPr>
            <w:tcW w:type="dxa" w:w="10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6"/>
              </w:rPr>
              <w:t>16:30</w:t>
            </w:r>
          </w:p>
        </w:tc>
        <w:tc>
          <w:tcPr>
            <w:tcW w:type="dxa" w:w="17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6"/>
              </w:rPr>
              <w:t>Mediodía 52.0%</w:t>
            </w:r>
          </w:p>
        </w:tc>
        <w:tc>
          <w:tcPr>
            <w:tcW w:type="dxa" w:w="18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6"/>
              </w:rPr>
              <w:t>Fuera de referencia</w:t>
            </w:r>
          </w:p>
        </w:tc>
      </w:tr>
      <w:tr>
        <w:tc>
          <w:tcPr>
            <w:tcW w:type="dxa" w:w="10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6"/>
              </w:rPr>
              <w:t>LAB-P1</w:t>
            </w:r>
          </w:p>
        </w:tc>
        <w:tc>
          <w:tcPr>
            <w:tcW w:type="dxa" w:w="30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6"/>
              </w:rPr>
              <w:t>E | CATALINAS</w:t>
            </w:r>
          </w:p>
        </w:tc>
        <w:tc>
          <w:tcPr>
            <w:tcW w:type="dxa" w:w="8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6"/>
              </w:rPr>
              <w:t>2026</w:t>
            </w:r>
          </w:p>
        </w:tc>
        <w:tc>
          <w:tcPr>
            <w:tcW w:type="dxa" w:w="10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6"/>
              </w:rPr>
              <w:t>17:45</w:t>
            </w:r>
          </w:p>
        </w:tc>
        <w:tc>
          <w:tcPr>
            <w:tcW w:type="dxa" w:w="17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6"/>
              </w:rPr>
              <w:t>Tarde 75.4%</w:t>
            </w:r>
          </w:p>
        </w:tc>
        <w:tc>
          <w:tcPr>
            <w:tcW w:type="dxa" w:w="18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6"/>
              </w:rPr>
              <w:t>Fuera de referencia; parcial</w:t>
            </w:r>
          </w:p>
        </w:tc>
      </w:tr>
      <w:tr>
        <w:tc>
          <w:tcPr>
            <w:tcW w:type="dxa" w:w="10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6"/>
              </w:rPr>
              <w:t>LAB-P2</w:t>
            </w:r>
          </w:p>
        </w:tc>
        <w:tc>
          <w:tcPr>
            <w:tcW w:type="dxa" w:w="30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6"/>
              </w:rPr>
              <w:t>E | PZA. DE LOS VIRREYES</w:t>
            </w:r>
          </w:p>
        </w:tc>
        <w:tc>
          <w:tcPr>
            <w:tcW w:type="dxa" w:w="8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6"/>
              </w:rPr>
              <w:t>2015</w:t>
            </w:r>
          </w:p>
        </w:tc>
        <w:tc>
          <w:tcPr>
            <w:tcW w:type="dxa" w:w="10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6"/>
              </w:rPr>
              <w:t>08:15</w:t>
            </w:r>
          </w:p>
        </w:tc>
        <w:tc>
          <w:tcPr>
            <w:tcW w:type="dxa" w:w="17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6"/>
              </w:rPr>
              <w:t>Mañana 58.7%</w:t>
            </w:r>
          </w:p>
        </w:tc>
        <w:tc>
          <w:tcPr>
            <w:tcW w:type="dxa" w:w="18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6"/>
              </w:rPr>
              <w:t>Referencia</w:t>
            </w:r>
          </w:p>
        </w:tc>
      </w:tr>
      <w:tr>
        <w:tc>
          <w:tcPr>
            <w:tcW w:type="dxa" w:w="10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6"/>
              </w:rPr>
              <w:t>LAB-P3</w:t>
            </w:r>
          </w:p>
        </w:tc>
        <w:tc>
          <w:tcPr>
            <w:tcW w:type="dxa" w:w="30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6"/>
              </w:rPr>
              <w:t>E | INDEPENDENCIA</w:t>
            </w:r>
          </w:p>
        </w:tc>
        <w:tc>
          <w:tcPr>
            <w:tcW w:type="dxa" w:w="8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6"/>
              </w:rPr>
              <w:t>2019</w:t>
            </w:r>
          </w:p>
        </w:tc>
        <w:tc>
          <w:tcPr>
            <w:tcW w:type="dxa" w:w="10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6"/>
              </w:rPr>
              <w:t>12:00</w:t>
            </w:r>
          </w:p>
        </w:tc>
        <w:tc>
          <w:tcPr>
            <w:tcW w:type="dxa" w:w="17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6"/>
              </w:rPr>
              <w:t>Mediodía 40.9%</w:t>
            </w:r>
          </w:p>
        </w:tc>
        <w:tc>
          <w:tcPr>
            <w:tcW w:type="dxa" w:w="18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6"/>
              </w:rPr>
              <w:t>Referencia</w:t>
            </w:r>
          </w:p>
        </w:tc>
      </w:tr>
      <w:tr>
        <w:tc>
          <w:tcPr>
            <w:tcW w:type="dxa" w:w="10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6"/>
              </w:rPr>
              <w:t>SAB-P1</w:t>
            </w:r>
          </w:p>
        </w:tc>
        <w:tc>
          <w:tcPr>
            <w:tcW w:type="dxa" w:w="30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6"/>
              </w:rPr>
              <w:t>A | SAN PEDRITO</w:t>
            </w:r>
          </w:p>
        </w:tc>
        <w:tc>
          <w:tcPr>
            <w:tcW w:type="dxa" w:w="8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6"/>
              </w:rPr>
              <w:t>2021</w:t>
            </w:r>
          </w:p>
        </w:tc>
        <w:tc>
          <w:tcPr>
            <w:tcW w:type="dxa" w:w="10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6"/>
              </w:rPr>
              <w:t>13:45</w:t>
            </w:r>
          </w:p>
        </w:tc>
        <w:tc>
          <w:tcPr>
            <w:tcW w:type="dxa" w:w="17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6"/>
              </w:rPr>
              <w:t>Mediodía 67.7%</w:t>
            </w:r>
          </w:p>
        </w:tc>
        <w:tc>
          <w:tcPr>
            <w:tcW w:type="dxa" w:w="18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6"/>
              </w:rPr>
              <w:t>Fuera de referencia</w:t>
            </w:r>
          </w:p>
        </w:tc>
      </w:tr>
      <w:tr>
        <w:tc>
          <w:tcPr>
            <w:tcW w:type="dxa" w:w="10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6"/>
              </w:rPr>
              <w:t>SAB-P2</w:t>
            </w:r>
          </w:p>
        </w:tc>
        <w:tc>
          <w:tcPr>
            <w:tcW w:type="dxa" w:w="30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6"/>
              </w:rPr>
              <w:t>C | CONSTITUCION</w:t>
            </w:r>
          </w:p>
        </w:tc>
        <w:tc>
          <w:tcPr>
            <w:tcW w:type="dxa" w:w="8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6"/>
              </w:rPr>
              <w:t>2020</w:t>
            </w:r>
          </w:p>
        </w:tc>
        <w:tc>
          <w:tcPr>
            <w:tcW w:type="dxa" w:w="10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6"/>
              </w:rPr>
              <w:t>08:00</w:t>
            </w:r>
          </w:p>
        </w:tc>
        <w:tc>
          <w:tcPr>
            <w:tcW w:type="dxa" w:w="17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6"/>
              </w:rPr>
              <w:t>Mañana 41.6%</w:t>
            </w:r>
          </w:p>
        </w:tc>
        <w:tc>
          <w:tcPr>
            <w:tcW w:type="dxa" w:w="18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6"/>
              </w:rPr>
              <w:t>Fuera de referencia</w:t>
            </w:r>
          </w:p>
        </w:tc>
      </w:tr>
      <w:tr>
        <w:tc>
          <w:tcPr>
            <w:tcW w:type="dxa" w:w="10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6"/>
              </w:rPr>
              <w:t>SAB-P3</w:t>
            </w:r>
          </w:p>
        </w:tc>
        <w:tc>
          <w:tcPr>
            <w:tcW w:type="dxa" w:w="30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6"/>
              </w:rPr>
              <w:t>H | FACULTAD DE DERECHO</w:t>
            </w:r>
          </w:p>
        </w:tc>
        <w:tc>
          <w:tcPr>
            <w:tcW w:type="dxa" w:w="8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6"/>
              </w:rPr>
              <w:t>2021</w:t>
            </w:r>
          </w:p>
        </w:tc>
        <w:tc>
          <w:tcPr>
            <w:tcW w:type="dxa" w:w="10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6"/>
              </w:rPr>
              <w:t>18:00</w:t>
            </w:r>
          </w:p>
        </w:tc>
        <w:tc>
          <w:tcPr>
            <w:tcW w:type="dxa" w:w="17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6"/>
              </w:rPr>
              <w:t>Tarde 60.0%</w:t>
            </w:r>
          </w:p>
        </w:tc>
        <w:tc>
          <w:tcPr>
            <w:tcW w:type="dxa" w:w="18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6"/>
              </w:rPr>
              <w:t>Fuera de referencia</w:t>
            </w:r>
          </w:p>
        </w:tc>
      </w:tr>
      <w:tr>
        <w:tc>
          <w:tcPr>
            <w:tcW w:type="dxa" w:w="10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6"/>
              </w:rPr>
              <w:t>SAB-P4</w:t>
            </w:r>
          </w:p>
        </w:tc>
        <w:tc>
          <w:tcPr>
            <w:tcW w:type="dxa" w:w="30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6"/>
              </w:rPr>
              <w:t>B | MEDRANO</w:t>
            </w:r>
          </w:p>
        </w:tc>
        <w:tc>
          <w:tcPr>
            <w:tcW w:type="dxa" w:w="8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6"/>
              </w:rPr>
              <w:t>2014</w:t>
            </w:r>
          </w:p>
        </w:tc>
        <w:tc>
          <w:tcPr>
            <w:tcW w:type="dxa" w:w="10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6"/>
              </w:rPr>
              <w:t>12:00</w:t>
            </w:r>
          </w:p>
        </w:tc>
        <w:tc>
          <w:tcPr>
            <w:tcW w:type="dxa" w:w="17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6"/>
              </w:rPr>
              <w:t>Mediodía 47.7%</w:t>
            </w:r>
          </w:p>
        </w:tc>
        <w:tc>
          <w:tcPr>
            <w:tcW w:type="dxa" w:w="18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6"/>
              </w:rPr>
              <w:t>Referencia</w:t>
            </w:r>
          </w:p>
        </w:tc>
      </w:tr>
    </w:tbl>
    <w:p>
      <w:pPr>
        <w:spacing w:after="40"/>
      </w:pPr>
    </w:p>
    <w:p>
      <w:pPr>
        <w:spacing w:before="0" w:after="120" w:line="300" w:lineRule="auto"/>
      </w:pPr>
      <w:r>
        <w:rPr>
          <w:rFonts w:ascii="Calibri" w:hAnsi="Calibri"/>
          <w:b w:val="0"/>
          <w:i/>
          <w:color w:val="5C6770"/>
          <w:sz w:val="22"/>
        </w:rPr>
        <w:t>Resultado clave: 7 de 11 prototipos pertenecen a perfiles fuera de la referencia estable (pandemia o año parcial). Esto confirma que MaxVol sobre todos los datos captura rupturas temporales además de patrones estructurales. Conviene conservar este resultado global y agregar una segunda selección restringida a la referencia para comparar prototipos estables frente a excepcionales.</w:t>
      </w:r>
    </w:p>
    <w:p>
      <w:pPr>
        <w:pStyle w:val="ListBullet"/>
        <w:spacing w:after="80" w:line="300" w:lineRule="auto"/>
        <w:ind w:left="540" w:hanging="271"/>
      </w:pPr>
      <w:r>
        <w:rPr>
          <w:rFonts w:ascii="Calibri" w:hAnsi="Calibri"/>
          <w:b w:val="0"/>
          <w:i w:val="0"/>
          <w:color w:val="172A3A"/>
          <w:sz w:val="22"/>
        </w:rPr>
        <w:t>Laborable: Catalinas 2026 representa una concentración vespertina extrema; Plaza de los Virreyes 2015, una concentración matutina extrema; Independencia 2019 aporta una forma de mediodía con mayor extensión nocturna.</w:t>
      </w:r>
    </w:p>
    <w:p>
      <w:pPr>
        <w:pStyle w:val="ListBullet"/>
        <w:spacing w:after="80" w:line="300" w:lineRule="auto"/>
        <w:ind w:left="540" w:hanging="271"/>
      </w:pPr>
      <w:r>
        <w:rPr>
          <w:rFonts w:ascii="Calibri" w:hAnsi="Calibri"/>
          <w:b w:val="0"/>
          <w:i w:val="0"/>
          <w:color w:val="172A3A"/>
          <w:sz w:val="22"/>
        </w:rPr>
        <w:t>Sábado: San Pedrito 2021 concentra el mediodía; Constitución 2020 desplaza peso a la mañana; Facultad de Derecho 2021 concentra la tarde; Medrano 2014 representa una forma más amplia de mediodía.</w:t>
      </w:r>
    </w:p>
    <w:p>
      <w:pPr>
        <w:pStyle w:val="ListBullet"/>
        <w:spacing w:after="80" w:line="300" w:lineRule="auto"/>
        <w:ind w:left="540" w:hanging="271"/>
      </w:pPr>
      <w:r>
        <w:rPr>
          <w:rFonts w:ascii="Calibri" w:hAnsi="Calibri"/>
          <w:b w:val="0"/>
          <w:i w:val="0"/>
          <w:color w:val="172A3A"/>
          <w:sz w:val="22"/>
        </w:rPr>
        <w:t>Domingo/Feriado: Constitución y Juramento 2020, Facultad de Derecho 2018 y Pasco 2021 cubren desde perfiles amplios de tarde hasta un extremo nocturno con pico a las 21:00.</w:t>
      </w:r>
    </w:p>
    <w:p>
      <w:pPr>
        <w:pStyle w:val="Heading1"/>
      </w:pPr>
      <w:r>
        <w:t>8. Archivos y resultados principales</w:t>
      </w:r>
    </w:p>
    <w:tbl>
      <w:tblPr>
        <w:tblStyle w:val="TableGrid"/>
        <w:tblW w:type="dxa" w:w="9360"/>
        <w:tblLayout w:type="fixed"/>
        <w:tblLook w:firstColumn="1" w:firstRow="1" w:lastColumn="0" w:lastRow="0" w:noHBand="0" w:noVBand="1" w:val="04A0"/>
        <w:jc w:val="left"/>
        <w:tblInd w:w="120" w:type="dxa"/>
      </w:tblPr>
      <w:tblGrid>
        <w:gridCol w:w="3600"/>
        <w:gridCol w:w="5760"/>
      </w:tblGrid>
      <w:tr>
        <w:trPr>
          <w:tblHeader w:val="true"/>
        </w:trPr>
        <w:tc>
          <w:tcPr>
            <w:tcW w:type="dxa" w:w="3600"/>
            <w:tcMar>
              <w:top w:w="80" w:type="dxa"/>
              <w:start w:w="120" w:type="dxa"/>
              <w:bottom w:w="80" w:type="dxa"/>
              <w:end w:w="120" w:type="dxa"/>
            </w:tcMar>
            <w:vAlign w:val="center"/>
            <w:shd w:fill="E8EEF5"/>
          </w:tcPr>
          <w:p>
            <w:pPr>
              <w:spacing w:after="0" w:line="264" w:lineRule="auto"/>
              <w:jc w:val="center"/>
            </w:pPr>
            <w:r>
              <w:rPr>
                <w:rFonts w:ascii="Calibri" w:hAnsi="Calibri"/>
                <w:b/>
                <w:i w:val="0"/>
                <w:color w:val="1F4D78"/>
                <w:sz w:val="18"/>
              </w:rPr>
              <w:t>Archivo</w:t>
            </w:r>
          </w:p>
        </w:tc>
        <w:tc>
          <w:tcPr>
            <w:tcW w:type="dxa" w:w="5760"/>
            <w:tcMar>
              <w:top w:w="80" w:type="dxa"/>
              <w:start w:w="120" w:type="dxa"/>
              <w:bottom w:w="80" w:type="dxa"/>
              <w:end w:w="120" w:type="dxa"/>
            </w:tcMar>
            <w:vAlign w:val="center"/>
            <w:shd w:fill="E8EEF5"/>
          </w:tcPr>
          <w:p>
            <w:pPr>
              <w:spacing w:after="0" w:line="264" w:lineRule="auto"/>
              <w:jc w:val="center"/>
            </w:pPr>
            <w:r>
              <w:rPr>
                <w:rFonts w:ascii="Calibri" w:hAnsi="Calibri"/>
                <w:b/>
                <w:i w:val="0"/>
                <w:color w:val="1F4D78"/>
                <w:sz w:val="18"/>
              </w:rPr>
              <w:t>Contenido</w:t>
            </w:r>
          </w:p>
        </w:tc>
      </w:tr>
      <w:tr>
        <w:tc>
          <w:tcPr>
            <w:tcW w:type="dxa" w:w="36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8"/>
              </w:rPr>
              <w:t>auditoria_por_anio.csv</w:t>
            </w:r>
          </w:p>
        </w:tc>
        <w:tc>
          <w:tcPr>
            <w:tcW w:type="dxa" w:w="57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8"/>
              </w:rPr>
              <w:t>Fechas, intervalos, cobertura y estaciones por año</w:t>
            </w:r>
          </w:p>
        </w:tc>
      </w:tr>
      <w:tr>
        <w:tc>
          <w:tcPr>
            <w:tcW w:type="dxa" w:w="36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8"/>
              </w:rPr>
              <w:t>auditoria_estaciones_canonicas.csv</w:t>
            </w:r>
          </w:p>
        </w:tc>
        <w:tc>
          <w:tcPr>
            <w:tcW w:type="dxa" w:w="57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8"/>
              </w:rPr>
              <w:t>Identificadores crudos, observados canónicos e inventario esperado</w:t>
            </w:r>
          </w:p>
        </w:tc>
      </w:tr>
      <w:tr>
        <w:tc>
          <w:tcPr>
            <w:tcW w:type="dxa" w:w="36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8"/>
              </w:rPr>
              <w:t>alias_estaciones_canonicas.csv</w:t>
            </w:r>
          </w:p>
        </w:tc>
        <w:tc>
          <w:tcPr>
            <w:tcW w:type="dxa" w:w="57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8"/>
              </w:rPr>
              <w:t>Textos originales que convergen en una misma línea-estación canónica</w:t>
            </w:r>
          </w:p>
        </w:tc>
      </w:tr>
      <w:tr>
        <w:tc>
          <w:tcPr>
            <w:tcW w:type="dxa" w:w="36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8"/>
              </w:rPr>
              <w:t>estaciones_descartadas.csv</w:t>
            </w:r>
          </w:p>
        </w:tc>
        <w:tc>
          <w:tcPr>
            <w:tcW w:type="dxa" w:w="57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8"/>
              </w:rPr>
              <w:t>Registros excluidos con motivo, station-slots y pasajeros</w:t>
            </w:r>
          </w:p>
        </w:tc>
      </w:tr>
      <w:tr>
        <w:tc>
          <w:tcPr>
            <w:tcW w:type="dxa" w:w="36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8"/>
              </w:rPr>
              <w:t>scores_fpca_clusters_segmentados.csv</w:t>
            </w:r>
          </w:p>
        </w:tc>
        <w:tc>
          <w:tcPr>
            <w:tcW w:type="dxa" w:w="57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8"/>
              </w:rPr>
              <w:t>Scores, clusters, distancias y metadatos por curva</w:t>
            </w:r>
          </w:p>
        </w:tc>
      </w:tr>
      <w:tr>
        <w:tc>
          <w:tcPr>
            <w:tcW w:type="dxa" w:w="36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8"/>
              </w:rPr>
              <w:t>perfiles_suavizados_segmentados.csv</w:t>
            </w:r>
          </w:p>
        </w:tc>
        <w:tc>
          <w:tcPr>
            <w:tcW w:type="dxa" w:w="57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8"/>
              </w:rPr>
              <w:t>Curvas funcionales suavizadas</w:t>
            </w:r>
          </w:p>
        </w:tc>
      </w:tr>
      <w:tr>
        <w:tc>
          <w:tcPr>
            <w:tcW w:type="dxa" w:w="36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8"/>
              </w:rPr>
              <w:t>caracterizacion_clusters.csv</w:t>
            </w:r>
          </w:p>
        </w:tc>
        <w:tc>
          <w:tcPr>
            <w:tcW w:type="dxa" w:w="57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8"/>
              </w:rPr>
              <w:t>Picos, ventanas horarias, volumen y silhouette</w:t>
            </w:r>
          </w:p>
        </w:tc>
      </w:tr>
      <w:tr>
        <w:tc>
          <w:tcPr>
            <w:tcW w:type="dxa" w:w="36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8"/>
              </w:rPr>
              <w:t>prototipos_maxvol.csv</w:t>
            </w:r>
          </w:p>
        </w:tc>
        <w:tc>
          <w:tcPr>
            <w:tcW w:type="dxa" w:w="57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8"/>
              </w:rPr>
              <w:t>Prototipos y rasgos interpretables</w:t>
            </w:r>
          </w:p>
        </w:tc>
      </w:tr>
      <w:tr>
        <w:tc>
          <w:tcPr>
            <w:tcW w:type="dxa" w:w="36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8"/>
              </w:rPr>
              <w:t>diagnostico_maxvol.csv</w:t>
            </w:r>
          </w:p>
        </w:tc>
        <w:tc>
          <w:tcPr>
            <w:tcW w:type="dxa" w:w="57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8"/>
              </w:rPr>
              <w:t>Dimensión, iteraciones, coeficiente final y log-volumen</w:t>
            </w:r>
          </w:p>
        </w:tc>
      </w:tr>
      <w:tr>
        <w:tc>
          <w:tcPr>
            <w:tcW w:type="dxa" w:w="36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8"/>
              </w:rPr>
              <w:t>interpretacion_clusters_maxvol.md</w:t>
            </w:r>
          </w:p>
        </w:tc>
        <w:tc>
          <w:tcPr>
            <w:tcW w:type="dxa" w:w="57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8"/>
              </w:rPr>
              <w:t>Narrativa automática de grupos y prototipos</w:t>
            </w:r>
          </w:p>
        </w:tc>
      </w:tr>
      <w:tr>
        <w:tc>
          <w:tcPr>
            <w:tcW w:type="dxa" w:w="36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8"/>
              </w:rPr>
              <w:t>mapa_estaciones_perfil_tipico.csv</w:t>
            </w:r>
          </w:p>
        </w:tc>
        <w:tc>
          <w:tcPr>
            <w:tcW w:type="dxa" w:w="57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8"/>
              </w:rPr>
              <w:t>Perfiles mediana estación-año-segmento-slot, listos para el mapa</w:t>
            </w:r>
          </w:p>
        </w:tc>
      </w:tr>
      <w:tr>
        <w:tc>
          <w:tcPr>
            <w:tcW w:type="dxa" w:w="36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8"/>
              </w:rPr>
              <w:t>mapa_estaciones_georreferenciadas.csv</w:t>
            </w:r>
          </w:p>
        </w:tc>
        <w:tc>
          <w:tcPr>
            <w:tcW w:type="dxa" w:w="57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8"/>
              </w:rPr>
              <w:t>Capa canónica de coordenadas y procedencia oficial</w:t>
            </w:r>
          </w:p>
        </w:tc>
      </w:tr>
      <w:tr>
        <w:tc>
          <w:tcPr>
            <w:tcW w:type="dxa" w:w="36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8"/>
              </w:rPr>
              <w:t>resumen_capa_mapa_dashboard.csv</w:t>
            </w:r>
          </w:p>
        </w:tc>
        <w:tc>
          <w:tcPr>
            <w:tcW w:type="dxa" w:w="57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8"/>
              </w:rPr>
              <w:t>Cobertura y tamaño de la capa geográfica por año y segmento</w:t>
            </w:r>
          </w:p>
        </w:tc>
      </w:tr>
      <w:tr>
        <w:tc>
          <w:tcPr>
            <w:tcW w:type="dxa" w:w="36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8"/>
              </w:rPr>
              <w:t>analisis_liderazgo_linea_b_horario_habitual.csv</w:t>
            </w:r>
          </w:p>
        </w:tc>
        <w:tc>
          <w:tcPr>
            <w:tcW w:type="dxa" w:w="57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8"/>
              </w:rPr>
              <w:t>Sensibilidad del ranking por línea al alcance horario corriente</w:t>
            </w:r>
          </w:p>
        </w:tc>
      </w:tr>
      <w:tr>
        <w:tc>
          <w:tcPr>
            <w:tcW w:type="dxa" w:w="36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8"/>
              </w:rPr>
              <w:t>creacion_dashboard.ipynb</w:t>
            </w:r>
          </w:p>
        </w:tc>
        <w:tc>
          <w:tcPr>
            <w:tcW w:type="dxa" w:w="57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8"/>
              </w:rPr>
              <w:t>Aplicación Dash con mapa, filtros, animación y linking and brushing</w:t>
            </w:r>
          </w:p>
        </w:tc>
      </w:tr>
      <w:tr>
        <w:tc>
          <w:tcPr>
            <w:tcW w:type="dxa" w:w="36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8"/>
              </w:rPr>
              <w:t>resultados_proyecto_subte.zip</w:t>
            </w:r>
          </w:p>
        </w:tc>
        <w:tc>
          <w:tcPr>
            <w:tcW w:type="dxa" w:w="57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8"/>
              </w:rPr>
              <w:t>Paquete consolidado de resultados</w:t>
            </w:r>
          </w:p>
        </w:tc>
      </w:tr>
    </w:tbl>
    <w:p>
      <w:pPr>
        <w:spacing w:after="40"/>
      </w:pPr>
    </w:p>
    <w:p>
      <w:pPr>
        <w:pStyle w:val="Heading1"/>
      </w:pPr>
      <w:r>
        <w:t>9. Registro de decisiones</w:t>
      </w:r>
    </w:p>
    <w:tbl>
      <w:tblPr>
        <w:tblStyle w:val="TableGrid"/>
        <w:tblW w:type="dxa" w:w="9360"/>
        <w:tblLayout w:type="fixed"/>
        <w:tblLook w:firstColumn="1" w:firstRow="1" w:lastColumn="0" w:lastRow="0" w:noHBand="0" w:noVBand="1" w:val="04A0"/>
        <w:jc w:val="left"/>
        <w:tblInd w:w="120" w:type="dxa"/>
      </w:tblPr>
      <w:tblGrid>
        <w:gridCol w:w="1500"/>
        <w:gridCol w:w="3300"/>
        <w:gridCol w:w="4560"/>
      </w:tblGrid>
      <w:tr>
        <w:trPr>
          <w:tblHeader w:val="true"/>
        </w:trPr>
        <w:tc>
          <w:tcPr>
            <w:tcW w:type="dxa" w:w="1500"/>
            <w:tcMar>
              <w:top w:w="80" w:type="dxa"/>
              <w:start w:w="120" w:type="dxa"/>
              <w:bottom w:w="80" w:type="dxa"/>
              <w:end w:w="120" w:type="dxa"/>
            </w:tcMar>
            <w:vAlign w:val="center"/>
            <w:shd w:fill="E8EEF5"/>
          </w:tcPr>
          <w:p>
            <w:pPr>
              <w:spacing w:after="0" w:line="264" w:lineRule="auto"/>
              <w:jc w:val="center"/>
            </w:pPr>
            <w:r>
              <w:rPr>
                <w:rFonts w:ascii="Calibri" w:hAnsi="Calibri"/>
                <w:b/>
                <w:i w:val="0"/>
                <w:color w:val="1F4D78"/>
                <w:sz w:val="17"/>
              </w:rPr>
              <w:t>Fecha</w:t>
            </w:r>
          </w:p>
        </w:tc>
        <w:tc>
          <w:tcPr>
            <w:tcW w:type="dxa" w:w="3300"/>
            <w:tcMar>
              <w:top w:w="80" w:type="dxa"/>
              <w:start w:w="120" w:type="dxa"/>
              <w:bottom w:w="80" w:type="dxa"/>
              <w:end w:w="120" w:type="dxa"/>
            </w:tcMar>
            <w:vAlign w:val="center"/>
            <w:shd w:fill="E8EEF5"/>
          </w:tcPr>
          <w:p>
            <w:pPr>
              <w:spacing w:after="0" w:line="264" w:lineRule="auto"/>
              <w:jc w:val="center"/>
            </w:pPr>
            <w:r>
              <w:rPr>
                <w:rFonts w:ascii="Calibri" w:hAnsi="Calibri"/>
                <w:b/>
                <w:i w:val="0"/>
                <w:color w:val="1F4D78"/>
                <w:sz w:val="17"/>
              </w:rPr>
              <w:t>Decisión</w:t>
            </w:r>
          </w:p>
        </w:tc>
        <w:tc>
          <w:tcPr>
            <w:tcW w:type="dxa" w:w="4560"/>
            <w:tcMar>
              <w:top w:w="80" w:type="dxa"/>
              <w:start w:w="120" w:type="dxa"/>
              <w:bottom w:w="80" w:type="dxa"/>
              <w:end w:w="120" w:type="dxa"/>
            </w:tcMar>
            <w:vAlign w:val="center"/>
            <w:shd w:fill="E8EEF5"/>
          </w:tcPr>
          <w:p>
            <w:pPr>
              <w:spacing w:after="0" w:line="264" w:lineRule="auto"/>
              <w:jc w:val="center"/>
            </w:pPr>
            <w:r>
              <w:rPr>
                <w:rFonts w:ascii="Calibri" w:hAnsi="Calibri"/>
                <w:b/>
                <w:i w:val="0"/>
                <w:color w:val="1F4D78"/>
                <w:sz w:val="17"/>
              </w:rPr>
              <w:t>Justificación</w:t>
            </w:r>
          </w:p>
        </w:tc>
      </w:tr>
      <w:tr>
        <w:tc>
          <w:tcPr>
            <w:tcW w:type="dxa" w:w="15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2026-08-31</w:t>
            </w:r>
          </w:p>
        </w:tc>
        <w:tc>
          <w:tcPr>
            <w:tcW w:type="dxa" w:w="33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Usar formato_fechas_por_archivo.csv</w:t>
            </w:r>
          </w:p>
        </w:tc>
        <w:tc>
          <w:tcPr>
            <w:tcW w:type="dxa" w:w="45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Consistencia histórica y eliminación de ambigüedad día/mes</w:t>
            </w:r>
          </w:p>
        </w:tc>
      </w:tr>
      <w:tr>
        <w:tc>
          <w:tcPr>
            <w:tcW w:type="dxa" w:w="15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2026-08-31</w:t>
            </w:r>
          </w:p>
        </w:tc>
        <w:tc>
          <w:tcPr>
            <w:tcW w:type="dxa" w:w="33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Parseo por bloques para 2020</w:t>
            </w:r>
          </w:p>
        </w:tc>
        <w:tc>
          <w:tcPr>
            <w:tcW w:type="dxa" w:w="45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El mismo archivo cambia de DD/MM a MM/DD y vuelve a DD/MM</w:t>
            </w:r>
          </w:p>
        </w:tc>
      </w:tr>
      <w:tr>
        <w:tc>
          <w:tcPr>
            <w:tcW w:type="dxa" w:w="15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2026-08-31</w:t>
            </w:r>
          </w:p>
        </w:tc>
        <w:tc>
          <w:tcPr>
            <w:tcW w:type="dxa" w:w="33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Parseo mixto ISO/DD-MM para 2021</w:t>
            </w:r>
          </w:p>
        </w:tc>
        <w:tc>
          <w:tcPr>
            <w:tcW w:type="dxa" w:w="45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Los meses contienen más de una representación</w:t>
            </w:r>
          </w:p>
        </w:tc>
      </w:tr>
      <w:tr>
        <w:tc>
          <w:tcPr>
            <w:tcW w:type="dxa" w:w="15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2026-08-31</w:t>
            </w:r>
          </w:p>
        </w:tc>
        <w:tc>
          <w:tcPr>
            <w:tcW w:type="dxa" w:w="33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Excluir PM</w:t>
            </w:r>
          </w:p>
        </w:tc>
        <w:tc>
          <w:tcPr>
            <w:tcW w:type="dxa" w:w="45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El Premetro no pertenece al universo analítico solicitado</w:t>
            </w:r>
          </w:p>
        </w:tc>
      </w:tr>
      <w:tr>
        <w:tc>
          <w:tcPr>
            <w:tcW w:type="dxa" w:w="15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2026-08-31</w:t>
            </w:r>
          </w:p>
        </w:tc>
        <w:tc>
          <w:tcPr>
            <w:tcW w:type="dxa" w:w="33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Normalizar estaciones sobre station-slot</w:t>
            </w:r>
          </w:p>
        </w:tc>
        <w:tc>
          <w:tcPr>
            <w:tcW w:type="dxa" w:w="45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Corregir conteos sin regenerar la caché cruda</w:t>
            </w:r>
          </w:p>
        </w:tc>
      </w:tr>
      <w:tr>
        <w:tc>
          <w:tcPr>
            <w:tcW w:type="dxa" w:w="15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2026-08-31</w:t>
            </w:r>
          </w:p>
        </w:tc>
        <w:tc>
          <w:tcPr>
            <w:tcW w:type="dxa" w:w="33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Separar observado de esperado</w:t>
            </w:r>
          </w:p>
        </w:tc>
        <w:tc>
          <w:tcPr>
            <w:tcW w:type="dxa" w:w="45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Una estación sin registros no equivale a una estación inexistente</w:t>
            </w:r>
          </w:p>
        </w:tc>
      </w:tr>
      <w:tr>
        <w:tc>
          <w:tcPr>
            <w:tcW w:type="dxa" w:w="15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2026-08-31</w:t>
            </w:r>
          </w:p>
        </w:tc>
        <w:tc>
          <w:tcPr>
            <w:tcW w:type="dxa" w:w="33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Agregar MaxVol afín por segmento</w:t>
            </w:r>
          </w:p>
        </w:tc>
        <w:tc>
          <w:tcPr>
            <w:tcW w:type="dxa" w:w="45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Seleccionar observaciones reales que representen la diversidad del espacio FPCA</w:t>
            </w:r>
          </w:p>
        </w:tc>
      </w:tr>
      <w:tr>
        <w:tc>
          <w:tcPr>
            <w:tcW w:type="dxa" w:w="15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2026-08-31</w:t>
            </w:r>
          </w:p>
        </w:tc>
        <w:tc>
          <w:tcPr>
            <w:tcW w:type="dxa" w:w="33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Preparar pulso geográfico interactivo</w:t>
            </w:r>
          </w:p>
        </w:tc>
        <w:tc>
          <w:tcPr>
            <w:tcW w:type="dxa" w:w="45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Unir perfiles típicos a 90 coordenadas oficiales y distinguir volumen absoluto de intensidad relativa</w:t>
            </w:r>
          </w:p>
        </w:tc>
      </w:tr>
      <w:tr>
        <w:tc>
          <w:tcPr>
            <w:tcW w:type="dxa" w:w="15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2026-08-31</w:t>
            </w:r>
          </w:p>
        </w:tc>
        <w:tc>
          <w:tcPr>
            <w:tcW w:type="dxa" w:w="33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Mantener bitácora viva</w:t>
            </w:r>
          </w:p>
        </w:tc>
        <w:tc>
          <w:tcPr>
            <w:tcW w:type="dxa" w:w="45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Trazabilidad reproducible de decisiones y resultados</w:t>
            </w:r>
          </w:p>
        </w:tc>
      </w:tr>
      <w:tr>
        <w:tc>
          <w:tcPr>
            <w:tcW w:type="dxa" w:w="15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2026-09-17</w:t>
            </w:r>
          </w:p>
        </w:tc>
        <w:tc>
          <w:tcPr>
            <w:tcW w:type="dxa" w:w="33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Usar operación habitual como alcance del dashboard</w:t>
            </w:r>
          </w:p>
        </w:tc>
        <w:tc>
          <w:tcPr>
            <w:tcW w:type="dxa" w:w="45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Excluir extensiones por eventos y observaciones aisladas que no describen el día típico</w:t>
            </w:r>
          </w:p>
        </w:tc>
      </w:tr>
      <w:tr>
        <w:tc>
          <w:tcPr>
            <w:tcW w:type="dxa" w:w="15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2026-09-17</w:t>
            </w:r>
          </w:p>
        </w:tc>
        <w:tc>
          <w:tcPr>
            <w:tcW w:type="dxa" w:w="33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Conservar todos los datos dentro del horario habitual</w:t>
            </w:r>
          </w:p>
        </w:tc>
        <w:tc>
          <w:tcPr>
            <w:tcW w:type="dxa" w:w="45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El alcance se define exclusivamente por las ventanas operativas, sin umbral adicional por franja</w:t>
            </w:r>
          </w:p>
        </w:tc>
      </w:tr>
      <w:tr>
        <w:tc>
          <w:tcPr>
            <w:tcW w:type="dxa" w:w="15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2026-09-17</w:t>
            </w:r>
          </w:p>
        </w:tc>
        <w:tc>
          <w:tcPr>
            <w:tcW w:type="dxa" w:w="33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Fijar la escala de burbujas entre horas</w:t>
            </w:r>
          </w:p>
        </w:tc>
        <w:tc>
          <w:tcPr>
            <w:tcW w:type="dxa" w:w="45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Impedir que valores mínimos parezcan grandes por reescalado cuadro a cuadro</w:t>
            </w:r>
          </w:p>
        </w:tc>
      </w:tr>
      <w:tr>
        <w:tc>
          <w:tcPr>
            <w:tcW w:type="dxa" w:w="15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2026-09-17</w:t>
            </w:r>
          </w:p>
        </w:tc>
        <w:tc>
          <w:tcPr>
            <w:tcW w:type="dxa" w:w="33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Persistir selecciones por gráfico</w:t>
            </w:r>
          </w:p>
        </w:tc>
        <w:tc>
          <w:tcPr>
            <w:tcW w:type="dxa" w:w="45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Hacer estable el linking and brushing y permitir reset selectivo desde la barra de Plotly</w:t>
            </w:r>
          </w:p>
        </w:tc>
      </w:tr>
      <w:tr>
        <w:tc>
          <w:tcPr>
            <w:tcW w:type="dxa" w:w="1500"/>
            <w:tcMar>
              <w:top w:w="80" w:type="dxa"/>
              <w:start w:w="120" w:type="dxa"/>
              <w:bottom w:w="80" w:type="dxa"/>
              <w:end w:w="120" w:type="dxa"/>
            </w:tcMar>
            <w:vAlign w:val="center"/>
          </w:tcPr>
          <w:p>
            <w:pPr>
              <w:spacing w:after="0" w:line="264" w:lineRule="auto"/>
              <w:jc w:val="center"/>
            </w:pPr>
            <w:r>
              <w:rPr>
                <w:rFonts w:ascii="Calibri" w:hAnsi="Calibri"/>
                <w:b w:val="0"/>
                <w:i w:val="0"/>
                <w:color w:val="172A3A"/>
                <w:sz w:val="17"/>
              </w:rPr>
              <w:t>2026-09-17</w:t>
            </w:r>
          </w:p>
        </w:tc>
        <w:tc>
          <w:tcPr>
            <w:tcW w:type="dxa" w:w="330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Validar liderazgo de la Línea B</w:t>
            </w:r>
          </w:p>
        </w:tc>
        <w:tc>
          <w:tcPr>
            <w:tcW w:type="dxa" w:w="4560"/>
            <w:tcMar>
              <w:top w:w="80" w:type="dxa"/>
              <w:start w:w="120" w:type="dxa"/>
              <w:bottom w:w="80" w:type="dxa"/>
              <w:end w:w="120" w:type="dxa"/>
            </w:tcMar>
            <w:vAlign w:val="center"/>
          </w:tcPr>
          <w:p>
            <w:pPr>
              <w:spacing w:after="0" w:line="264" w:lineRule="auto"/>
              <w:jc w:val="left"/>
            </w:pPr>
            <w:r>
              <w:rPr>
                <w:rFonts w:ascii="Calibri" w:hAnsi="Calibri"/>
                <w:b w:val="0"/>
                <w:i w:val="0"/>
                <w:color w:val="172A3A"/>
                <w:sz w:val="17"/>
              </w:rPr>
              <w:t>El ranking se mantiene al restringir el análisis a horarios habituales</w:t>
            </w:r>
          </w:p>
        </w:tc>
      </w:tr>
    </w:tbl>
    <w:p>
      <w:pPr>
        <w:spacing w:after="40"/>
      </w:pPr>
    </w:p>
    <w:p>
      <w:pPr>
        <w:pStyle w:val="Heading1"/>
      </w:pPr>
      <w:r>
        <w:t>10. Próximos pasos</w:t>
      </w:r>
    </w:p>
    <w:p>
      <w:pPr>
        <w:spacing w:before="0" w:after="120" w:line="300" w:lineRule="auto"/>
      </w:pPr>
      <w:r>
        <w:rPr>
          <w:rFonts w:ascii="Calibri" w:hAnsi="Calibri"/>
          <w:b/>
          <w:i w:val="0"/>
          <w:color w:val="1F4D78"/>
          <w:sz w:val="22"/>
        </w:rPr>
        <w:t>Completado en esta versión</w:t>
      </w:r>
    </w:p>
    <w:p>
      <w:pPr>
        <w:pStyle w:val="ListBullet"/>
        <w:spacing w:after="80" w:line="300" w:lineRule="auto"/>
        <w:ind w:left="540" w:hanging="271"/>
      </w:pPr>
      <w:r>
        <w:rPr>
          <w:rFonts w:ascii="Calibri" w:hAnsi="Calibri"/>
          <w:b w:val="0"/>
          <w:i w:val="0"/>
          <w:color w:val="172A3A"/>
          <w:sz w:val="22"/>
        </w:rPr>
        <w:t>Ejecución completa sobre la caché sin releer las 122 fuentes.</w:t>
      </w:r>
    </w:p>
    <w:p>
      <w:pPr>
        <w:pStyle w:val="ListBullet"/>
        <w:spacing w:after="80" w:line="300" w:lineRule="auto"/>
        <w:ind w:left="540" w:hanging="271"/>
      </w:pPr>
      <w:r>
        <w:rPr>
          <w:rFonts w:ascii="Calibri" w:hAnsi="Calibri"/>
          <w:b w:val="0"/>
          <w:i w:val="0"/>
          <w:color w:val="172A3A"/>
          <w:sz w:val="22"/>
        </w:rPr>
        <w:t>Conteos canónicos confirmados y descartes exportados con motivo.</w:t>
      </w:r>
    </w:p>
    <w:p>
      <w:pPr>
        <w:pStyle w:val="ListBullet"/>
        <w:spacing w:after="80" w:line="300" w:lineRule="auto"/>
        <w:ind w:left="540" w:hanging="271"/>
      </w:pPr>
      <w:r>
        <w:rPr>
          <w:rFonts w:ascii="Calibri" w:hAnsi="Calibri"/>
          <w:b w:val="0"/>
          <w:i w:val="0"/>
          <w:color w:val="172A3A"/>
          <w:sz w:val="22"/>
        </w:rPr>
        <w:t>FPCA y clusters recalculados con identidad de estación corregida.</w:t>
      </w:r>
    </w:p>
    <w:p>
      <w:pPr>
        <w:pStyle w:val="ListBullet"/>
        <w:spacing w:after="80" w:line="300" w:lineRule="auto"/>
        <w:ind w:left="540" w:hanging="271"/>
      </w:pPr>
      <w:r>
        <w:rPr>
          <w:rFonts w:ascii="Calibri" w:hAnsi="Calibri"/>
          <w:b w:val="0"/>
          <w:i w:val="0"/>
          <w:color w:val="172A3A"/>
          <w:sz w:val="22"/>
        </w:rPr>
        <w:t>Once prototipos MaxVol globales seleccionados, graficados e interpretados.</w:t>
      </w:r>
    </w:p>
    <w:p>
      <w:pPr>
        <w:pStyle w:val="ListBullet"/>
        <w:spacing w:after="80" w:line="300" w:lineRule="auto"/>
        <w:ind w:left="540" w:hanging="271"/>
      </w:pPr>
      <w:r>
        <w:rPr>
          <w:rFonts w:ascii="Calibri" w:hAnsi="Calibri"/>
          <w:b w:val="0"/>
          <w:i w:val="0"/>
          <w:color w:val="172A3A"/>
          <w:sz w:val="22"/>
        </w:rPr>
        <w:t>Dashboard Dash final con mapa oficial, animación horaria, identidad visual y linking and brushing persistente.</w:t>
      </w:r>
    </w:p>
    <w:p>
      <w:pPr>
        <w:pStyle w:val="ListBullet"/>
        <w:spacing w:after="80" w:line="300" w:lineRule="auto"/>
        <w:ind w:left="540" w:hanging="271"/>
      </w:pPr>
      <w:r>
        <w:rPr>
          <w:rFonts w:ascii="Calibri" w:hAnsi="Calibri"/>
          <w:b w:val="0"/>
          <w:i w:val="0"/>
          <w:color w:val="172A3A"/>
          <w:sz w:val="22"/>
        </w:rPr>
        <w:t>Alcance de operación habitual aplicado y liderazgo de la Línea B validado mediante análisis de sensibilidad.</w:t>
      </w:r>
    </w:p>
    <w:p>
      <w:pPr>
        <w:spacing w:before="0" w:after="120" w:line="300" w:lineRule="auto"/>
      </w:pPr>
      <w:r>
        <w:rPr>
          <w:rFonts w:ascii="Calibri" w:hAnsi="Calibri"/>
          <w:b/>
          <w:i w:val="0"/>
          <w:color w:val="1F4D78"/>
          <w:sz w:val="22"/>
        </w:rPr>
        <w:t>Pendiente</w:t>
      </w:r>
    </w:p>
    <w:p>
      <w:pPr>
        <w:pStyle w:val="ListNumber"/>
        <w:spacing w:after="80" w:line="300" w:lineRule="auto"/>
        <w:ind w:left="540" w:hanging="271"/>
      </w:pPr>
      <w:r>
        <w:rPr>
          <w:rFonts w:ascii="Calibri" w:hAnsi="Calibri"/>
          <w:b w:val="0"/>
          <w:i w:val="0"/>
          <w:color w:val="172A3A"/>
          <w:sz w:val="22"/>
        </w:rPr>
        <w:t>Validar los 21 días faltantes informados para 2021 contra los archivos fuente y distinguir ausencia real de error de parseo.</w:t>
      </w:r>
    </w:p>
    <w:p>
      <w:pPr>
        <w:pStyle w:val="ListNumber"/>
        <w:spacing w:after="80" w:line="300" w:lineRule="auto"/>
        <w:ind w:left="540" w:hanging="271"/>
      </w:pPr>
      <w:r>
        <w:rPr>
          <w:rFonts w:ascii="Calibri" w:hAnsi="Calibri"/>
          <w:b w:val="0"/>
          <w:i w:val="0"/>
          <w:color w:val="172A3A"/>
          <w:sz w:val="22"/>
        </w:rPr>
        <w:t>Inspeccionar los intervalos no estándar mediante ejemplos concretos antes de decidir si corregirlos o excluirlos.</w:t>
      </w:r>
    </w:p>
    <w:p>
      <w:pPr>
        <w:pStyle w:val="ListNumber"/>
        <w:spacing w:after="80" w:line="300" w:lineRule="auto"/>
        <w:ind w:left="540" w:hanging="271"/>
      </w:pPr>
      <w:r>
        <w:rPr>
          <w:rFonts w:ascii="Calibri" w:hAnsi="Calibri"/>
          <w:b w:val="0"/>
          <w:i w:val="0"/>
          <w:color w:val="172A3A"/>
          <w:sz w:val="22"/>
        </w:rPr>
        <w:t>Evaluar sensibilidad de MaxVol excluyendo pandemia y años parciales; comparar prototipos globales y de referencia.</w:t>
      </w:r>
    </w:p>
    <w:p>
      <w:pPr>
        <w:pStyle w:val="ListNumber"/>
        <w:spacing w:after="80" w:line="300" w:lineRule="auto"/>
        <w:ind w:left="540" w:hanging="271"/>
      </w:pPr>
      <w:r>
        <w:rPr>
          <w:rFonts w:ascii="Calibri" w:hAnsi="Calibri"/>
          <w:b w:val="0"/>
          <w:i w:val="0"/>
          <w:color w:val="172A3A"/>
          <w:sz w:val="22"/>
        </w:rPr>
        <w:t>Evaluar un modo opcional, separado y apagado por defecto para explorar servicios extraordinarios y eventos especiales.</w:t>
      </w:r>
    </w:p>
    <w:p>
      <w:pPr>
        <w:pStyle w:val="ListNumber"/>
        <w:spacing w:after="80" w:line="300" w:lineRule="auto"/>
        <w:ind w:left="540" w:hanging="271"/>
      </w:pPr>
      <w:r>
        <w:rPr>
          <w:rFonts w:ascii="Calibri" w:hAnsi="Calibri"/>
          <w:b w:val="0"/>
          <w:i w:val="0"/>
          <w:color w:val="172A3A"/>
          <w:sz w:val="22"/>
        </w:rPr>
        <w:t>Incorporar cierres temporales y aperturas de estaciones a un inventario histórico por fecha, no solo por año.</w:t>
      </w:r>
    </w:p>
    <w:p>
      <w:pPr>
        <w:pStyle w:val="ListNumber"/>
        <w:spacing w:after="80" w:line="300" w:lineRule="auto"/>
        <w:ind w:left="540" w:hanging="271"/>
      </w:pPr>
      <w:r>
        <w:rPr>
          <w:rFonts w:ascii="Calibri" w:hAnsi="Calibri"/>
          <w:b w:val="0"/>
          <w:i w:val="0"/>
          <w:color w:val="172A3A"/>
          <w:sz w:val="22"/>
        </w:rPr>
        <w:t>Actualizar este documento ante cada nueva regla, cambio de caché, decisión metodológica o resultado estable.</w:t>
      </w:r>
    </w:p>
    <w:p>
      <w:pPr>
        <w:pStyle w:val="Heading1"/>
      </w:pPr>
      <w:r>
        <w:t>11. Procedimiento de actualización</w:t>
      </w:r>
    </w:p>
    <w:p>
      <w:pPr>
        <w:pStyle w:val="ListNumber"/>
        <w:spacing w:after="80" w:line="300" w:lineRule="auto"/>
        <w:ind w:left="540" w:hanging="271"/>
      </w:pPr>
      <w:r>
        <w:rPr>
          <w:rFonts w:ascii="Calibri" w:hAnsi="Calibri"/>
          <w:b w:val="0"/>
          <w:i w:val="0"/>
          <w:color w:val="172A3A"/>
          <w:sz w:val="22"/>
        </w:rPr>
        <w:t>Modificar el notebook o la regla de limpieza y asignar una versión explícita.</w:t>
      </w:r>
    </w:p>
    <w:p>
      <w:pPr>
        <w:pStyle w:val="ListNumber"/>
        <w:spacing w:after="80" w:line="300" w:lineRule="auto"/>
        <w:ind w:left="540" w:hanging="271"/>
      </w:pPr>
      <w:r>
        <w:rPr>
          <w:rFonts w:ascii="Calibri" w:hAnsi="Calibri"/>
          <w:b w:val="0"/>
          <w:i w:val="0"/>
          <w:color w:val="172A3A"/>
          <w:sz w:val="22"/>
        </w:rPr>
        <w:t>Ejecutar solamente desde la capa mínima necesaria y conservar la caché no afectada.</w:t>
      </w:r>
    </w:p>
    <w:p>
      <w:pPr>
        <w:pStyle w:val="ListNumber"/>
        <w:spacing w:after="80" w:line="300" w:lineRule="auto"/>
        <w:ind w:left="540" w:hanging="271"/>
      </w:pPr>
      <w:r>
        <w:rPr>
          <w:rFonts w:ascii="Calibri" w:hAnsi="Calibri"/>
          <w:b w:val="0"/>
          <w:i w:val="0"/>
          <w:color w:val="172A3A"/>
          <w:sz w:val="22"/>
        </w:rPr>
        <w:t>Validar conteos, descartes, fechas, intervalos y resultados estadísticos.</w:t>
      </w:r>
    </w:p>
    <w:p>
      <w:pPr>
        <w:pStyle w:val="ListNumber"/>
        <w:spacing w:after="80" w:line="300" w:lineRule="auto"/>
        <w:ind w:left="540" w:hanging="271"/>
      </w:pPr>
      <w:r>
        <w:rPr>
          <w:rFonts w:ascii="Calibri" w:hAnsi="Calibri"/>
          <w:b w:val="0"/>
          <w:i w:val="0"/>
          <w:color w:val="172A3A"/>
          <w:sz w:val="22"/>
        </w:rPr>
        <w:t>Agregar una fila al Registro de decisiones y actualizar Estado, Resultados y Próximos pasos.</w:t>
      </w:r>
    </w:p>
    <w:p>
      <w:pPr>
        <w:pStyle w:val="ListNumber"/>
        <w:spacing w:after="80" w:line="300" w:lineRule="auto"/>
        <w:ind w:left="540" w:hanging="271"/>
      </w:pPr>
      <w:r>
        <w:rPr>
          <w:rFonts w:ascii="Calibri" w:hAnsi="Calibri"/>
          <w:b w:val="0"/>
          <w:i w:val="0"/>
          <w:color w:val="172A3A"/>
          <w:sz w:val="22"/>
        </w:rPr>
        <w:t>Regenerar este DOCX ejecutando subte_fpca_work/documentacion/actualizar_bitacora.py y revisar su render.</w:t>
      </w:r>
    </w:p>
    <w:p>
      <w:pPr>
        <w:pStyle w:val="Heading1"/>
      </w:pPr>
      <w:r>
        <w:t>12. Fuentes de referencia</w:t>
      </w:r>
    </w:p>
    <w:p>
      <w:pPr>
        <w:pStyle w:val="ListBullet"/>
        <w:spacing w:after="80"/>
        <w:ind w:left="540" w:hanging="271"/>
      </w:pPr>
      <w:hyperlink r:id="rId11">
        <w:r>
          <w:rPr>
            <w:color w:val="2E74B5"/>
            <w:u w:val="single"/>
          </w:rPr>
          <w:t>Diapositivas de la clase: reducción dimensional, FPCA y MaxVol</w:t>
        </w:r>
      </w:hyperlink>
    </w:p>
    <w:p>
      <w:pPr>
        <w:pStyle w:val="ListBullet"/>
        <w:spacing w:after="80"/>
        <w:ind w:left="540" w:hanging="271"/>
      </w:pPr>
      <w:hyperlink r:id="rId12">
        <w:r>
          <w:rPr>
            <w:color w:val="2E74B5"/>
            <w:u w:val="single"/>
          </w:rPr>
          <w:t>Buenos Aires Data: estaciones de Subte</w:t>
        </w:r>
      </w:hyperlink>
    </w:p>
    <w:p>
      <w:pPr>
        <w:pStyle w:val="ListBullet"/>
        <w:spacing w:after="80"/>
        <w:ind w:left="540" w:hanging="271"/>
      </w:pPr>
      <w:hyperlink r:id="rId13">
        <w:r>
          <w:rPr>
            <w:color w:val="2E74B5"/>
            <w:u w:val="single"/>
          </w:rPr>
          <w:t>Historia oficial de la Línea H</w:t>
        </w:r>
      </w:hyperlink>
    </w:p>
    <w:p>
      <w:pPr>
        <w:pStyle w:val="ListBullet"/>
        <w:spacing w:after="80"/>
        <w:ind w:left="540" w:hanging="271"/>
      </w:pPr>
      <w:hyperlink r:id="rId14">
        <w:r>
          <w:rPr>
            <w:color w:val="2E74B5"/>
            <w:u w:val="single"/>
          </w:rPr>
          <w:t>Historia oficial de la red de Subte</w:t>
        </w:r>
      </w:hyperlink>
    </w:p>
    <w:p>
      <w:pPr>
        <w:pStyle w:val="ListBullet"/>
        <w:spacing w:after="80"/>
        <w:ind w:left="540" w:hanging="271"/>
      </w:pPr>
      <w:hyperlink r:id="rId15">
        <w:r>
          <w:rPr>
            <w:color w:val="2E74B5"/>
            <w:u w:val="single"/>
          </w:rPr>
          <w:t>Información oficial sobre reapertura de Plaza de Mayo</w:t>
        </w:r>
      </w:hyperlink>
    </w:p>
    <w:p>
      <w:pPr>
        <w:pStyle w:val="ListBullet"/>
        <w:spacing w:after="80"/>
        <w:ind w:left="540" w:hanging="271"/>
      </w:pPr>
      <w:hyperlink r:id="rId16">
        <w:r>
          <w:rPr>
            <w:color w:val="2E74B5"/>
            <w:u w:val="single"/>
          </w:rPr>
          <w:t>Horarios oficiales del servicio de Subte</w:t>
        </w:r>
      </w:hyperlink>
    </w:p>
    <w:p>
      <w:pPr>
        <w:pStyle w:val="ListBullet"/>
        <w:spacing w:after="80"/>
        <w:ind w:left="540" w:hanging="271"/>
      </w:pPr>
      <w:hyperlink r:id="rId17">
        <w:r>
          <w:rPr>
            <w:color w:val="2E74B5"/>
            <w:u w:val="single"/>
          </w:rPr>
          <w:t>Ejemplo oficial de horario extendido de la Línea B</w:t>
        </w:r>
      </w:hyperlink>
    </w:p>
    <w:p>
      <w:pPr>
        <w:spacing w:before="0" w:after="0" w:line="300" w:lineRule="auto"/>
      </w:pPr>
      <w:r>
        <w:rPr>
          <w:rFonts w:ascii="Calibri" w:hAnsi="Calibri"/>
          <w:b w:val="0"/>
          <w:i/>
          <w:color w:val="5C6770"/>
          <w:sz w:val="22"/>
        </w:rPr>
        <w:t>Control de mantenimiento: este documento describe el estado validado del proyecto al cierre de la fecha indicada. Debe regenerarse después de cada ejecución que cambie reglas, datos, clusters o prototipos.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C6770"/>
        <w:sz w:val="18"/>
      </w:rPr>
      <w:t xml:space="preserve">Página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5C6770"/>
        <w:sz w:val="17"/>
      </w:rPr>
      <w:t>PROYECTO SUBTE FPCA  |  BITÁCORA TÉCNICA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72A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300" w:lineRule="auto"/>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rballester.github.io/uba_winter_school/#/dimensionality-reduction" TargetMode="External"/><Relationship Id="rId12" Type="http://schemas.openxmlformats.org/officeDocument/2006/relationships/hyperlink" Target="https://data.buenosaires.gob.ar/dataset/subte-estaciones/resource/juqdkmgo-1992-resource" TargetMode="External"/><Relationship Id="rId13" Type="http://schemas.openxmlformats.org/officeDocument/2006/relationships/hyperlink" Target="https://buenosaires.gob.ar/gcaba_historico/jefaturadegabinete/movilidad/subte/nuestra-historia/nuestra-historia/linea-h" TargetMode="External"/><Relationship Id="rId14" Type="http://schemas.openxmlformats.org/officeDocument/2006/relationships/hyperlink" Target="https://buenosaires.gob.ar/gcaba_historico/jefaturadegabinete/movilidad/subte/nuestra-historia" TargetMode="External"/><Relationship Id="rId15" Type="http://schemas.openxmlformats.org/officeDocument/2006/relationships/hyperlink" Target="https://buenosaires.gob.ar/gcaba_historico/noticias/vuelven-estar-operativas-15-estaciones-de-subte" TargetMode="External"/><Relationship Id="rId16" Type="http://schemas.openxmlformats.org/officeDocument/2006/relationships/hyperlink" Target="https://buenosaires.gob.ar/gcaba_historico/infraestructura/subte/horarios-del-servicio" TargetMode="External"/><Relationship Id="rId17" Type="http://schemas.openxmlformats.org/officeDocument/2006/relationships/hyperlink" Target="https://buenosaires.gob.ar/gcaba_historico/noticias/la-linea-b-extiende-su-horario-tambien-los-sabad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Bitácora técnica - Proyecto Subte FPCA</dc:title>
  <dc:subject>Procesamiento histórico, FPCA, clustering y MaxVol</dc:subject>
  <dc:creator>Proyecto Subte FPCA</dc:creator>
  <cp:keywords/>
  <dc:description>generated by python-docx</dc:description>
  <cp:lastModifiedBy/>
  <cp:revision>1</cp:revision>
  <dcterms:created xsi:type="dcterms:W3CDTF">2013-12-23T23:15:00Z</dcterms:created>
  <dcterms:modified xsi:type="dcterms:W3CDTF">2013-12-23T23:15:00Z</dcterms:modified>
  <cp:category/>
</cp:coreProperties>
</file>