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320"/>
        <w:jc w:val="center"/>
      </w:pPr>
      <w:r>
        <w:rPr>
          <w:rFonts w:ascii="Calibri" w:hAnsi="Calibri"/>
          <w:b/>
          <w:i w:val="0"/>
          <w:color w:val="2E74B5"/>
          <w:sz w:val="24"/>
        </w:rPr>
        <w:t>PRESENTACIÓN DEL PROYECTO</w:t>
      </w:r>
    </w:p>
    <w:p>
      <w:pPr>
        <w:spacing w:after="240"/>
        <w:jc w:val="center"/>
      </w:pPr>
      <w:r>
        <w:rPr>
          <w:rFonts w:ascii="Calibri" w:hAnsi="Calibri"/>
          <w:b/>
          <w:i w:val="0"/>
          <w:color w:val="1F4D78"/>
          <w:sz w:val="52"/>
        </w:rPr>
        <w:t>El pulso espacio-temporal del</w:t>
        <w:br/>
        <w:t>Subte de Buenos Aires</w:t>
      </w:r>
    </w:p>
    <w:p>
      <w:pPr>
        <w:spacing w:after="560"/>
        <w:jc w:val="center"/>
      </w:pPr>
      <w:r>
        <w:rPr>
          <w:rFonts w:ascii="Calibri" w:hAnsi="Calibri"/>
          <w:b w:val="0"/>
          <w:i/>
          <w:color w:val="5C6770"/>
          <w:sz w:val="24"/>
        </w:rPr>
        <w:t>FPCA, clustering y MaxVol para describir patrones horarios, prototipos y cambios de la red (2014–2026)</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tcMar>
              <w:top w:w="80" w:type="dxa"/>
              <w:start w:w="120" w:type="dxa"/>
              <w:bottom w:w="80" w:type="dxa"/>
              <w:end w:w="120" w:type="dxa"/>
            </w:tcMar>
            <w:vAlign w:val="center"/>
            <w:shd w:fill="E8EEF5"/>
          </w:tcPr>
          <w:p>
            <w:pPr>
              <w:spacing w:after="0"/>
              <w:jc w:val="center"/>
            </w:pPr>
            <w:r>
              <w:rPr>
                <w:rFonts w:ascii="Calibri" w:hAnsi="Calibri"/>
                <w:b/>
                <w:i w:val="0"/>
                <w:color w:val="1F4D78"/>
                <w:sz w:val="20"/>
              </w:rPr>
              <w:t>Producto final</w:t>
            </w:r>
          </w:p>
        </w:tc>
        <w:tc>
          <w:tcPr>
            <w:tcW w:type="dxa" w:w="4680"/>
            <w:tcMar>
              <w:top w:w="80" w:type="dxa"/>
              <w:start w:w="120" w:type="dxa"/>
              <w:bottom w:w="80" w:type="dxa"/>
              <w:end w:w="120" w:type="dxa"/>
            </w:tcMar>
            <w:vAlign w:val="center"/>
            <w:shd w:fill="E8EEF5"/>
          </w:tcPr>
          <w:p>
            <w:pPr>
              <w:spacing w:after="0"/>
              <w:jc w:val="center"/>
            </w:pPr>
            <w:r>
              <w:rPr>
                <w:rFonts w:ascii="Calibri" w:hAnsi="Calibri"/>
                <w:b w:val="0"/>
                <w:i w:val="0"/>
                <w:color w:val="172A3A"/>
                <w:sz w:val="20"/>
              </w:rPr>
              <w:t>Dashboard interactivo</w:t>
            </w:r>
          </w:p>
        </w:tc>
      </w:tr>
      <w:tr>
        <w:tc>
          <w:tcPr>
            <w:tcW w:type="dxa" w:w="4680"/>
            <w:tcMar>
              <w:top w:w="80" w:type="dxa"/>
              <w:start w:w="120" w:type="dxa"/>
              <w:bottom w:w="80" w:type="dxa"/>
              <w:end w:w="120" w:type="dxa"/>
            </w:tcMar>
            <w:vAlign w:val="center"/>
            <w:shd w:fill="E8EEF5"/>
          </w:tcPr>
          <w:p>
            <w:pPr>
              <w:spacing w:after="0"/>
              <w:jc w:val="center"/>
            </w:pPr>
            <w:r>
              <w:rPr>
                <w:rFonts w:ascii="Calibri" w:hAnsi="Calibri"/>
                <w:b/>
                <w:i w:val="0"/>
                <w:color w:val="1F4D78"/>
                <w:sz w:val="20"/>
              </w:rPr>
              <w:t>Fecha de actualización</w:t>
            </w:r>
          </w:p>
        </w:tc>
        <w:tc>
          <w:tcPr>
            <w:tcW w:type="dxa" w:w="4680"/>
            <w:tcMar>
              <w:top w:w="80" w:type="dxa"/>
              <w:start w:w="120" w:type="dxa"/>
              <w:bottom w:w="80" w:type="dxa"/>
              <w:end w:w="120" w:type="dxa"/>
            </w:tcMar>
            <w:vAlign w:val="center"/>
            <w:shd w:fill="E8EEF5"/>
          </w:tcPr>
          <w:p>
            <w:pPr>
              <w:spacing w:after="0"/>
              <w:jc w:val="center"/>
            </w:pPr>
            <w:r>
              <w:rPr>
                <w:rFonts w:ascii="Calibri" w:hAnsi="Calibri"/>
                <w:b w:val="0"/>
                <w:i w:val="0"/>
                <w:color w:val="172A3A"/>
                <w:sz w:val="20"/>
              </w:rPr>
              <w:t>2026-08-31</w:t>
            </w:r>
          </w:p>
        </w:tc>
      </w:tr>
    </w:tbl>
    <w:p>
      <w:r>
        <w:br w:type="page"/>
      </w:r>
    </w:p>
    <w:p>
      <w:pPr>
        <w:pStyle w:val="Heading1"/>
        <w:keepNext/>
      </w:pPr>
      <w:r>
        <w:t>1. Mensaje central para abrir la presentación</w:t>
      </w:r>
    </w:p>
    <w:p>
      <w:pPr>
        <w:spacing w:before="0" w:after="200" w:line="300" w:lineRule="auto"/>
      </w:pPr>
      <w:r>
        <w:rPr>
          <w:rFonts w:ascii="Calibri" w:hAnsi="Calibri"/>
          <w:b w:val="0"/>
          <w:i w:val="0"/>
          <w:color w:val="172A3A"/>
          <w:sz w:val="22"/>
        </w:rPr>
      </w:r>
      <w:r>
        <w:rPr>
          <w:rFonts w:ascii="Calibri" w:hAnsi="Calibri"/>
          <w:b/>
          <w:i w:val="0"/>
          <w:color w:val="1F4D78"/>
          <w:sz w:val="22"/>
        </w:rPr>
        <w:t xml:space="preserve">Versión oral (30 segundos). </w:t>
      </w:r>
      <w:r>
        <w:rPr>
          <w:rFonts w:ascii="Calibri" w:hAnsi="Calibri"/>
          <w:b w:val="0"/>
          <w:i w:val="0"/>
          <w:color w:val="172A3A"/>
          <w:sz w:val="22"/>
        </w:rPr>
        <w:t>Este trabajo convierte los registros de molinetes en una lectura de la red: muestra cómo la intensidad de uso se desplaza entre estaciones durante el día, cómo esos perfiles horarios se agrupan y cómo cambian en la historia reciente. El dashboard no busca solo mostrar pasajeros: busca explicar la heterogeneidad espacial y temporal de la demanda de Subte.</w:t>
      </w:r>
    </w:p>
    <w:p>
      <w:pPr>
        <w:pStyle w:val="Heading1"/>
        <w:keepNext/>
      </w:pPr>
      <w:r>
        <w:t>2. Problema, objetivo y pregunta guía</w:t>
      </w:r>
    </w:p>
    <w:p>
      <w:pPr>
        <w:pStyle w:val="Heading2"/>
        <w:keepNext/>
      </w:pPr>
      <w:r>
        <w:t>Problema</w:t>
      </w:r>
    </w:p>
    <w:p>
      <w:pPr>
        <w:spacing w:before="0" w:after="120" w:line="300" w:lineRule="auto"/>
      </w:pPr>
      <w:r>
        <w:rPr>
          <w:rFonts w:ascii="Calibri" w:hAnsi="Calibri"/>
          <w:b w:val="0"/>
          <w:i w:val="0"/>
          <w:color w:val="172A3A"/>
          <w:sz w:val="22"/>
        </w:rPr>
        <w:t>La red no se usa de manera homogénea. Una misma cantidad diaria de pasajeros puede ocultar patrones muy diferentes: estaciones con pico de ingreso matutino, nodos de transbordo activos durante todo el día y estaciones de actividad vespertina. Además, la red se amplió y atravesó una ruptura extraordinaria durante la pandemia.</w:t>
      </w:r>
    </w:p>
    <w:p>
      <w:pPr>
        <w:pStyle w:val="Heading2"/>
        <w:keepNext/>
      </w:pPr>
      <w:r>
        <w:t>Objetivo general</w:t>
      </w:r>
    </w:p>
    <w:p>
      <w:pPr>
        <w:spacing w:before="0" w:after="200" w:line="300" w:lineRule="auto"/>
      </w:pPr>
      <w:r>
        <w:rPr>
          <w:rFonts w:ascii="Calibri" w:hAnsi="Calibri"/>
          <w:b w:val="0"/>
          <w:i w:val="0"/>
          <w:color w:val="172A3A"/>
          <w:sz w:val="22"/>
        </w:rPr>
      </w:r>
      <w:r>
        <w:rPr>
          <w:rFonts w:ascii="Calibri" w:hAnsi="Calibri"/>
          <w:b/>
          <w:i w:val="0"/>
          <w:color w:val="1F4D78"/>
          <w:sz w:val="22"/>
        </w:rPr>
        <w:t>Construir un dashboard analítico, reproducible y georreferenciado que permita explorar cómo se distribuye y evoluciona la demanda de las estaciones durante el día y entre años, distinguiendo tipo de día, cambios de red y discontinuidades temporales.</w:t>
      </w:r>
    </w:p>
    <w:p>
      <w:pPr>
        <w:pStyle w:val="Heading2"/>
        <w:keepNext/>
      </w:pPr>
      <w:r>
        <w:t>Pregunta guía</w:t>
      </w:r>
    </w:p>
    <w:p>
      <w:pPr>
        <w:spacing w:before="0" w:after="120" w:line="300" w:lineRule="auto"/>
      </w:pPr>
      <w:r>
        <w:rPr>
          <w:rFonts w:ascii="Calibri" w:hAnsi="Calibri"/>
          <w:b/>
          <w:i w:val="0"/>
          <w:color w:val="172A3A"/>
          <w:sz w:val="22"/>
        </w:rPr>
        <w:t>¿Cómo cambió la geografía y la temporalidad de la demanda de la red de Subte de Buenos Aires, y qué perfiles de uso caracterizan a las estaciones en la operación reciente?</w:t>
      </w:r>
    </w:p>
    <w:p>
      <w:pPr>
        <w:pStyle w:val="Heading2"/>
        <w:keepNext/>
      </w:pPr>
      <w:r>
        <w:t>Objetivos específicos</w:t>
      </w:r>
    </w:p>
    <w:p>
      <w:pPr>
        <w:pStyle w:val="ListBullet"/>
        <w:spacing w:after="80" w:line="300" w:lineRule="auto"/>
        <w:ind w:left="540" w:hanging="271"/>
      </w:pPr>
      <w:r>
        <w:rPr>
          <w:rFonts w:ascii="Calibri" w:hAnsi="Calibri"/>
          <w:b w:val="0"/>
          <w:i w:val="0"/>
          <w:color w:val="172A3A"/>
          <w:sz w:val="22"/>
        </w:rPr>
        <w:t>Visualizar el pulso horario de las estaciones sobre un mapa, con intervalos de 15 minutos.</w:t>
      </w:r>
    </w:p>
    <w:p>
      <w:pPr>
        <w:pStyle w:val="ListBullet"/>
        <w:spacing w:after="80" w:line="300" w:lineRule="auto"/>
        <w:ind w:left="540" w:hanging="271"/>
      </w:pPr>
      <w:r>
        <w:rPr>
          <w:rFonts w:ascii="Calibri" w:hAnsi="Calibri"/>
          <w:b w:val="0"/>
          <w:i w:val="0"/>
          <w:color w:val="172A3A"/>
          <w:sz w:val="22"/>
        </w:rPr>
        <w:t>Comparar patrones por día laborable, sábado y domingo/feriado sin mezclar comportamientos distintos.</w:t>
      </w:r>
    </w:p>
    <w:p>
      <w:pPr>
        <w:pStyle w:val="ListBullet"/>
        <w:spacing w:after="80" w:line="300" w:lineRule="auto"/>
        <w:ind w:left="540" w:hanging="271"/>
      </w:pPr>
      <w:r>
        <w:rPr>
          <w:rFonts w:ascii="Calibri" w:hAnsi="Calibri"/>
          <w:b w:val="0"/>
          <w:i w:val="0"/>
          <w:color w:val="172A3A"/>
          <w:sz w:val="22"/>
        </w:rPr>
        <w:t>Resumir curvas horarias complejas mediante FPCA y encontrar perfiles similares mediante clustering.</w:t>
      </w:r>
    </w:p>
    <w:p>
      <w:pPr>
        <w:pStyle w:val="ListBullet"/>
        <w:spacing w:after="80" w:line="300" w:lineRule="auto"/>
        <w:ind w:left="540" w:hanging="271"/>
      </w:pPr>
      <w:r>
        <w:rPr>
          <w:rFonts w:ascii="Calibri" w:hAnsi="Calibri"/>
          <w:b w:val="0"/>
          <w:i w:val="0"/>
          <w:color w:val="172A3A"/>
          <w:sz w:val="22"/>
        </w:rPr>
        <w:t>Seleccionar con MaxVol prototipos reales y diversos que ayuden a interpretar los clusters.</w:t>
      </w:r>
    </w:p>
    <w:p>
      <w:pPr>
        <w:pStyle w:val="ListBullet"/>
        <w:spacing w:after="80" w:line="300" w:lineRule="auto"/>
        <w:ind w:left="540" w:hanging="271"/>
      </w:pPr>
      <w:r>
        <w:rPr>
          <w:rFonts w:ascii="Calibri" w:hAnsi="Calibri"/>
          <w:b w:val="0"/>
          <w:i w:val="0"/>
          <w:color w:val="172A3A"/>
          <w:sz w:val="22"/>
        </w:rPr>
        <w:t>Separar cambios estructurales de red, cobertura y pandemia de los patrones operativos actuales.</w:t>
      </w:r>
    </w:p>
    <w:p>
      <w:pPr>
        <w:pStyle w:val="Heading1"/>
        <w:keepNext/>
      </w:pPr>
      <w:r>
        <w:t>3. Stakeholders y valor del producto</w:t>
      </w:r>
    </w:p>
    <w:tbl>
      <w:tblPr>
        <w:tblStyle w:val="TableGrid"/>
        <w:tblW w:type="dxa" w:w="9360"/>
        <w:tblLayout w:type="fixed"/>
        <w:tblLook w:firstColumn="1" w:firstRow="1" w:lastColumn="0" w:lastRow="0" w:noHBand="0" w:noVBand="1" w:val="04A0"/>
        <w:jc w:val="left"/>
        <w:tblInd w:w="120" w:type="dxa"/>
      </w:tblPr>
      <w:tblGrid>
        <w:gridCol w:w="1500"/>
        <w:gridCol w:w="2800"/>
        <w:gridCol w:w="5060"/>
      </w:tblGrid>
      <w:tr>
        <w:trPr>
          <w:tblHeader w:val="true"/>
        </w:trPr>
        <w:tc>
          <w:tcPr>
            <w:tcW w:type="dxa" w:w="1500"/>
            <w:tcMar>
              <w:top w:w="80" w:type="dxa"/>
              <w:start w:w="120" w:type="dxa"/>
              <w:bottom w:w="80" w:type="dxa"/>
              <w:end w:w="120" w:type="dxa"/>
            </w:tcMar>
            <w:vAlign w:val="center"/>
            <w:shd w:fill="E8EEF5"/>
          </w:tcPr>
          <w:p>
            <w:pPr>
              <w:spacing w:after="0" w:line="264" w:lineRule="auto"/>
              <w:jc w:val="center"/>
            </w:pPr>
            <w:r>
              <w:rPr>
                <w:rFonts w:ascii="Calibri" w:hAnsi="Calibri"/>
                <w:b/>
                <w:i w:val="0"/>
                <w:color w:val="1F4D78"/>
                <w:sz w:val="17"/>
              </w:rPr>
              <w:t>Stakeholder</w:t>
            </w:r>
          </w:p>
        </w:tc>
        <w:tc>
          <w:tcPr>
            <w:tcW w:type="dxa" w:w="2800"/>
            <w:tcMar>
              <w:top w:w="80" w:type="dxa"/>
              <w:start w:w="120" w:type="dxa"/>
              <w:bottom w:w="80" w:type="dxa"/>
              <w:end w:w="120" w:type="dxa"/>
            </w:tcMar>
            <w:vAlign w:val="center"/>
            <w:shd w:fill="E8EEF5"/>
          </w:tcPr>
          <w:p>
            <w:pPr>
              <w:spacing w:after="0" w:line="264" w:lineRule="auto"/>
              <w:jc w:val="center"/>
            </w:pPr>
            <w:r>
              <w:rPr>
                <w:rFonts w:ascii="Calibri" w:hAnsi="Calibri"/>
                <w:b/>
                <w:i w:val="0"/>
                <w:color w:val="1F4D78"/>
                <w:sz w:val="17"/>
              </w:rPr>
              <w:t>Necesidad</w:t>
            </w:r>
          </w:p>
        </w:tc>
        <w:tc>
          <w:tcPr>
            <w:tcW w:type="dxa" w:w="5060"/>
            <w:tcMar>
              <w:top w:w="80" w:type="dxa"/>
              <w:start w:w="120" w:type="dxa"/>
              <w:bottom w:w="80" w:type="dxa"/>
              <w:end w:w="120" w:type="dxa"/>
            </w:tcMar>
            <w:vAlign w:val="center"/>
            <w:shd w:fill="E8EEF5"/>
          </w:tcPr>
          <w:p>
            <w:pPr>
              <w:spacing w:after="0" w:line="264" w:lineRule="auto"/>
              <w:jc w:val="center"/>
            </w:pPr>
            <w:r>
              <w:rPr>
                <w:rFonts w:ascii="Calibri" w:hAnsi="Calibri"/>
                <w:b/>
                <w:i w:val="0"/>
                <w:color w:val="1F4D78"/>
                <w:sz w:val="17"/>
              </w:rPr>
              <w:t>Cómo aporta el dashboard</w:t>
            </w:r>
          </w:p>
        </w:tc>
      </w:tr>
      <w:tr>
        <w:tc>
          <w:tcPr>
            <w:tcW w:type="dxa" w:w="1500"/>
            <w:tcMar>
              <w:top w:w="80" w:type="dxa"/>
              <w:start w:w="120" w:type="dxa"/>
              <w:bottom w:w="80" w:type="dxa"/>
              <w:end w:w="120" w:type="dxa"/>
            </w:tcMar>
            <w:vAlign w:val="center"/>
          </w:tcPr>
          <w:p>
            <w:pPr>
              <w:spacing w:after="0" w:line="264" w:lineRule="auto"/>
              <w:jc w:val="center"/>
            </w:pPr>
            <w:r>
              <w:rPr>
                <w:rFonts w:ascii="Calibri" w:hAnsi="Calibri"/>
                <w:b w:val="0"/>
                <w:i w:val="0"/>
                <w:color w:val="172A3A"/>
                <w:sz w:val="17"/>
              </w:rPr>
              <w:t>Docente y jurado</w:t>
            </w:r>
          </w:p>
        </w:tc>
        <w:tc>
          <w:tcPr>
            <w:tcW w:type="dxa" w:w="280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Rigor metodológico y una historia clara.</w:t>
            </w:r>
          </w:p>
        </w:tc>
        <w:tc>
          <w:tcPr>
            <w:tcW w:type="dxa" w:w="506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Expone trazabilidad de limpieza, cobertura, FPCA, clusters y prototipos.</w:t>
            </w:r>
          </w:p>
        </w:tc>
      </w:tr>
      <w:tr>
        <w:tc>
          <w:tcPr>
            <w:tcW w:type="dxa" w:w="1500"/>
            <w:tcMar>
              <w:top w:w="80" w:type="dxa"/>
              <w:start w:w="120" w:type="dxa"/>
              <w:bottom w:w="80" w:type="dxa"/>
              <w:end w:w="120" w:type="dxa"/>
            </w:tcMar>
            <w:vAlign w:val="center"/>
          </w:tcPr>
          <w:p>
            <w:pPr>
              <w:spacing w:after="0" w:line="264" w:lineRule="auto"/>
              <w:jc w:val="center"/>
            </w:pPr>
            <w:r>
              <w:rPr>
                <w:rFonts w:ascii="Calibri" w:hAnsi="Calibri"/>
                <w:b w:val="0"/>
                <w:i w:val="0"/>
                <w:color w:val="172A3A"/>
                <w:sz w:val="17"/>
              </w:rPr>
              <w:t>SBASE / operación</w:t>
            </w:r>
          </w:p>
        </w:tc>
        <w:tc>
          <w:tcPr>
            <w:tcW w:type="dxa" w:w="280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Identificar concentración horaria y espacial de la demanda.</w:t>
            </w:r>
          </w:p>
        </w:tc>
        <w:tc>
          <w:tcPr>
            <w:tcW w:type="dxa" w:w="506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Permite detectar dónde y cuándo la demanda típica crece, y comparar perfiles de estación.</w:t>
            </w:r>
          </w:p>
        </w:tc>
      </w:tr>
      <w:tr>
        <w:tc>
          <w:tcPr>
            <w:tcW w:type="dxa" w:w="1500"/>
            <w:tcMar>
              <w:top w:w="80" w:type="dxa"/>
              <w:start w:w="120" w:type="dxa"/>
              <w:bottom w:w="80" w:type="dxa"/>
              <w:end w:w="120" w:type="dxa"/>
            </w:tcMar>
            <w:vAlign w:val="center"/>
          </w:tcPr>
          <w:p>
            <w:pPr>
              <w:spacing w:after="0" w:line="264" w:lineRule="auto"/>
              <w:jc w:val="center"/>
            </w:pPr>
            <w:r>
              <w:rPr>
                <w:rFonts w:ascii="Calibri" w:hAnsi="Calibri"/>
                <w:b w:val="0"/>
                <w:i w:val="0"/>
                <w:color w:val="172A3A"/>
                <w:sz w:val="17"/>
              </w:rPr>
              <w:t>Gobierno de la Ciudad / planificación</w:t>
            </w:r>
          </w:p>
        </w:tc>
        <w:tc>
          <w:tcPr>
            <w:tcW w:type="dxa" w:w="280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Entender cambios territoriales y de red.</w:t>
            </w:r>
          </w:p>
        </w:tc>
        <w:tc>
          <w:tcPr>
            <w:tcW w:type="dxa" w:w="506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Aporta una lectura histórica contextualizada para intervenciones, accesibilidad e inversión.</w:t>
            </w:r>
          </w:p>
        </w:tc>
      </w:tr>
      <w:tr>
        <w:tc>
          <w:tcPr>
            <w:tcW w:type="dxa" w:w="1500"/>
            <w:tcMar>
              <w:top w:w="80" w:type="dxa"/>
              <w:start w:w="120" w:type="dxa"/>
              <w:bottom w:w="80" w:type="dxa"/>
              <w:end w:w="120" w:type="dxa"/>
            </w:tcMar>
            <w:vAlign w:val="center"/>
          </w:tcPr>
          <w:p>
            <w:pPr>
              <w:spacing w:after="0" w:line="264" w:lineRule="auto"/>
              <w:jc w:val="center"/>
            </w:pPr>
            <w:r>
              <w:rPr>
                <w:rFonts w:ascii="Calibri" w:hAnsi="Calibri"/>
                <w:b w:val="0"/>
                <w:i w:val="0"/>
                <w:color w:val="172A3A"/>
                <w:sz w:val="17"/>
              </w:rPr>
              <w:t>Personas usuarias y público</w:t>
            </w:r>
          </w:p>
        </w:tc>
        <w:tc>
          <w:tcPr>
            <w:tcW w:type="dxa" w:w="280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Comprender el comportamiento de la red.</w:t>
            </w:r>
          </w:p>
        </w:tc>
        <w:tc>
          <w:tcPr>
            <w:tcW w:type="dxa" w:w="506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Ofrece una visualización intuitiva del movimiento de la demanda a lo largo del día.</w:t>
            </w:r>
          </w:p>
        </w:tc>
      </w:tr>
      <w:tr>
        <w:tc>
          <w:tcPr>
            <w:tcW w:type="dxa" w:w="1500"/>
            <w:tcMar>
              <w:top w:w="80" w:type="dxa"/>
              <w:start w:w="120" w:type="dxa"/>
              <w:bottom w:w="80" w:type="dxa"/>
              <w:end w:w="120" w:type="dxa"/>
            </w:tcMar>
            <w:vAlign w:val="center"/>
          </w:tcPr>
          <w:p>
            <w:pPr>
              <w:spacing w:after="0" w:line="264" w:lineRule="auto"/>
              <w:jc w:val="center"/>
            </w:pPr>
            <w:r>
              <w:rPr>
                <w:rFonts w:ascii="Calibri" w:hAnsi="Calibri"/>
                <w:b w:val="0"/>
                <w:i w:val="0"/>
                <w:color w:val="172A3A"/>
                <w:sz w:val="17"/>
              </w:rPr>
              <w:t>Equipo analítico</w:t>
            </w:r>
          </w:p>
        </w:tc>
        <w:tc>
          <w:tcPr>
            <w:tcW w:type="dxa" w:w="280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Reproducibilidad y preguntas futuras.</w:t>
            </w:r>
          </w:p>
        </w:tc>
        <w:tc>
          <w:tcPr>
            <w:tcW w:type="dxa" w:w="506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Deja datos agregados, indicadores de calidad y supuestos visibles para futuras extensiones.</w:t>
            </w:r>
          </w:p>
        </w:tc>
      </w:tr>
    </w:tbl>
    <w:p>
      <w:pPr>
        <w:spacing w:after="40"/>
      </w:pPr>
    </w:p>
    <w:p>
      <w:pPr>
        <w:spacing w:before="0" w:after="120" w:line="300" w:lineRule="auto"/>
      </w:pPr>
      <w:r>
        <w:rPr>
          <w:rFonts w:ascii="Calibri" w:hAnsi="Calibri"/>
          <w:b w:val="0"/>
          <w:i/>
          <w:color w:val="5C6770"/>
          <w:sz w:val="22"/>
        </w:rPr>
        <w:t>Alcance responsable: el tablero aporta evidencia descriptiva y exploratoria. No reemplaza datos de capacidad, tiempos de viaje ni estudios causales necesarios para decidir una intervención operativa.</w:t>
      </w:r>
    </w:p>
    <w:p>
      <w:pPr>
        <w:pStyle w:val="Heading1"/>
        <w:keepNext/>
      </w:pPr>
      <w:r>
        <w:t>4. Tres narrativas posibles para el dashboard</w:t>
      </w:r>
    </w:p>
    <w:tbl>
      <w:tblPr>
        <w:tblStyle w:val="TableGrid"/>
        <w:tblW w:type="dxa" w:w="9360"/>
        <w:tblLayout w:type="fixed"/>
        <w:tblLook w:firstColumn="1" w:firstRow="1" w:lastColumn="0" w:lastRow="0" w:noHBand="0" w:noVBand="1" w:val="04A0"/>
        <w:jc w:val="left"/>
        <w:tblInd w:w="120" w:type="dxa"/>
      </w:tblPr>
      <w:tblGrid>
        <w:gridCol w:w="1650"/>
        <w:gridCol w:w="3870"/>
        <w:gridCol w:w="3840"/>
      </w:tblGrid>
      <w:tr>
        <w:trPr>
          <w:tblHeader w:val="true"/>
        </w:trPr>
        <w:tc>
          <w:tcPr>
            <w:tcW w:type="dxa" w:w="1650"/>
            <w:tcMar>
              <w:top w:w="80" w:type="dxa"/>
              <w:start w:w="120" w:type="dxa"/>
              <w:bottom w:w="80" w:type="dxa"/>
              <w:end w:w="120" w:type="dxa"/>
            </w:tcMar>
            <w:vAlign w:val="center"/>
            <w:shd w:fill="E8EEF5"/>
          </w:tcPr>
          <w:p>
            <w:pPr>
              <w:spacing w:after="0" w:line="264" w:lineRule="auto"/>
              <w:jc w:val="center"/>
            </w:pPr>
            <w:r>
              <w:rPr>
                <w:rFonts w:ascii="Calibri" w:hAnsi="Calibri"/>
                <w:b/>
                <w:i w:val="0"/>
                <w:color w:val="1F4D78"/>
                <w:sz w:val="18"/>
              </w:rPr>
              <w:t>Enfoque</w:t>
            </w:r>
          </w:p>
        </w:tc>
        <w:tc>
          <w:tcPr>
            <w:tcW w:type="dxa" w:w="3870"/>
            <w:tcMar>
              <w:top w:w="80" w:type="dxa"/>
              <w:start w:w="120" w:type="dxa"/>
              <w:bottom w:w="80" w:type="dxa"/>
              <w:end w:w="120" w:type="dxa"/>
            </w:tcMar>
            <w:vAlign w:val="center"/>
            <w:shd w:fill="E8EEF5"/>
          </w:tcPr>
          <w:p>
            <w:pPr>
              <w:spacing w:after="0" w:line="264" w:lineRule="auto"/>
              <w:jc w:val="center"/>
            </w:pPr>
            <w:r>
              <w:rPr>
                <w:rFonts w:ascii="Calibri" w:hAnsi="Calibri"/>
                <w:b/>
                <w:i w:val="0"/>
                <w:color w:val="1F4D78"/>
                <w:sz w:val="18"/>
              </w:rPr>
              <w:t>Qué cuenta</w:t>
            </w:r>
          </w:p>
        </w:tc>
        <w:tc>
          <w:tcPr>
            <w:tcW w:type="dxa" w:w="3840"/>
            <w:tcMar>
              <w:top w:w="80" w:type="dxa"/>
              <w:start w:w="120" w:type="dxa"/>
              <w:bottom w:w="80" w:type="dxa"/>
              <w:end w:w="120" w:type="dxa"/>
            </w:tcMar>
            <w:vAlign w:val="center"/>
            <w:shd w:fill="E8EEF5"/>
          </w:tcPr>
          <w:p>
            <w:pPr>
              <w:spacing w:after="0" w:line="264" w:lineRule="auto"/>
              <w:jc w:val="center"/>
            </w:pPr>
            <w:r>
              <w:rPr>
                <w:rFonts w:ascii="Calibri" w:hAnsi="Calibri"/>
                <w:b/>
                <w:i w:val="0"/>
                <w:color w:val="1F4D78"/>
                <w:sz w:val="18"/>
              </w:rPr>
              <w:t>Evaluación</w:t>
            </w:r>
          </w:p>
        </w:tc>
      </w:tr>
      <w:tr>
        <w:tc>
          <w:tcPr>
            <w:tcW w:type="dxa" w:w="1650"/>
            <w:tcMar>
              <w:top w:w="80" w:type="dxa"/>
              <w:start w:w="120" w:type="dxa"/>
              <w:bottom w:w="80" w:type="dxa"/>
              <w:end w:w="120" w:type="dxa"/>
            </w:tcMar>
            <w:vAlign w:val="center"/>
          </w:tcPr>
          <w:p>
            <w:pPr>
              <w:spacing w:after="0" w:line="264" w:lineRule="auto"/>
              <w:jc w:val="center"/>
            </w:pPr>
            <w:r>
              <w:rPr>
                <w:rFonts w:ascii="Calibri" w:hAnsi="Calibri"/>
                <w:b w:val="0"/>
                <w:i w:val="0"/>
                <w:color w:val="172A3A"/>
                <w:sz w:val="18"/>
              </w:rPr>
              <w:t>Historia completa</w:t>
            </w:r>
          </w:p>
        </w:tc>
        <w:tc>
          <w:tcPr>
            <w:tcW w:type="dxa" w:w="3870"/>
            <w:tcMar>
              <w:top w:w="80" w:type="dxa"/>
              <w:start w:w="120" w:type="dxa"/>
              <w:bottom w:w="80" w:type="dxa"/>
              <w:end w:w="120" w:type="dxa"/>
            </w:tcMar>
            <w:vAlign w:val="center"/>
          </w:tcPr>
          <w:p>
            <w:pPr>
              <w:spacing w:after="0" w:line="264" w:lineRule="auto"/>
              <w:jc w:val="left"/>
            </w:pPr>
            <w:r>
              <w:rPr>
                <w:rFonts w:ascii="Calibri" w:hAnsi="Calibri"/>
                <w:b w:val="0"/>
                <w:i w:val="0"/>
                <w:color w:val="172A3A"/>
                <w:sz w:val="18"/>
              </w:rPr>
              <w:t>Evolución 2014–2026, aperturas, pandemia y recuperación.</w:t>
            </w:r>
          </w:p>
        </w:tc>
        <w:tc>
          <w:tcPr>
            <w:tcW w:type="dxa" w:w="3840"/>
            <w:tcMar>
              <w:top w:w="80" w:type="dxa"/>
              <w:start w:w="120" w:type="dxa"/>
              <w:bottom w:w="80" w:type="dxa"/>
              <w:end w:w="120" w:type="dxa"/>
            </w:tcMar>
            <w:vAlign w:val="center"/>
          </w:tcPr>
          <w:p>
            <w:pPr>
              <w:spacing w:after="0" w:line="264" w:lineRule="auto"/>
              <w:jc w:val="left"/>
            </w:pPr>
            <w:r>
              <w:rPr>
                <w:rFonts w:ascii="Calibri" w:hAnsi="Calibri"/>
                <w:b w:val="0"/>
                <w:i w:val="0"/>
                <w:color w:val="172A3A"/>
                <w:sz w:val="18"/>
              </w:rPr>
              <w:t>Valioso para contexto, pero puede diluir la lectura operativa del día a día.</w:t>
            </w:r>
          </w:p>
        </w:tc>
      </w:tr>
      <w:tr>
        <w:tc>
          <w:tcPr>
            <w:tcW w:type="dxa" w:w="1650"/>
            <w:tcMar>
              <w:top w:w="80" w:type="dxa"/>
              <w:start w:w="120" w:type="dxa"/>
              <w:bottom w:w="80" w:type="dxa"/>
              <w:end w:w="120" w:type="dxa"/>
            </w:tcMar>
            <w:vAlign w:val="center"/>
          </w:tcPr>
          <w:p>
            <w:pPr>
              <w:spacing w:after="0" w:line="264" w:lineRule="auto"/>
              <w:jc w:val="center"/>
            </w:pPr>
            <w:r>
              <w:rPr>
                <w:rFonts w:ascii="Calibri" w:hAnsi="Calibri"/>
                <w:b w:val="0"/>
                <w:i w:val="0"/>
                <w:color w:val="172A3A"/>
                <w:sz w:val="18"/>
              </w:rPr>
              <w:t>Pulso actual</w:t>
            </w:r>
          </w:p>
        </w:tc>
        <w:tc>
          <w:tcPr>
            <w:tcW w:type="dxa" w:w="3870"/>
            <w:tcMar>
              <w:top w:w="80" w:type="dxa"/>
              <w:start w:w="120" w:type="dxa"/>
              <w:bottom w:w="80" w:type="dxa"/>
              <w:end w:w="120" w:type="dxa"/>
            </w:tcMar>
            <w:vAlign w:val="center"/>
          </w:tcPr>
          <w:p>
            <w:pPr>
              <w:spacing w:after="0" w:line="264" w:lineRule="auto"/>
              <w:jc w:val="left"/>
            </w:pPr>
            <w:r>
              <w:rPr>
                <w:rFonts w:ascii="Calibri" w:hAnsi="Calibri"/>
                <w:b w:val="0"/>
                <w:i w:val="0"/>
                <w:color w:val="172A3A"/>
                <w:sz w:val="18"/>
              </w:rPr>
              <w:t>Mapa animado del año más reciente y perfiles recientes.</w:t>
            </w:r>
          </w:p>
        </w:tc>
        <w:tc>
          <w:tcPr>
            <w:tcW w:type="dxa" w:w="3840"/>
            <w:tcMar>
              <w:top w:w="80" w:type="dxa"/>
              <w:start w:w="120" w:type="dxa"/>
              <w:bottom w:w="80" w:type="dxa"/>
              <w:end w:w="120" w:type="dxa"/>
            </w:tcMar>
            <w:vAlign w:val="center"/>
          </w:tcPr>
          <w:p>
            <w:pPr>
              <w:spacing w:after="0" w:line="264" w:lineRule="auto"/>
              <w:jc w:val="left"/>
            </w:pPr>
            <w:r>
              <w:rPr>
                <w:rFonts w:ascii="Calibri" w:hAnsi="Calibri"/>
                <w:b w:val="0"/>
                <w:i w:val="0"/>
                <w:color w:val="172A3A"/>
                <w:sz w:val="18"/>
              </w:rPr>
              <w:t>Muy intuitivo, pero sin contexto puede confundir cambios de red o un año parcial con una tendencia.</w:t>
            </w:r>
          </w:p>
        </w:tc>
      </w:tr>
      <w:tr>
        <w:tc>
          <w:tcPr>
            <w:tcW w:type="dxa" w:w="1650"/>
            <w:tcMar>
              <w:top w:w="80" w:type="dxa"/>
              <w:start w:w="120" w:type="dxa"/>
              <w:bottom w:w="80" w:type="dxa"/>
              <w:end w:w="120" w:type="dxa"/>
            </w:tcMar>
            <w:vAlign w:val="center"/>
          </w:tcPr>
          <w:p>
            <w:pPr>
              <w:spacing w:after="0" w:line="264" w:lineRule="auto"/>
              <w:jc w:val="center"/>
            </w:pPr>
            <w:r>
              <w:rPr>
                <w:rFonts w:ascii="Calibri" w:hAnsi="Calibri"/>
                <w:b w:val="0"/>
                <w:i w:val="0"/>
                <w:color w:val="172A3A"/>
                <w:sz w:val="18"/>
              </w:rPr>
              <w:t>Híbrido: red + pulso</w:t>
            </w:r>
          </w:p>
        </w:tc>
        <w:tc>
          <w:tcPr>
            <w:tcW w:type="dxa" w:w="3870"/>
            <w:tcMar>
              <w:top w:w="80" w:type="dxa"/>
              <w:start w:w="120" w:type="dxa"/>
              <w:bottom w:w="80" w:type="dxa"/>
              <w:end w:w="120" w:type="dxa"/>
            </w:tcMar>
            <w:vAlign w:val="center"/>
          </w:tcPr>
          <w:p>
            <w:pPr>
              <w:spacing w:after="0" w:line="264" w:lineRule="auto"/>
              <w:jc w:val="left"/>
            </w:pPr>
            <w:r>
              <w:rPr>
                <w:rFonts w:ascii="Calibri" w:hAnsi="Calibri"/>
                <w:b w:val="0"/>
                <w:i w:val="0"/>
                <w:color w:val="172A3A"/>
                <w:sz w:val="18"/>
              </w:rPr>
              <w:t>Primero contexto histórico; luego comportamiento actual y perfiles FPCA.</w:t>
            </w:r>
          </w:p>
        </w:tc>
        <w:tc>
          <w:tcPr>
            <w:tcW w:type="dxa" w:w="3840"/>
            <w:tcMar>
              <w:top w:w="80" w:type="dxa"/>
              <w:start w:w="120" w:type="dxa"/>
              <w:bottom w:w="80" w:type="dxa"/>
              <w:end w:w="120" w:type="dxa"/>
            </w:tcMar>
            <w:vAlign w:val="center"/>
          </w:tcPr>
          <w:p>
            <w:pPr>
              <w:spacing w:after="0" w:line="264" w:lineRule="auto"/>
              <w:jc w:val="left"/>
            </w:pPr>
            <w:r>
              <w:rPr>
                <w:rFonts w:ascii="Calibri" w:hAnsi="Calibri"/>
                <w:b w:val="0"/>
                <w:i w:val="0"/>
                <w:color w:val="172A3A"/>
                <w:sz w:val="18"/>
              </w:rPr>
              <w:t>Recomendado: integra la historia sin perder una experiencia interactiva focalizada.</w:t>
            </w:r>
          </w:p>
        </w:tc>
      </w:tr>
    </w:tbl>
    <w:p>
      <w:pPr>
        <w:spacing w:after="40"/>
      </w:pPr>
    </w:p>
    <w:p>
      <w:pPr>
        <w:spacing w:before="0" w:after="160" w:line="300" w:lineRule="auto"/>
      </w:pPr>
      <w:r>
        <w:rPr>
          <w:rFonts w:ascii="Calibri" w:hAnsi="Calibri"/>
          <w:b w:val="0"/>
          <w:i w:val="0"/>
          <w:color w:val="172A3A"/>
          <w:sz w:val="22"/>
        </w:rPr>
      </w:r>
      <w:r>
        <w:rPr>
          <w:rFonts w:ascii="Calibri" w:hAnsi="Calibri"/>
          <w:b/>
          <w:i w:val="0"/>
          <w:color w:val="1F4D78"/>
          <w:sz w:val="22"/>
        </w:rPr>
        <w:t xml:space="preserve">Decisión recomendada. </w:t>
      </w:r>
      <w:r>
        <w:rPr>
          <w:rFonts w:ascii="Calibri" w:hAnsi="Calibri"/>
          <w:b w:val="0"/>
          <w:i w:val="0"/>
          <w:color w:val="172A3A"/>
          <w:sz w:val="22"/>
        </w:rPr>
        <w:t>Usar una narrativa híbrida: “de la evolución de la red al pulso actual”. El mapa animado es la puerta de entrada; la historia 2014–2026 explica por qué ese patrón no debe leerse fuera de contexto; FPCA, clusters y MaxVol dan profundidad interpretativa.</w:t>
      </w:r>
    </w:p>
    <w:p>
      <w:pPr>
        <w:pStyle w:val="Heading1"/>
        <w:keepNext/>
      </w:pPr>
      <w:r>
        <w:t>5. Arquitectura propuesta del dashboard</w:t>
      </w:r>
    </w:p>
    <w:tbl>
      <w:tblPr>
        <w:tblStyle w:val="TableGrid"/>
        <w:tblW w:type="dxa" w:w="9360"/>
        <w:tblLayout w:type="fixed"/>
        <w:tblLook w:firstColumn="1" w:firstRow="1" w:lastColumn="0" w:lastRow="0" w:noHBand="0" w:noVBand="1" w:val="04A0"/>
        <w:jc w:val="left"/>
        <w:tblInd w:w="120" w:type="dxa"/>
      </w:tblPr>
      <w:tblGrid>
        <w:gridCol w:w="1700"/>
        <w:gridCol w:w="3200"/>
        <w:gridCol w:w="4460"/>
      </w:tblGrid>
      <w:tr>
        <w:trPr>
          <w:tblHeader w:val="true"/>
        </w:trPr>
        <w:tc>
          <w:tcPr>
            <w:tcW w:type="dxa" w:w="1700"/>
            <w:tcMar>
              <w:top w:w="80" w:type="dxa"/>
              <w:start w:w="120" w:type="dxa"/>
              <w:bottom w:w="80" w:type="dxa"/>
              <w:end w:w="120" w:type="dxa"/>
            </w:tcMar>
            <w:vAlign w:val="center"/>
            <w:shd w:fill="E8EEF5"/>
          </w:tcPr>
          <w:p>
            <w:pPr>
              <w:spacing w:after="0" w:line="264" w:lineRule="auto"/>
              <w:jc w:val="center"/>
            </w:pPr>
            <w:r>
              <w:rPr>
                <w:rFonts w:ascii="Calibri" w:hAnsi="Calibri"/>
                <w:b/>
                <w:i w:val="0"/>
                <w:color w:val="1F4D78"/>
                <w:sz w:val="17"/>
              </w:rPr>
              <w:t>Módulo</w:t>
            </w:r>
          </w:p>
        </w:tc>
        <w:tc>
          <w:tcPr>
            <w:tcW w:type="dxa" w:w="3200"/>
            <w:tcMar>
              <w:top w:w="80" w:type="dxa"/>
              <w:start w:w="120" w:type="dxa"/>
              <w:bottom w:w="80" w:type="dxa"/>
              <w:end w:w="120" w:type="dxa"/>
            </w:tcMar>
            <w:vAlign w:val="center"/>
            <w:shd w:fill="E8EEF5"/>
          </w:tcPr>
          <w:p>
            <w:pPr>
              <w:spacing w:after="0" w:line="264" w:lineRule="auto"/>
              <w:jc w:val="center"/>
            </w:pPr>
            <w:r>
              <w:rPr>
                <w:rFonts w:ascii="Calibri" w:hAnsi="Calibri"/>
                <w:b/>
                <w:i w:val="0"/>
                <w:color w:val="1F4D78"/>
                <w:sz w:val="17"/>
              </w:rPr>
              <w:t>Pregunta que responde</w:t>
            </w:r>
          </w:p>
        </w:tc>
        <w:tc>
          <w:tcPr>
            <w:tcW w:type="dxa" w:w="4460"/>
            <w:tcMar>
              <w:top w:w="80" w:type="dxa"/>
              <w:start w:w="120" w:type="dxa"/>
              <w:bottom w:w="80" w:type="dxa"/>
              <w:end w:w="120" w:type="dxa"/>
            </w:tcMar>
            <w:vAlign w:val="center"/>
            <w:shd w:fill="E8EEF5"/>
          </w:tcPr>
          <w:p>
            <w:pPr>
              <w:spacing w:after="0" w:line="264" w:lineRule="auto"/>
              <w:jc w:val="center"/>
            </w:pPr>
            <w:r>
              <w:rPr>
                <w:rFonts w:ascii="Calibri" w:hAnsi="Calibri"/>
                <w:b/>
                <w:i w:val="0"/>
                <w:color w:val="1F4D78"/>
                <w:sz w:val="17"/>
              </w:rPr>
              <w:t>Elementos principales</w:t>
            </w:r>
          </w:p>
        </w:tc>
      </w:tr>
      <w:tr>
        <w:tc>
          <w:tcPr>
            <w:tcW w:type="dxa" w:w="1700"/>
            <w:tcMar>
              <w:top w:w="80" w:type="dxa"/>
              <w:start w:w="120" w:type="dxa"/>
              <w:bottom w:w="80" w:type="dxa"/>
              <w:end w:w="120" w:type="dxa"/>
            </w:tcMar>
            <w:vAlign w:val="center"/>
          </w:tcPr>
          <w:p>
            <w:pPr>
              <w:spacing w:after="0" w:line="264" w:lineRule="auto"/>
              <w:jc w:val="center"/>
            </w:pPr>
            <w:r>
              <w:rPr>
                <w:rFonts w:ascii="Calibri" w:hAnsi="Calibri"/>
                <w:b w:val="0"/>
                <w:i w:val="0"/>
                <w:color w:val="172A3A"/>
                <w:sz w:val="17"/>
              </w:rPr>
              <w:t>1. Pulso de la red</w:t>
            </w:r>
          </w:p>
        </w:tc>
        <w:tc>
          <w:tcPr>
            <w:tcW w:type="dxa" w:w="320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¿Dónde se concentra la demanda a cada hora?</w:t>
            </w:r>
          </w:p>
        </w:tc>
        <w:tc>
          <w:tcPr>
            <w:tcW w:type="dxa" w:w="446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Mapa animado, selector de año, segmento de día y deslizador de 15 minutos.</w:t>
            </w:r>
          </w:p>
        </w:tc>
      </w:tr>
      <w:tr>
        <w:tc>
          <w:tcPr>
            <w:tcW w:type="dxa" w:w="1700"/>
            <w:tcMar>
              <w:top w:w="80" w:type="dxa"/>
              <w:start w:w="120" w:type="dxa"/>
              <w:bottom w:w="80" w:type="dxa"/>
              <w:end w:w="120" w:type="dxa"/>
            </w:tcMar>
            <w:vAlign w:val="center"/>
          </w:tcPr>
          <w:p>
            <w:pPr>
              <w:spacing w:after="0" w:line="264" w:lineRule="auto"/>
              <w:jc w:val="center"/>
            </w:pPr>
            <w:r>
              <w:rPr>
                <w:rFonts w:ascii="Calibri" w:hAnsi="Calibri"/>
                <w:b w:val="0"/>
                <w:i w:val="0"/>
                <w:color w:val="172A3A"/>
                <w:sz w:val="17"/>
              </w:rPr>
              <w:t>2. Evolución</w:t>
            </w:r>
          </w:p>
        </w:tc>
        <w:tc>
          <w:tcPr>
            <w:tcW w:type="dxa" w:w="320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¿Qué cambió entre años y qué parte es comparable?</w:t>
            </w:r>
          </w:p>
        </w:tc>
        <w:tc>
          <w:tcPr>
            <w:tcW w:type="dxa" w:w="446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Serie anual, cobertura, estaciones activas, hitos de red y comparador de años.</w:t>
            </w:r>
          </w:p>
        </w:tc>
      </w:tr>
      <w:tr>
        <w:tc>
          <w:tcPr>
            <w:tcW w:type="dxa" w:w="1700"/>
            <w:tcMar>
              <w:top w:w="80" w:type="dxa"/>
              <w:start w:w="120" w:type="dxa"/>
              <w:bottom w:w="80" w:type="dxa"/>
              <w:end w:w="120" w:type="dxa"/>
            </w:tcMar>
            <w:vAlign w:val="center"/>
          </w:tcPr>
          <w:p>
            <w:pPr>
              <w:spacing w:after="0" w:line="264" w:lineRule="auto"/>
              <w:jc w:val="center"/>
            </w:pPr>
            <w:r>
              <w:rPr>
                <w:rFonts w:ascii="Calibri" w:hAnsi="Calibri"/>
                <w:b w:val="0"/>
                <w:i w:val="0"/>
                <w:color w:val="172A3A"/>
                <w:sz w:val="17"/>
              </w:rPr>
              <w:t>3. Perfiles</w:t>
            </w:r>
          </w:p>
        </w:tc>
        <w:tc>
          <w:tcPr>
            <w:tcW w:type="dxa" w:w="320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¿Qué tipos de comportamiento horario existen?</w:t>
            </w:r>
          </w:p>
        </w:tc>
        <w:tc>
          <w:tcPr>
            <w:tcW w:type="dxa" w:w="446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Curvas FPCA, clusters por segmento y mapa/ranking de estaciones por perfil.</w:t>
            </w:r>
          </w:p>
        </w:tc>
      </w:tr>
      <w:tr>
        <w:tc>
          <w:tcPr>
            <w:tcW w:type="dxa" w:w="1700"/>
            <w:tcMar>
              <w:top w:w="80" w:type="dxa"/>
              <w:start w:w="120" w:type="dxa"/>
              <w:bottom w:w="80" w:type="dxa"/>
              <w:end w:w="120" w:type="dxa"/>
            </w:tcMar>
            <w:vAlign w:val="center"/>
          </w:tcPr>
          <w:p>
            <w:pPr>
              <w:spacing w:after="0" w:line="264" w:lineRule="auto"/>
              <w:jc w:val="center"/>
            </w:pPr>
            <w:r>
              <w:rPr>
                <w:rFonts w:ascii="Calibri" w:hAnsi="Calibri"/>
                <w:b w:val="0"/>
                <w:i w:val="0"/>
                <w:color w:val="172A3A"/>
                <w:sz w:val="17"/>
              </w:rPr>
              <w:t>4. Prototipos</w:t>
            </w:r>
          </w:p>
        </w:tc>
        <w:tc>
          <w:tcPr>
            <w:tcW w:type="dxa" w:w="320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¿Qué casos reales representan mejor la diversidad?</w:t>
            </w:r>
          </w:p>
        </w:tc>
        <w:tc>
          <w:tcPr>
            <w:tcW w:type="dxa" w:w="446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Tarjetas MaxVol, curva del prototipo, cobertura y condición temporal.</w:t>
            </w:r>
          </w:p>
        </w:tc>
      </w:tr>
    </w:tbl>
    <w:p>
      <w:pPr>
        <w:spacing w:after="40"/>
      </w:pPr>
    </w:p>
    <w:p>
      <w:pPr>
        <w:pStyle w:val="Heading1"/>
        <w:keepNext/>
      </w:pPr>
      <w:r>
        <w:t>6. Diseño del mapa interactivo</w:t>
      </w:r>
    </w:p>
    <w:p>
      <w:pPr>
        <w:spacing w:before="0" w:after="120" w:line="300" w:lineRule="auto"/>
      </w:pPr>
      <w:r>
        <w:rPr>
          <w:rFonts w:ascii="Calibri" w:hAnsi="Calibri"/>
          <w:b w:val="0"/>
          <w:i w:val="0"/>
          <w:color w:val="172A3A"/>
          <w:sz w:val="22"/>
        </w:rPr>
        <w:t>La unidad de visualización es un perfil de “día típico”: la mediana de pasajeros en cada intervalo de 15 minutos, usando solamente días con cobertura suficiente. La mediana hace más robusta la animación ante eventos o lecturas anómalas de una fecha puntual.</w:t>
      </w:r>
    </w:p>
    <w:p>
      <w:pPr>
        <w:pStyle w:val="ListBullet"/>
        <w:spacing w:after="80" w:line="300" w:lineRule="auto"/>
        <w:ind w:left="540" w:hanging="271"/>
      </w:pPr>
      <w:r>
        <w:rPr>
          <w:rFonts w:ascii="Calibri" w:hAnsi="Calibri"/>
          <w:b w:val="0"/>
          <w:i w:val="0"/>
          <w:color w:val="172A3A"/>
          <w:sz w:val="22"/>
        </w:rPr>
        <w:t>Punto por estación georreferenciada. Tamaño = pasajeros típicos del intervalo: magnitud absoluta.</w:t>
      </w:r>
    </w:p>
    <w:p>
      <w:pPr>
        <w:pStyle w:val="ListBullet"/>
        <w:spacing w:after="80" w:line="300" w:lineRule="auto"/>
        <w:ind w:left="540" w:hanging="271"/>
      </w:pPr>
      <w:r>
        <w:rPr>
          <w:rFonts w:ascii="Calibri" w:hAnsi="Calibri"/>
          <w:b w:val="0"/>
          <w:i w:val="0"/>
          <w:color w:val="172A3A"/>
          <w:sz w:val="22"/>
        </w:rPr>
        <w:t>Color/saturación = porcentaje del total diario típico de esa estación: intensidad relativa y momento de pico.</w:t>
      </w:r>
    </w:p>
    <w:p>
      <w:pPr>
        <w:pStyle w:val="ListBullet"/>
        <w:spacing w:after="80" w:line="300" w:lineRule="auto"/>
        <w:ind w:left="540" w:hanging="271"/>
      </w:pPr>
      <w:r>
        <w:rPr>
          <w:rFonts w:ascii="Calibri" w:hAnsi="Calibri"/>
          <w:b w:val="0"/>
          <w:i w:val="0"/>
          <w:color w:val="172A3A"/>
          <w:sz w:val="22"/>
        </w:rPr>
        <w:t>Reproducción automática y deslizador horario; hover con línea, nombre, volumen típico, porcentaje y cantidad de días incluidos.</w:t>
      </w:r>
    </w:p>
    <w:p>
      <w:pPr>
        <w:pStyle w:val="ListBullet"/>
        <w:spacing w:after="80" w:line="300" w:lineRule="auto"/>
        <w:ind w:left="540" w:hanging="271"/>
      </w:pPr>
      <w:r>
        <w:rPr>
          <w:rFonts w:ascii="Calibri" w:hAnsi="Calibri"/>
          <w:b w:val="0"/>
          <w:i w:val="0"/>
          <w:color w:val="172A3A"/>
          <w:sz w:val="22"/>
        </w:rPr>
        <w:t>Filtros mínimos: año, laborable/sábado/domingo-feriado, línea y opción de métrica absoluta o relativa.</w:t>
      </w:r>
    </w:p>
    <w:p>
      <w:pPr>
        <w:pStyle w:val="ListBullet"/>
        <w:spacing w:after="80" w:line="300" w:lineRule="auto"/>
        <w:ind w:left="540" w:hanging="271"/>
      </w:pPr>
      <w:r>
        <w:rPr>
          <w:rFonts w:ascii="Calibri" w:hAnsi="Calibri"/>
          <w:b w:val="0"/>
          <w:i w:val="0"/>
          <w:color w:val="172A3A"/>
          <w:sz w:val="22"/>
        </w:rPr>
        <w:t>Advertencia visible cuando el año sea parcial o tenga cobertura insuficiente.</w:t>
      </w:r>
    </w:p>
    <w:p>
      <w:pPr>
        <w:spacing w:before="0" w:after="160" w:line="300" w:lineRule="auto"/>
      </w:pPr>
      <w:r>
        <w:rPr>
          <w:rFonts w:ascii="Calibri" w:hAnsi="Calibri"/>
          <w:b w:val="0"/>
          <w:i w:val="0"/>
          <w:color w:val="172A3A"/>
          <w:sz w:val="22"/>
        </w:rPr>
      </w:r>
      <w:r>
        <w:rPr>
          <w:rFonts w:ascii="Calibri" w:hAnsi="Calibri"/>
          <w:b/>
          <w:i w:val="0"/>
          <w:color w:val="1F4D78"/>
          <w:sz w:val="22"/>
        </w:rPr>
        <w:t xml:space="preserve">Lectura sugerida para explicar el mapa. </w:t>
      </w:r>
      <w:r>
        <w:rPr>
          <w:rFonts w:ascii="Calibri" w:hAnsi="Calibri"/>
          <w:b w:val="0"/>
          <w:i w:val="0"/>
          <w:color w:val="172A3A"/>
          <w:sz w:val="22"/>
        </w:rPr>
        <w:t>“Los círculos grandes muestran dónde hay más validaciones en ese intervalo. El color muestra si ese momento representa una parte alta del día propio de la estación. Así distinguimos una estación grande de una estación que está justo en su momento de mayor actividad.”</w:t>
      </w:r>
    </w:p>
    <w:p>
      <w:pPr>
        <w:pStyle w:val="Heading2"/>
        <w:keepNext/>
      </w:pPr>
      <w:r>
        <w:t>¿Usar solo 2026?</w:t>
      </w:r>
    </w:p>
    <w:p>
      <w:pPr>
        <w:spacing w:before="0" w:after="120" w:line="300" w:lineRule="auto"/>
      </w:pPr>
      <w:r>
        <w:rPr>
          <w:rFonts w:ascii="Calibri" w:hAnsi="Calibri"/>
          <w:b w:val="0"/>
          <w:i w:val="0"/>
          <w:color w:val="172A3A"/>
          <w:sz w:val="22"/>
        </w:rPr>
        <w:t>No como única vista. 2026 es útil para responder “cómo se comporta hoy la red”, pero es parcial y no representa un año cerrado. Conviene ofrecerlo como modo actual, acompañado por una etiqueta de cobertura. Para una referencia estable, el tablero puede sugerir 2025 —último año completo— con el mismo tipo de día y horario.</w:t>
      </w:r>
    </w:p>
    <w:p>
      <w:pPr>
        <w:pStyle w:val="Heading2"/>
        <w:keepNext/>
      </w:pPr>
      <w:r>
        <w:t>¿Para qué sirve 2014–2026?</w:t>
      </w:r>
    </w:p>
    <w:p>
      <w:pPr>
        <w:spacing w:before="0" w:after="120" w:line="300" w:lineRule="auto"/>
      </w:pPr>
      <w:r>
        <w:rPr>
          <w:rFonts w:ascii="Calibri" w:hAnsi="Calibri"/>
          <w:b w:val="0"/>
          <w:i w:val="0"/>
          <w:color w:val="172A3A"/>
          <w:sz w:val="22"/>
        </w:rPr>
        <w:t>La serie histórica no debe reproducirse como una única película continua: cambió la red, se abrieron estaciones y la pandemia alteró radicalmente el uso. Su valor es explicar la transformación estructural, comparar años completos bajo filtros homogéneos y mostrar si un perfil actual es nuevo o persistente. Las comparaciones históricas deben usar valores relativos o estaciones comunes y exhibir cobertura e hitos de red.</w:t>
      </w:r>
    </w:p>
    <w:p>
      <w:pPr>
        <w:pStyle w:val="Heading1"/>
        <w:keepNext/>
      </w:pPr>
      <w:r>
        <w:t>7. Cómo entra FPCA, clustering y MaxVol en la historia</w:t>
      </w:r>
    </w:p>
    <w:p>
      <w:pPr>
        <w:spacing w:before="0" w:after="120" w:line="300" w:lineRule="auto"/>
      </w:pPr>
      <w:r>
        <w:rPr>
          <w:rFonts w:ascii="Calibri" w:hAnsi="Calibri"/>
          <w:b w:val="0"/>
          <w:i w:val="0"/>
          <w:color w:val="172A3A"/>
          <w:sz w:val="22"/>
        </w:rPr>
        <w:t>El mapa responde “dónde y cuándo”. FPCA y clustering responden “qué formas de uso se repiten”. Las curvas de estación–año–segmento se normalizan en forma para comparar la distribución horaria, no solo el volumen. Luego, MaxVol elige perfiles reales, diversos y extremos dentro del espacio de scores: son ejemplos interpretables, no promedios artificiales ni clusters adicionales.</w:t>
      </w:r>
    </w:p>
    <w:p>
      <w:pPr>
        <w:pStyle w:val="ListBullet"/>
        <w:spacing w:after="80" w:line="300" w:lineRule="auto"/>
        <w:ind w:left="540" w:hanging="271"/>
      </w:pPr>
      <w:r>
        <w:rPr>
          <w:rFonts w:ascii="Calibri" w:hAnsi="Calibri"/>
          <w:b w:val="0"/>
          <w:i w:val="0"/>
          <w:color w:val="172A3A"/>
          <w:sz w:val="22"/>
        </w:rPr>
        <w:t>Comparar clusters únicamente dentro del mismo segmento de día.</w:t>
      </w:r>
    </w:p>
    <w:p>
      <w:pPr>
        <w:pStyle w:val="ListBullet"/>
        <w:spacing w:after="80" w:line="300" w:lineRule="auto"/>
        <w:ind w:left="540" w:hanging="271"/>
      </w:pPr>
      <w:r>
        <w:rPr>
          <w:rFonts w:ascii="Calibri" w:hAnsi="Calibri"/>
          <w:b w:val="0"/>
          <w:i w:val="0"/>
          <w:color w:val="172A3A"/>
          <w:sz w:val="22"/>
        </w:rPr>
        <w:t>Usar MaxVol para contar con casos concretos que ilustren la diversidad de perfiles observada.</w:t>
      </w:r>
    </w:p>
    <w:p>
      <w:pPr>
        <w:pStyle w:val="ListBullet"/>
        <w:spacing w:after="80" w:line="300" w:lineRule="auto"/>
        <w:ind w:left="540" w:hanging="271"/>
      </w:pPr>
      <w:r>
        <w:rPr>
          <w:rFonts w:ascii="Calibri" w:hAnsi="Calibri"/>
          <w:b w:val="0"/>
          <w:i w:val="0"/>
          <w:color w:val="172A3A"/>
          <w:sz w:val="22"/>
        </w:rPr>
        <w:t>Señalar los prototipos de 2020–2021 y de 2026 como casos que pueden reflejar una ruptura temporal o cobertura parcial.</w:t>
      </w:r>
    </w:p>
    <w:p>
      <w:pPr>
        <w:pStyle w:val="Heading1"/>
        <w:keepNext/>
      </w:pPr>
      <w:r>
        <w:t>8. Guion oral sugerido (8–10 minutos)</w:t>
      </w:r>
    </w:p>
    <w:tbl>
      <w:tblPr>
        <w:tblStyle w:val="TableGrid"/>
        <w:tblW w:type="dxa" w:w="9360"/>
        <w:tblLayout w:type="fixed"/>
        <w:tblLook w:firstColumn="1" w:firstRow="1" w:lastColumn="0" w:lastRow="0" w:noHBand="0" w:noVBand="1" w:val="04A0"/>
        <w:jc w:val="left"/>
        <w:tblInd w:w="120" w:type="dxa"/>
      </w:tblPr>
      <w:tblGrid>
        <w:gridCol w:w="900"/>
        <w:gridCol w:w="1850"/>
        <w:gridCol w:w="6610"/>
      </w:tblGrid>
      <w:tr>
        <w:trPr>
          <w:tblHeader w:val="true"/>
        </w:trPr>
        <w:tc>
          <w:tcPr>
            <w:tcW w:type="dxa" w:w="900"/>
            <w:tcMar>
              <w:top w:w="80" w:type="dxa"/>
              <w:start w:w="120" w:type="dxa"/>
              <w:bottom w:w="80" w:type="dxa"/>
              <w:end w:w="120" w:type="dxa"/>
            </w:tcMar>
            <w:vAlign w:val="center"/>
            <w:shd w:fill="E8EEF5"/>
          </w:tcPr>
          <w:p>
            <w:pPr>
              <w:spacing w:after="0" w:line="264" w:lineRule="auto"/>
              <w:jc w:val="center"/>
            </w:pPr>
            <w:r>
              <w:rPr>
                <w:rFonts w:ascii="Calibri" w:hAnsi="Calibri"/>
                <w:b/>
                <w:i w:val="0"/>
                <w:color w:val="1F4D78"/>
                <w:sz w:val="17"/>
              </w:rPr>
              <w:t>Tiempo</w:t>
            </w:r>
          </w:p>
        </w:tc>
        <w:tc>
          <w:tcPr>
            <w:tcW w:type="dxa" w:w="1850"/>
            <w:tcMar>
              <w:top w:w="80" w:type="dxa"/>
              <w:start w:w="120" w:type="dxa"/>
              <w:bottom w:w="80" w:type="dxa"/>
              <w:end w:w="120" w:type="dxa"/>
            </w:tcMar>
            <w:vAlign w:val="center"/>
            <w:shd w:fill="E8EEF5"/>
          </w:tcPr>
          <w:p>
            <w:pPr>
              <w:spacing w:after="0" w:line="264" w:lineRule="auto"/>
              <w:jc w:val="center"/>
            </w:pPr>
            <w:r>
              <w:rPr>
                <w:rFonts w:ascii="Calibri" w:hAnsi="Calibri"/>
                <w:b/>
                <w:i w:val="0"/>
                <w:color w:val="1F4D78"/>
                <w:sz w:val="17"/>
              </w:rPr>
              <w:t>Momento</w:t>
            </w:r>
          </w:p>
        </w:tc>
        <w:tc>
          <w:tcPr>
            <w:tcW w:type="dxa" w:w="6610"/>
            <w:tcMar>
              <w:top w:w="80" w:type="dxa"/>
              <w:start w:w="120" w:type="dxa"/>
              <w:bottom w:w="80" w:type="dxa"/>
              <w:end w:w="120" w:type="dxa"/>
            </w:tcMar>
            <w:vAlign w:val="center"/>
            <w:shd w:fill="E8EEF5"/>
          </w:tcPr>
          <w:p>
            <w:pPr>
              <w:spacing w:after="0" w:line="264" w:lineRule="auto"/>
              <w:jc w:val="center"/>
            </w:pPr>
            <w:r>
              <w:rPr>
                <w:rFonts w:ascii="Calibri" w:hAnsi="Calibri"/>
                <w:b/>
                <w:i w:val="0"/>
                <w:color w:val="1F4D78"/>
                <w:sz w:val="17"/>
              </w:rPr>
              <w:t>Texto/acción sugerida</w:t>
            </w:r>
          </w:p>
        </w:tc>
      </w:tr>
      <w:tr>
        <w:tc>
          <w:tcPr>
            <w:tcW w:type="dxa" w:w="900"/>
            <w:tcMar>
              <w:top w:w="80" w:type="dxa"/>
              <w:start w:w="120" w:type="dxa"/>
              <w:bottom w:w="80" w:type="dxa"/>
              <w:end w:w="120" w:type="dxa"/>
            </w:tcMar>
            <w:vAlign w:val="center"/>
          </w:tcPr>
          <w:p>
            <w:pPr>
              <w:spacing w:after="0" w:line="264" w:lineRule="auto"/>
              <w:jc w:val="center"/>
            </w:pPr>
            <w:r>
              <w:rPr>
                <w:rFonts w:ascii="Calibri" w:hAnsi="Calibri"/>
                <w:b w:val="0"/>
                <w:i w:val="0"/>
                <w:color w:val="172A3A"/>
                <w:sz w:val="17"/>
              </w:rPr>
              <w:t>0:00–0:45</w:t>
            </w:r>
          </w:p>
        </w:tc>
        <w:tc>
          <w:tcPr>
            <w:tcW w:type="dxa" w:w="185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Apertura</w:t>
            </w:r>
          </w:p>
        </w:tc>
        <w:tc>
          <w:tcPr>
            <w:tcW w:type="dxa" w:w="661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Usar el mensaje central. Mostrar una captura del mapa y plantear que el desafío es ver la red como un sistema que cambia durante el día.</w:t>
            </w:r>
          </w:p>
        </w:tc>
      </w:tr>
      <w:tr>
        <w:tc>
          <w:tcPr>
            <w:tcW w:type="dxa" w:w="900"/>
            <w:tcMar>
              <w:top w:w="80" w:type="dxa"/>
              <w:start w:w="120" w:type="dxa"/>
              <w:bottom w:w="80" w:type="dxa"/>
              <w:end w:w="120" w:type="dxa"/>
            </w:tcMar>
            <w:vAlign w:val="center"/>
          </w:tcPr>
          <w:p>
            <w:pPr>
              <w:spacing w:after="0" w:line="264" w:lineRule="auto"/>
              <w:jc w:val="center"/>
            </w:pPr>
            <w:r>
              <w:rPr>
                <w:rFonts w:ascii="Calibri" w:hAnsi="Calibri"/>
                <w:b w:val="0"/>
                <w:i w:val="0"/>
                <w:color w:val="172A3A"/>
                <w:sz w:val="17"/>
              </w:rPr>
              <w:t>0:45–1:30</w:t>
            </w:r>
          </w:p>
        </w:tc>
        <w:tc>
          <w:tcPr>
            <w:tcW w:type="dxa" w:w="185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Pregunta y usuarios</w:t>
            </w:r>
          </w:p>
        </w:tc>
        <w:tc>
          <w:tcPr>
            <w:tcW w:type="dxa" w:w="661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Presentar la pregunta guía y aclarar que el tablero sirve para exploración, planificación y evaluación académica.</w:t>
            </w:r>
          </w:p>
        </w:tc>
      </w:tr>
      <w:tr>
        <w:tc>
          <w:tcPr>
            <w:tcW w:type="dxa" w:w="900"/>
            <w:tcMar>
              <w:top w:w="80" w:type="dxa"/>
              <w:start w:w="120" w:type="dxa"/>
              <w:bottom w:w="80" w:type="dxa"/>
              <w:end w:w="120" w:type="dxa"/>
            </w:tcMar>
            <w:vAlign w:val="center"/>
          </w:tcPr>
          <w:p>
            <w:pPr>
              <w:spacing w:after="0" w:line="264" w:lineRule="auto"/>
              <w:jc w:val="center"/>
            </w:pPr>
            <w:r>
              <w:rPr>
                <w:rFonts w:ascii="Calibri" w:hAnsi="Calibri"/>
                <w:b w:val="0"/>
                <w:i w:val="0"/>
                <w:color w:val="172A3A"/>
                <w:sz w:val="17"/>
              </w:rPr>
              <w:t>1:30–2:45</w:t>
            </w:r>
          </w:p>
        </w:tc>
        <w:tc>
          <w:tcPr>
            <w:tcW w:type="dxa" w:w="185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Datos y calidad</w:t>
            </w:r>
          </w:p>
        </w:tc>
        <w:tc>
          <w:tcPr>
            <w:tcW w:type="dxa" w:w="661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Explicar brevemente fechas mixtas, intervalos de 15 minutos, exclusión del Premetro, duplicados y normalización de estaciones. Mostrar cobertura como condición de confianza.</w:t>
            </w:r>
          </w:p>
        </w:tc>
      </w:tr>
      <w:tr>
        <w:tc>
          <w:tcPr>
            <w:tcW w:type="dxa" w:w="900"/>
            <w:tcMar>
              <w:top w:w="80" w:type="dxa"/>
              <w:start w:w="120" w:type="dxa"/>
              <w:bottom w:w="80" w:type="dxa"/>
              <w:end w:w="120" w:type="dxa"/>
            </w:tcMar>
            <w:vAlign w:val="center"/>
          </w:tcPr>
          <w:p>
            <w:pPr>
              <w:spacing w:after="0" w:line="264" w:lineRule="auto"/>
              <w:jc w:val="center"/>
            </w:pPr>
            <w:r>
              <w:rPr>
                <w:rFonts w:ascii="Calibri" w:hAnsi="Calibri"/>
                <w:b w:val="0"/>
                <w:i w:val="0"/>
                <w:color w:val="172A3A"/>
                <w:sz w:val="17"/>
              </w:rPr>
              <w:t>2:45–4:30</w:t>
            </w:r>
          </w:p>
        </w:tc>
        <w:tc>
          <w:tcPr>
            <w:tcW w:type="dxa" w:w="185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Pulso horario</w:t>
            </w:r>
          </w:p>
        </w:tc>
        <w:tc>
          <w:tcPr>
            <w:tcW w:type="dxa" w:w="661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Animar el mapa para un laborable. Explicar tamaño absoluto, color relativo y por qué se usa un día típico mediano.</w:t>
            </w:r>
          </w:p>
        </w:tc>
      </w:tr>
      <w:tr>
        <w:tc>
          <w:tcPr>
            <w:tcW w:type="dxa" w:w="900"/>
            <w:tcMar>
              <w:top w:w="80" w:type="dxa"/>
              <w:start w:w="120" w:type="dxa"/>
              <w:bottom w:w="80" w:type="dxa"/>
              <w:end w:w="120" w:type="dxa"/>
            </w:tcMar>
            <w:vAlign w:val="center"/>
          </w:tcPr>
          <w:p>
            <w:pPr>
              <w:spacing w:after="0" w:line="264" w:lineRule="auto"/>
              <w:jc w:val="center"/>
            </w:pPr>
            <w:r>
              <w:rPr>
                <w:rFonts w:ascii="Calibri" w:hAnsi="Calibri"/>
                <w:b w:val="0"/>
                <w:i w:val="0"/>
                <w:color w:val="172A3A"/>
                <w:sz w:val="17"/>
              </w:rPr>
              <w:t>4:30–5:45</w:t>
            </w:r>
          </w:p>
        </w:tc>
        <w:tc>
          <w:tcPr>
            <w:tcW w:type="dxa" w:w="185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Historia</w:t>
            </w:r>
          </w:p>
        </w:tc>
        <w:tc>
          <w:tcPr>
            <w:tcW w:type="dxa" w:w="661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Pasar a evolución anual. Mostrar que 2014–2026 contextualiza aperturas, pandemia y recuperación; no es una comparación ingenua de todos los años.</w:t>
            </w:r>
          </w:p>
        </w:tc>
      </w:tr>
      <w:tr>
        <w:tc>
          <w:tcPr>
            <w:tcW w:type="dxa" w:w="900"/>
            <w:tcMar>
              <w:top w:w="80" w:type="dxa"/>
              <w:start w:w="120" w:type="dxa"/>
              <w:bottom w:w="80" w:type="dxa"/>
              <w:end w:w="120" w:type="dxa"/>
            </w:tcMar>
            <w:vAlign w:val="center"/>
          </w:tcPr>
          <w:p>
            <w:pPr>
              <w:spacing w:after="0" w:line="264" w:lineRule="auto"/>
              <w:jc w:val="center"/>
            </w:pPr>
            <w:r>
              <w:rPr>
                <w:rFonts w:ascii="Calibri" w:hAnsi="Calibri"/>
                <w:b w:val="0"/>
                <w:i w:val="0"/>
                <w:color w:val="172A3A"/>
                <w:sz w:val="17"/>
              </w:rPr>
              <w:t>5:45–7:30</w:t>
            </w:r>
          </w:p>
        </w:tc>
        <w:tc>
          <w:tcPr>
            <w:tcW w:type="dxa" w:w="185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FPCA y clusters</w:t>
            </w:r>
          </w:p>
        </w:tc>
        <w:tc>
          <w:tcPr>
            <w:tcW w:type="dxa" w:w="661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Mostrar las curvas/profiles por segmento de día. Traducir los grupos a horas de pico y concentración, sin sobreinterpretar causalidad.</w:t>
            </w:r>
          </w:p>
        </w:tc>
      </w:tr>
      <w:tr>
        <w:tc>
          <w:tcPr>
            <w:tcW w:type="dxa" w:w="900"/>
            <w:tcMar>
              <w:top w:w="80" w:type="dxa"/>
              <w:start w:w="120" w:type="dxa"/>
              <w:bottom w:w="80" w:type="dxa"/>
              <w:end w:w="120" w:type="dxa"/>
            </w:tcMar>
            <w:vAlign w:val="center"/>
          </w:tcPr>
          <w:p>
            <w:pPr>
              <w:spacing w:after="0" w:line="264" w:lineRule="auto"/>
              <w:jc w:val="center"/>
            </w:pPr>
            <w:r>
              <w:rPr>
                <w:rFonts w:ascii="Calibri" w:hAnsi="Calibri"/>
                <w:b w:val="0"/>
                <w:i w:val="0"/>
                <w:color w:val="172A3A"/>
                <w:sz w:val="17"/>
              </w:rPr>
              <w:t>7:30–8:45</w:t>
            </w:r>
          </w:p>
        </w:tc>
        <w:tc>
          <w:tcPr>
            <w:tcW w:type="dxa" w:w="185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MaxVol</w:t>
            </w:r>
          </w:p>
        </w:tc>
        <w:tc>
          <w:tcPr>
            <w:tcW w:type="dxa" w:w="661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Presentar prototipos reales: son casos frontera que representan diversidad y ayudan a leer los clusters.</w:t>
            </w:r>
          </w:p>
        </w:tc>
      </w:tr>
      <w:tr>
        <w:tc>
          <w:tcPr>
            <w:tcW w:type="dxa" w:w="900"/>
            <w:tcMar>
              <w:top w:w="80" w:type="dxa"/>
              <w:start w:w="120" w:type="dxa"/>
              <w:bottom w:w="80" w:type="dxa"/>
              <w:end w:w="120" w:type="dxa"/>
            </w:tcMar>
            <w:vAlign w:val="center"/>
          </w:tcPr>
          <w:p>
            <w:pPr>
              <w:spacing w:after="0" w:line="264" w:lineRule="auto"/>
              <w:jc w:val="center"/>
            </w:pPr>
            <w:r>
              <w:rPr>
                <w:rFonts w:ascii="Calibri" w:hAnsi="Calibri"/>
                <w:b w:val="0"/>
                <w:i w:val="0"/>
                <w:color w:val="172A3A"/>
                <w:sz w:val="17"/>
              </w:rPr>
              <w:t>8:45–9:30</w:t>
            </w:r>
          </w:p>
        </w:tc>
        <w:tc>
          <w:tcPr>
            <w:tcW w:type="dxa" w:w="185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Cierre</w:t>
            </w:r>
          </w:p>
        </w:tc>
        <w:tc>
          <w:tcPr>
            <w:tcW w:type="dxa" w:w="661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Concluir que el dashboard vincula geografía, tiempo e historia. Mencionar límites y próximos pasos.</w:t>
            </w:r>
          </w:p>
        </w:tc>
      </w:tr>
    </w:tbl>
    <w:p>
      <w:pPr>
        <w:spacing w:after="40"/>
      </w:pPr>
    </w:p>
    <w:p>
      <w:pPr>
        <w:pStyle w:val="Heading1"/>
        <w:keepNext/>
      </w:pPr>
      <w:r>
        <w:t>9. Frases de transición y cierre</w:t>
      </w:r>
    </w:p>
    <w:p>
      <w:pPr>
        <w:pStyle w:val="ListBullet"/>
        <w:spacing w:after="80" w:line="300" w:lineRule="auto"/>
        <w:ind w:left="540" w:hanging="271"/>
      </w:pPr>
      <w:r>
        <w:rPr>
          <w:rFonts w:ascii="Calibri" w:hAnsi="Calibri"/>
          <w:b w:val="0"/>
          <w:i w:val="0"/>
          <w:color w:val="172A3A"/>
          <w:sz w:val="22"/>
        </w:rPr>
        <w:t>Del mapa a la historia: “Antes de comparar años, necesitamos separar cambios reales de la demanda de cambios en la red y en la cobertura.”</w:t>
      </w:r>
    </w:p>
    <w:p>
      <w:pPr>
        <w:pStyle w:val="ListBullet"/>
        <w:spacing w:after="80" w:line="300" w:lineRule="auto"/>
        <w:ind w:left="540" w:hanging="271"/>
      </w:pPr>
      <w:r>
        <w:rPr>
          <w:rFonts w:ascii="Calibri" w:hAnsi="Calibri"/>
          <w:b w:val="0"/>
          <w:i w:val="0"/>
          <w:color w:val="172A3A"/>
          <w:sz w:val="22"/>
        </w:rPr>
        <w:t>De la historia a FPCA: “La evolución nos muestra cuánto y dónde cambió; FPCA nos permite resumir cómo cambió la forma del día.”</w:t>
      </w:r>
    </w:p>
    <w:p>
      <w:pPr>
        <w:pStyle w:val="ListBullet"/>
        <w:spacing w:after="80" w:line="300" w:lineRule="auto"/>
        <w:ind w:left="540" w:hanging="271"/>
      </w:pPr>
      <w:r>
        <w:rPr>
          <w:rFonts w:ascii="Calibri" w:hAnsi="Calibri"/>
          <w:b w:val="0"/>
          <w:i w:val="0"/>
          <w:color w:val="172A3A"/>
          <w:sz w:val="22"/>
        </w:rPr>
        <w:t>De clusters a MaxVol: “El cluster es un patrón promedio; MaxVol nos devuelve ejemplos reales y diversos para ponerle cara a esa variación.”</w:t>
      </w:r>
    </w:p>
    <w:p>
      <w:pPr>
        <w:pStyle w:val="ListBullet"/>
        <w:spacing w:after="80" w:line="300" w:lineRule="auto"/>
        <w:ind w:left="540" w:hanging="271"/>
      </w:pPr>
      <w:r>
        <w:rPr>
          <w:rFonts w:ascii="Calibri" w:hAnsi="Calibri"/>
          <w:b w:val="0"/>
          <w:i w:val="0"/>
          <w:color w:val="172A3A"/>
          <w:sz w:val="22"/>
        </w:rPr>
        <w:t>Cierre: “La contribución del proyecto es hacer visible el pulso de la red y, al mismo tiempo, dar herramientas para interpretarlo con cuidado histórico y estadístico.”</w:t>
      </w:r>
    </w:p>
    <w:p>
      <w:pPr>
        <w:pStyle w:val="Heading1"/>
        <w:keepNext/>
      </w:pPr>
      <w:r>
        <w:t>10. Próximos pasos antes de la entrega</w:t>
      </w:r>
    </w:p>
    <w:p>
      <w:pPr>
        <w:pStyle w:val="ListNumber"/>
        <w:spacing w:after="80" w:line="300" w:lineRule="auto"/>
        <w:ind w:left="540" w:hanging="271"/>
      </w:pPr>
      <w:r>
        <w:rPr>
          <w:rFonts w:ascii="Calibri" w:hAnsi="Calibri"/>
          <w:b w:val="0"/>
          <w:i w:val="0"/>
          <w:color w:val="172A3A"/>
          <w:sz w:val="22"/>
        </w:rPr>
        <w:t>Construir la interfaz final con los cuatro módulos priorizados; si el tiempo es limitado, empezar por Pulso, Evolución y Perfiles.</w:t>
      </w:r>
    </w:p>
    <w:p>
      <w:pPr>
        <w:pStyle w:val="ListNumber"/>
        <w:spacing w:after="80" w:line="300" w:lineRule="auto"/>
        <w:ind w:left="540" w:hanging="271"/>
      </w:pPr>
      <w:r>
        <w:rPr>
          <w:rFonts w:ascii="Calibri" w:hAnsi="Calibri"/>
          <w:b w:val="0"/>
          <w:i w:val="0"/>
          <w:color w:val="172A3A"/>
          <w:sz w:val="22"/>
        </w:rPr>
        <w:t>Incorporar controles de cobertura y leyendas metodológicas visibles en cada vista.</w:t>
      </w:r>
    </w:p>
    <w:p>
      <w:pPr>
        <w:pStyle w:val="ListNumber"/>
        <w:spacing w:after="80" w:line="300" w:lineRule="auto"/>
        <w:ind w:left="540" w:hanging="271"/>
      </w:pPr>
      <w:r>
        <w:rPr>
          <w:rFonts w:ascii="Calibri" w:hAnsi="Calibri"/>
          <w:b w:val="0"/>
          <w:i w:val="0"/>
          <w:color w:val="172A3A"/>
          <w:sz w:val="22"/>
        </w:rPr>
        <w:t>Agregar un comparador de dos años completos con métricas relativas y universo de estaciones comunes.</w:t>
      </w:r>
    </w:p>
    <w:p>
      <w:pPr>
        <w:pStyle w:val="ListNumber"/>
        <w:spacing w:after="80" w:line="300" w:lineRule="auto"/>
        <w:ind w:left="540" w:hanging="271"/>
      </w:pPr>
      <w:r>
        <w:rPr>
          <w:rFonts w:ascii="Calibri" w:hAnsi="Calibri"/>
          <w:b w:val="0"/>
          <w:i w:val="0"/>
          <w:color w:val="172A3A"/>
          <w:sz w:val="22"/>
        </w:rPr>
        <w:t>Probar el dashboard con una historia guiada de tres hallazgos y documentar cualquier nueva limpieza en la bitácora técnica.</w:t>
      </w:r>
    </w:p>
    <w:p>
      <w:pPr>
        <w:pStyle w:val="Heading1"/>
        <w:keepNext/>
      </w:pPr>
      <w:r>
        <w:t>Fuentes de referencia</w:t>
      </w:r>
    </w:p>
    <w:p>
      <w:pPr>
        <w:spacing w:before="0" w:after="120" w:line="300" w:lineRule="auto"/>
      </w:pPr>
      <w:r>
        <w:rPr>
          <w:rFonts w:ascii="Calibri" w:hAnsi="Calibri"/>
          <w:b w:val="0"/>
          <w:i w:val="0"/>
          <w:color w:val="172A3A"/>
          <w:sz w:val="22"/>
        </w:rPr>
        <w:t xml:space="preserve">Coordenadas de estaciones: </w:t>
      </w:r>
      <w:hyperlink r:id="rId11">
        <w:r>
          <w:rPr>
            <w:color w:val="2E74B5"/>
            <w:u w:val="single"/>
          </w:rPr>
          <w:t>Buenos Aires Data — Subte: Estaciones</w:t>
        </w:r>
      </w:hyperlink>
    </w:p>
    <w:p>
      <w:pPr>
        <w:spacing w:before="0" w:after="120" w:line="300" w:lineRule="auto"/>
      </w:pPr>
      <w:r>
        <w:rPr>
          <w:rFonts w:ascii="Calibri" w:hAnsi="Calibri"/>
          <w:b w:val="0"/>
          <w:i w:val="0"/>
          <w:color w:val="172A3A"/>
          <w:sz w:val="22"/>
        </w:rPr>
        <w:t xml:space="preserve">Metodología de la cursada: </w:t>
      </w:r>
      <w:hyperlink r:id="rId12">
        <w:r>
          <w:rPr>
            <w:color w:val="2E74B5"/>
            <w:u w:val="single"/>
          </w:rPr>
          <w:t>Diapositivas de FPCA y MaxVol</w:t>
        </w:r>
      </w:hyperlink>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C6770"/>
        <w:sz w:val="18"/>
      </w:rPr>
      <w:t xml:space="preserve">Página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val="0"/>
        <w:i w:val="0"/>
        <w:color w:val="5C6770"/>
        <w:sz w:val="18"/>
      </w:rPr>
      <w:t>TP final · FPCA del Subte de Buenos Aires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72A3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sz w:val="22"/>
    </w:rPr>
  </w:style>
  <w:style w:type="paragraph" w:styleId="ListBullet2">
    <w:name w:val="List Bullet 2"/>
    <w:basedOn w:val="Normal"/>
    <w:uiPriority w:val="99"/>
    <w:unhideWhenUsed/>
    <w:rsid w:val="00326F90"/>
    <w:pPr>
      <w:numPr>
        <w:numId w:val="2"/>
      </w:numPr>
      <w:spacing w:after="80" w:line="300" w:lineRule="auto"/>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ata.buenosaires.gob.ar/dataset/subte-estaciones" TargetMode="External"/><Relationship Id="rId12" Type="http://schemas.openxmlformats.org/officeDocument/2006/relationships/hyperlink" Target="https://rballester.github.io/uba_winter_school/#/dimensionality-redu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