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" name="Picture 1" descr="Page visuelle MEC Finance consacrée à couverture du playbook visuel" title="Couverture du playbook visu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2" name="Picture 2" descr="Page visuelle MEC Finance consacrée à décision stratégique" title="Décision stratégiq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3" name="Picture 3" descr="Page visuelle MEC Finance consacrée à benchmark concurrentiel" title="Benchmark concurrenti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4" name="Picture 4" descr="Page visuelle MEC Finance consacrée à publics prioritaires" title="Publics prioritai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5" name="Picture 5" descr="Page visuelle MEC Finance consacrée à système des canaux" title="Système des canau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6" name="Picture 6" descr="Page visuelle MEC Finance consacrée à moteur éditorial" title="Moteur éditori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7" name="Picture 7" descr="Page visuelle MEC Finance consacrée à template carousel" title="Template Carous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8" name="Picture 8" descr="Page visuelle MEC Finance consacrée à exemple carousel en sept pages" title="Exemple Carousel en sept p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9" name="Picture 9" descr="Page visuelle MEC Finance consacrée à template reel" title="Template Re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0" name="Picture 10" descr="Page visuelle MEC Finance consacrée à storyboard reel" title="Storyboard Re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1" name="Picture 11" descr="Page visuelle MEC Finance consacrée à calendrier de 30 jours" title="Calendrier de 30 jou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2" name="Picture 12" descr="Page visuelle MEC Finance consacrée à feuille de route de 90 jours" title="Feuille de route de 90 jou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3" name="Picture 13" descr="Page visuelle MEC Finance consacrée à tableau de bord" title="Tableau de b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7132320"/>
            <wp:docPr id="14" name="Picture 14" descr="Page visuelle MEC Finance consacrée à règles de marque et conformité" title="Règles de marque et conformit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5840" w:h="12240" w:orient="landscape"/>
      <w:pgMar w:top="374" w:right="504" w:bottom="619" w:left="504" w:header="144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28E"/>
        <w:sz w:val="16"/>
      </w:rPr>
      <w:t xml:space="preserve">MEC Finance  |  Playbook visuel 2026  |  </w:t>
    </w:r>
    <w:r>
      <w:rPr>
        <w:rFonts w:ascii="Arial" w:hAnsi="Arial"/>
        <w:color w:val="78828E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Stratégie marketing et templates visuels de MEC Finance</dc:title>
  <dc:subject>Playbook visuel pour les Carousels, Reels et contenus sociaux</dc:subject>
  <dc:creator>MEC Finance</dc:creator>
  <cp:keywords>MEC Finance, marketing, social media, carousel, reel, Maroc, Europe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