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drawing>
          <wp:inline xmlns:a="http://schemas.openxmlformats.org/drawingml/2006/main" xmlns:pic="http://schemas.openxmlformats.org/drawingml/2006/picture">
            <wp:extent cx="4023360" cy="4023360"/>
            <wp:docPr id="1" name="Picture 1" descr="Logo Morocco Europe Consulting" title="MEC Finance"/>
            <wp:cNvGraphicFramePr>
              <a:graphicFrameLocks noChangeAspect="1"/>
            </wp:cNvGraphicFramePr>
            <a:graphic>
              <a:graphicData uri="http://schemas.openxmlformats.org/drawingml/2006/picture">
                <pic:pic>
                  <pic:nvPicPr>
                    <pic:cNvPr id="0" name="logo-main.png"/>
                    <pic:cNvPicPr/>
                  </pic:nvPicPr>
                  <pic:blipFill>
                    <a:blip r:embed="rId10"/>
                    <a:stretch>
                      <a:fillRect/>
                    </a:stretch>
                  </pic:blipFill>
                  <pic:spPr>
                    <a:xfrm>
                      <a:off x="0" y="0"/>
                      <a:ext cx="4023360" cy="4023360"/>
                    </a:xfrm>
                    <a:prstGeom prst="rect"/>
                  </pic:spPr>
                </pic:pic>
              </a:graphicData>
            </a:graphic>
          </wp:inline>
        </w:drawing>
      </w:r>
    </w:p>
    <w:p>
      <w:pPr>
        <w:pStyle w:val="Title"/>
        <w:jc w:val="right"/>
        <w:bidi w:val="1"/>
      </w:pPr>
      <w:r>
        <w:rPr>
          <w:rFonts w:ascii="Arial" w:hAnsi="Arial" w:cs="Arial"/>
          <w:b/>
          <w:color w:val="000000"/>
          <w:sz w:val="52"/>
          <w:rtl/>
        </w:rPr>
        <w:t>Stratégie marketing et plan de contenu de MEC Finance</w:t>
      </w:r>
    </w:p>
    <w:p>
      <w:pPr>
        <w:spacing w:before="160"/>
        <w:jc w:val="right"/>
        <w:bidi w:val="1"/>
      </w:pPr>
      <w:r>
        <w:rPr>
          <w:rFonts w:ascii="Arial" w:hAnsi="Arial" w:cs="Arial"/>
          <w:b/>
          <w:color w:val="001F3F"/>
          <w:sz w:val="30"/>
          <w:rtl/>
        </w:rPr>
        <w:t>Étude concurrentielle et plan d'exécution sur 90 jours</w:t>
      </w:r>
    </w:p>
    <w:p>
      <w:pPr>
        <w:spacing w:before="440"/>
        <w:jc w:val="right"/>
        <w:bidi w:val="1"/>
      </w:pPr>
      <w:r>
        <w:rPr>
          <w:rFonts w:ascii="Arial" w:hAnsi="Arial" w:cs="Arial"/>
          <w:b w:val="0"/>
          <w:color w:val="666666"/>
          <w:sz w:val="21"/>
        </w:rPr>
        <w:t>Tanger, Maroc et marchés européens  |  8 septembre 2026</w:t>
      </w:r>
    </w:p>
    <w:p>
      <w:pPr>
        <w:spacing w:before="1800"/>
        <w:jc w:val="right"/>
        <w:bidi w:val="1"/>
      </w:pPr>
      <w:r>
        <w:rPr>
          <w:rFonts w:ascii="Arial" w:hAnsi="Arial" w:cs="Arial"/>
          <w:b w:val="0"/>
          <w:color w:val="D4AF37"/>
          <w:sz w:val="21"/>
        </w:rPr>
        <w:t>Document de travail pour la direction, le marketing et le développement commercial</w:t>
      </w:r>
    </w:p>
    <w:p>
      <w:r>
        <w:br w:type="page"/>
      </w:r>
    </w:p>
    <w:p>
      <w:pPr>
        <w:pStyle w:val="Heading1"/>
        <w:jc w:val="left"/>
      </w:pPr>
      <w:r>
        <w:t>Sommaire</w:t>
      </w:r>
    </w:p>
    <w:p>
      <w:pPr>
        <w:ind w:left="216" w:right="216"/>
        <w:jc w:val="left"/>
      </w:pPr>
      <w:r>
        <w:rPr>
          <w:rFonts w:ascii="Arial" w:hAnsi="Arial" w:cs="Arial"/>
          <w:b w:val="0"/>
          <w:color w:val="404040"/>
          <w:sz w:val="23"/>
        </w:rPr>
        <w:t>01  Synthèse décisionnelle</w:t>
      </w:r>
    </w:p>
    <w:p>
      <w:pPr>
        <w:ind w:left="216" w:right="216"/>
        <w:jc w:val="left"/>
      </w:pPr>
      <w:r>
        <w:rPr>
          <w:rFonts w:ascii="Arial" w:hAnsi="Arial" w:cs="Arial"/>
          <w:b w:val="0"/>
          <w:color w:val="404040"/>
          <w:sz w:val="23"/>
        </w:rPr>
        <w:t>02  Offre réelle de MEC</w:t>
      </w:r>
    </w:p>
    <w:p>
      <w:pPr>
        <w:ind w:left="216" w:right="216"/>
        <w:jc w:val="left"/>
      </w:pPr>
      <w:r>
        <w:rPr>
          <w:rFonts w:ascii="Arial" w:hAnsi="Arial" w:cs="Arial"/>
          <w:b w:val="0"/>
          <w:color w:val="404040"/>
          <w:sz w:val="23"/>
        </w:rPr>
        <w:t>03  État de la présence numérique</w:t>
      </w:r>
    </w:p>
    <w:p>
      <w:pPr>
        <w:ind w:left="216" w:right="216"/>
        <w:jc w:val="left"/>
      </w:pPr>
      <w:r>
        <w:rPr>
          <w:rFonts w:ascii="Arial" w:hAnsi="Arial" w:cs="Arial"/>
          <w:b w:val="0"/>
          <w:color w:val="404040"/>
          <w:sz w:val="23"/>
        </w:rPr>
        <w:t>04  Potentiel numérique au Maroc</w:t>
      </w:r>
    </w:p>
    <w:p>
      <w:pPr>
        <w:ind w:left="216" w:right="216"/>
        <w:jc w:val="left"/>
      </w:pPr>
      <w:r>
        <w:rPr>
          <w:rFonts w:ascii="Arial" w:hAnsi="Arial" w:cs="Arial"/>
          <w:b w:val="0"/>
          <w:color w:val="404040"/>
          <w:sz w:val="23"/>
        </w:rPr>
        <w:t>05  Cartographie des concurrents</w:t>
      </w:r>
    </w:p>
    <w:p>
      <w:pPr>
        <w:ind w:left="216" w:right="216"/>
        <w:jc w:val="left"/>
      </w:pPr>
      <w:r>
        <w:rPr>
          <w:rFonts w:ascii="Arial" w:hAnsi="Arial" w:cs="Arial"/>
          <w:b w:val="0"/>
          <w:color w:val="404040"/>
          <w:sz w:val="23"/>
        </w:rPr>
        <w:t>06  Pratiques qui fonctionnent</w:t>
      </w:r>
    </w:p>
    <w:p>
      <w:pPr>
        <w:ind w:left="216" w:right="216"/>
        <w:jc w:val="left"/>
      </w:pPr>
      <w:r>
        <w:rPr>
          <w:rFonts w:ascii="Arial" w:hAnsi="Arial" w:cs="Arial"/>
          <w:b w:val="0"/>
          <w:color w:val="404040"/>
          <w:sz w:val="23"/>
        </w:rPr>
        <w:t>07  Positionnement et publics prioritaires</w:t>
      </w:r>
    </w:p>
    <w:p>
      <w:pPr>
        <w:ind w:left="216" w:right="216"/>
        <w:jc w:val="left"/>
      </w:pPr>
      <w:r>
        <w:rPr>
          <w:rFonts w:ascii="Arial" w:hAnsi="Arial" w:cs="Arial"/>
          <w:b w:val="0"/>
          <w:color w:val="404040"/>
          <w:sz w:val="23"/>
        </w:rPr>
        <w:t>08  Canaux et système de contenu</w:t>
      </w:r>
    </w:p>
    <w:p>
      <w:pPr>
        <w:ind w:left="216" w:right="216"/>
        <w:jc w:val="left"/>
      </w:pPr>
      <w:r>
        <w:rPr>
          <w:rFonts w:ascii="Arial" w:hAnsi="Arial" w:cs="Arial"/>
          <w:b w:val="0"/>
          <w:color w:val="404040"/>
          <w:sz w:val="23"/>
        </w:rPr>
        <w:t>09  Calendrier éditorial sur 12 semaines</w:t>
      </w:r>
    </w:p>
    <w:p>
      <w:pPr>
        <w:ind w:left="216" w:right="216"/>
        <w:jc w:val="left"/>
      </w:pPr>
      <w:r>
        <w:rPr>
          <w:rFonts w:ascii="Arial" w:hAnsi="Arial" w:cs="Arial"/>
          <w:b w:val="0"/>
          <w:color w:val="404040"/>
          <w:sz w:val="23"/>
        </w:rPr>
        <w:t>10  Modèles prêts à publier</w:t>
      </w:r>
    </w:p>
    <w:p>
      <w:pPr>
        <w:ind w:left="216" w:right="216"/>
        <w:jc w:val="left"/>
      </w:pPr>
      <w:r>
        <w:rPr>
          <w:rFonts w:ascii="Arial" w:hAnsi="Arial" w:cs="Arial"/>
          <w:b w:val="0"/>
          <w:color w:val="404040"/>
          <w:sz w:val="23"/>
        </w:rPr>
        <w:t>11  Conversion, publicité et mesure</w:t>
      </w:r>
    </w:p>
    <w:p>
      <w:pPr>
        <w:ind w:left="216" w:right="216"/>
        <w:jc w:val="left"/>
      </w:pPr>
      <w:r>
        <w:rPr>
          <w:rFonts w:ascii="Arial" w:hAnsi="Arial" w:cs="Arial"/>
          <w:b w:val="0"/>
          <w:color w:val="404040"/>
          <w:sz w:val="23"/>
        </w:rPr>
        <w:t>12  Feuille de route, risques et conformité</w:t>
      </w:r>
    </w:p>
    <w:p>
      <w:pPr>
        <w:ind w:left="216" w:right="216"/>
        <w:jc w:val="left"/>
      </w:pPr>
      <w:r>
        <w:rPr>
          <w:rFonts w:ascii="Arial" w:hAnsi="Arial" w:cs="Arial"/>
          <w:b w:val="0"/>
          <w:color w:val="404040"/>
          <w:sz w:val="23"/>
        </w:rPr>
        <w:t>13  Sources et limites de l'étude</w:t>
      </w:r>
    </w:p>
    <w:p>
      <w:r>
        <w:br w:type="page"/>
      </w:r>
    </w:p>
    <w:p>
      <w:pPr>
        <w:pStyle w:val="Heading1"/>
        <w:jc w:val="left"/>
      </w:pPr>
      <w:r>
        <w:rPr>
          <w:rFonts w:ascii="Arial" w:hAnsi="Arial" w:cs="Arial"/>
          <w:b/>
          <w:color w:val="000000"/>
          <w:sz w:val="38"/>
        </w:rPr>
        <w:t>Étude concurrentielle et plan d'exécution sur 90 jours</w:t>
      </w:r>
    </w:p>
    <w:p>
      <w:pPr>
        <w:jc w:val="left"/>
      </w:pPr>
      <w:r>
        <w:rPr>
          <w:rFonts w:ascii="Arial" w:hAnsi="Arial" w:cs="Arial"/>
          <w:b/>
          <w:color w:val="404040"/>
          <w:sz w:val="22"/>
        </w:rPr>
        <w:t>Destinataire</w:t>
      </w:r>
      <w:r>
        <w:rPr>
          <w:rFonts w:ascii="Arial" w:hAnsi="Arial" w:cs="Arial"/>
          <w:b w:val="0"/>
          <w:color w:val="404040"/>
          <w:sz w:val="22"/>
        </w:rPr>
        <w:t xml:space="preserve"> Direction de Morocco Europe Consulting, ci-après MEC Finance</w:t>
      </w:r>
    </w:p>
    <w:p>
      <w:pPr>
        <w:jc w:val="left"/>
      </w:pPr>
      <w:r>
        <w:rPr>
          <w:rFonts w:ascii="Arial" w:hAnsi="Arial" w:cs="Arial"/>
          <w:b/>
          <w:color w:val="404040"/>
          <w:sz w:val="22"/>
        </w:rPr>
        <w:t>Date de l'étude</w:t>
      </w:r>
      <w:r>
        <w:rPr>
          <w:rFonts w:ascii="Arial" w:hAnsi="Arial" w:cs="Arial"/>
          <w:b w:val="0"/>
          <w:color w:val="404040"/>
          <w:sz w:val="22"/>
        </w:rPr>
        <w:t xml:space="preserve"> 8 septembre 2026</w:t>
      </w:r>
    </w:p>
    <w:p>
      <w:pPr>
        <w:jc w:val="left"/>
      </w:pPr>
      <w:r>
        <w:rPr>
          <w:rFonts w:ascii="Arial" w:hAnsi="Arial" w:cs="Arial"/>
          <w:b/>
          <w:color w:val="404040"/>
          <w:sz w:val="22"/>
        </w:rPr>
        <w:t>Périmètre</w:t>
      </w:r>
      <w:r>
        <w:rPr>
          <w:rFonts w:ascii="Arial" w:hAnsi="Arial" w:cs="Arial"/>
          <w:b w:val="0"/>
          <w:color w:val="404040"/>
          <w:sz w:val="22"/>
        </w:rPr>
        <w:t xml:space="preserve"> Tanger et Maroc, avec un développement commercial vers la France, l'Espagne, la Belgique, les Pays-Bas et les marchés européens francophones</w:t>
      </w:r>
    </w:p>
    <w:p>
      <w:pPr>
        <w:jc w:val="left"/>
      </w:pPr>
      <w:r>
        <w:rPr>
          <w:rFonts w:ascii="Arial" w:hAnsi="Arial" w:cs="Arial"/>
          <w:b/>
          <w:color w:val="404040"/>
          <w:sz w:val="22"/>
        </w:rPr>
        <w:t>Objectif</w:t>
      </w:r>
      <w:r>
        <w:rPr>
          <w:rFonts w:ascii="Arial" w:hAnsi="Arial" w:cs="Arial"/>
          <w:b w:val="0"/>
          <w:color w:val="404040"/>
          <w:sz w:val="22"/>
        </w:rPr>
        <w:t xml:space="preserve"> Transformer l'expertise de MEC en conseil financier, comptabilité, gestion, implantation internationale, audit et échanges Maroc-Europe en une présence numérique qui produit de la confiance et des conversations commerciales qualifiées</w:t>
      </w:r>
    </w:p>
    <w:p>
      <w:pPr>
        <w:pStyle w:val="Heading1"/>
        <w:jc w:val="left"/>
      </w:pPr>
      <w:r>
        <w:rPr>
          <w:rFonts w:ascii="Arial" w:hAnsi="Arial" w:cs="Arial"/>
          <w:b/>
          <w:color w:val="000000"/>
          <w:sz w:val="38"/>
        </w:rPr>
        <w:t>Synthèse décisionnelle</w:t>
      </w:r>
    </w:p>
    <w:p>
      <w:pPr>
        <w:jc w:val="left"/>
      </w:pPr>
      <w:r>
        <w:rPr>
          <w:rFonts w:ascii="Arial" w:hAnsi="Arial" w:cs="Arial"/>
          <w:b w:val="0"/>
          <w:color w:val="404040"/>
          <w:sz w:val="22"/>
        </w:rPr>
        <w:t xml:space="preserve">La meilleure opportunité pour MEC n'est pas de concurrencer les cabinets locaux avec des publications générales sur la comptabilité. MEC peut occuper une catégorie plus claire et plus difficile à copier : </w:t>
      </w:r>
      <w:r>
        <w:rPr>
          <w:rFonts w:ascii="Arial" w:hAnsi="Arial" w:cs="Arial"/>
          <w:b/>
          <w:color w:val="404040"/>
          <w:sz w:val="22"/>
        </w:rPr>
        <w:t>le partenaire financier et opérationnel des entreprises qui travaillent entre le Maroc et l'Europe</w:t>
      </w:r>
      <w:r>
        <w:rPr>
          <w:rFonts w:ascii="Arial" w:hAnsi="Arial" w:cs="Arial"/>
          <w:b w:val="0"/>
          <w:color w:val="404040"/>
          <w:sz w:val="22"/>
        </w:rPr>
        <w:t>. Ce positionnement existe déjà dans l'identité et les services de l'entreprise, mais il n'est pas encore exprimé sous la forme d'un système éditorial régulier, reconnaissable et mémorisable.</w:t>
      </w:r>
    </w:p>
    <w:p>
      <w:pPr>
        <w:jc w:val="left"/>
      </w:pPr>
      <w:r>
        <w:rPr>
          <w:rFonts w:ascii="Arial" w:hAnsi="Arial" w:cs="Arial"/>
          <w:b w:val="0"/>
          <w:color w:val="404040"/>
          <w:sz w:val="22"/>
        </w:rPr>
        <w:t>L'étude confirme l'existence d'une demande, tout en révélant des espaces peu exploités. Cabinet PFC du Nord, AAFIR et UHY Ben Mokhtar publient surtout des offres d'emploi, des actualités institutionnelles et des contenus de réseau. Upsilon Consulting constitue la référence locale la plus structurée en matière de contenu : fiscalité, droit, création d'entreprise, investissement, articles, vidéos et newsletter. FAIR UP Advisory est le concurrent le plus proche du positionnement Maroc-France et publie des analyses longues sur l'implantation, l'externalisation et le pilotage à distance. BDO Morocco et PwC au Maroc montrent la valeur des séries éditoriales, de la vidéo, des événements et des interviews. MCCG démontre quant à lui que la visibilité personnelle d'un associé peut renforcer la portée de la page entreprise.</w:t>
      </w:r>
    </w:p>
    <w:p>
      <w:pPr>
        <w:jc w:val="left"/>
      </w:pPr>
      <w:r>
        <w:rPr>
          <w:rFonts w:ascii="Arial" w:hAnsi="Arial" w:cs="Arial"/>
          <w:b w:val="0"/>
          <w:color w:val="404040"/>
          <w:sz w:val="22"/>
        </w:rPr>
        <w:t>La recommandation consiste à faire de MEC une plateforme de connaissance pratique sur les opérations entre le Maroc et l'Europe. Pendant les 90 premiers jours, l'équipe publie quatre contenus par semaine :</w:t>
      </w:r>
    </w:p>
    <w:p>
      <w:pPr>
        <w:pStyle w:val="ListNumber"/>
        <w:jc w:val="left"/>
      </w:pPr>
      <w:r>
        <w:rPr>
          <w:rFonts w:ascii="Arial" w:hAnsi="Arial" w:cs="Arial"/>
          <w:b w:val="0"/>
          <w:color w:val="404040"/>
          <w:sz w:val="21"/>
        </w:rPr>
        <w:t>Un carrousel ou un document pratique sur la fiscalité, l'implantation ou les flux transfrontaliers.</w:t>
      </w:r>
    </w:p>
    <w:p>
      <w:pPr>
        <w:pStyle w:val="ListNumber"/>
        <w:jc w:val="left"/>
      </w:pPr>
      <w:r>
        <w:rPr>
          <w:rFonts w:ascii="Arial" w:hAnsi="Arial" w:cs="Arial"/>
          <w:b w:val="0"/>
          <w:color w:val="404040"/>
          <w:sz w:val="21"/>
        </w:rPr>
        <w:t>Une vidéo courte dans laquelle un expert MEC répond à une seule question.</w:t>
      </w:r>
    </w:p>
    <w:p>
      <w:pPr>
        <w:pStyle w:val="ListNumber"/>
        <w:jc w:val="left"/>
      </w:pPr>
      <w:r>
        <w:rPr>
          <w:rFonts w:ascii="Arial" w:hAnsi="Arial" w:cs="Arial"/>
          <w:b w:val="0"/>
          <w:color w:val="404040"/>
          <w:sz w:val="21"/>
        </w:rPr>
        <w:t>Un cas anonymisé ou une checklist qui montre la méthode de travail.</w:t>
      </w:r>
    </w:p>
    <w:p>
      <w:pPr>
        <w:pStyle w:val="ListNumber"/>
        <w:jc w:val="left"/>
      </w:pPr>
      <w:r>
        <w:rPr>
          <w:rFonts w:ascii="Arial" w:hAnsi="Arial" w:cs="Arial"/>
          <w:b w:val="0"/>
          <w:color w:val="404040"/>
          <w:sz w:val="21"/>
        </w:rPr>
        <w:t>Un contenu de confiance consacré à l'équipe, à un événement, à une échéance ou à une ressource téléchargeable.</w:t>
      </w:r>
    </w:p>
    <w:p>
      <w:pPr>
        <w:jc w:val="left"/>
      </w:pPr>
      <w:r>
        <w:rPr>
          <w:rFonts w:ascii="Arial" w:hAnsi="Arial" w:cs="Arial"/>
          <w:b w:val="0"/>
          <w:color w:val="404040"/>
          <w:sz w:val="22"/>
        </w:rPr>
        <w:t>LinkedIn doit devenir le canal principal pour atteindre dirigeants, fondateurs, responsables financiers et prescripteurs. Instagram et Facebook servent à redistribuer les vidéos, simplifier les explications et développer la proximité locale. Le site devient une bibliothèque de ressources et de pages d'atterrissage. WhatsApp intervient en fin de parcours, lorsque le prospect comprend déjà son problème et la valeur de l'accompagnement.</w:t>
      </w:r>
    </w:p>
    <w:p>
      <w:pPr>
        <w:jc w:val="left"/>
      </w:pPr>
      <w:r>
        <w:rPr>
          <w:rFonts w:ascii="Arial" w:hAnsi="Arial" w:cs="Arial"/>
          <w:b w:val="0"/>
          <w:color w:val="404040"/>
          <w:sz w:val="22"/>
        </w:rPr>
        <w:t>La publicité payante ne doit pas commencer avant quatre semaines de publication organique et de mesure. Une vérification de conformité est nécessaire avant toute campagne ou prospection directe. Le Code des devoirs professionnels publié par l'Ordre des Experts-Comptables du Maroc encadre strictement la publicité personnelle et le démarchage. Si MEC ou la personne exposée dans le contenu relève de ce code, l'entreprise doit obtenir un avis professionnel écrit sur les formats autorisés.</w:t>
      </w:r>
    </w:p>
    <w:p>
      <w:pPr>
        <w:pStyle w:val="Heading1"/>
        <w:jc w:val="left"/>
      </w:pPr>
      <w:r>
        <w:rPr>
          <w:rFonts w:ascii="Arial" w:hAnsi="Arial" w:cs="Arial"/>
          <w:b/>
          <w:color w:val="000000"/>
          <w:sz w:val="38"/>
        </w:rPr>
        <w:t>Offre réelle de MEC</w:t>
      </w:r>
    </w:p>
    <w:p>
      <w:pPr>
        <w:jc w:val="left"/>
      </w:pPr>
      <w:r>
        <w:rPr>
          <w:rFonts w:ascii="Arial" w:hAnsi="Arial" w:cs="Arial"/>
          <w:b w:val="0"/>
          <w:color w:val="404040"/>
          <w:sz w:val="22"/>
        </w:rPr>
        <w:t>Les fichiers du projet et le site présentent sept domaines complémentaires : conseil financier, comptabilité, gestion d'entreprise, implantation internationale, audit et contrôle, accompagnement personnalisé et échanges entre le Maroc et l'Europe. La marque utilise un bleu marine profond et un doré sobre. Son image convient à un service financier premium, sérieux et international.</w:t>
      </w:r>
    </w:p>
    <w:p>
      <w:pPr>
        <w:jc w:val="left"/>
      </w:pPr>
      <w:r>
        <w:rPr>
          <w:rFonts w:ascii="Arial" w:hAnsi="Arial" w:cs="Arial"/>
          <w:b w:val="0"/>
          <w:color w:val="404040"/>
          <w:sz w:val="22"/>
        </w:rPr>
        <w:t>Le marché n'achète toutefois pas une liste de prestations. Un dirigeant cherche d'abord à résoudre une situation précise. L'offre éditoriale et commerciale doit donc être organisée autour de quatre missions.</w:t>
      </w:r>
    </w:p>
    <w:p>
      <w:pPr>
        <w:pStyle w:val="ListBullet"/>
        <w:jc w:val="left"/>
      </w:pPr>
      <w:r>
        <w:rPr>
          <w:rFonts w:ascii="Arial" w:hAnsi="Arial" w:cs="Arial"/>
          <w:b/>
          <w:color w:val="404040"/>
          <w:sz w:val="21"/>
        </w:rPr>
        <w:t>Entrer sur le marché marocain</w:t>
      </w:r>
      <w:r>
        <w:rPr>
          <w:rFonts w:ascii="Arial" w:hAnsi="Arial" w:cs="Arial"/>
          <w:b w:val="0"/>
          <w:color w:val="404040"/>
          <w:sz w:val="21"/>
        </w:rPr>
        <w:t xml:space="preserve"> Choix de la forme juridique, constitution, immatriculations, comptabilité, fiscalité, ressources humaines et suivi local.</w:t>
      </w:r>
    </w:p>
    <w:p>
      <w:pPr>
        <w:pStyle w:val="ListBullet"/>
        <w:jc w:val="left"/>
      </w:pPr>
      <w:r>
        <w:rPr>
          <w:rFonts w:ascii="Arial" w:hAnsi="Arial" w:cs="Arial"/>
          <w:b/>
          <w:color w:val="404040"/>
          <w:sz w:val="21"/>
        </w:rPr>
        <w:t>Piloter une entreprise existante</w:t>
      </w:r>
      <w:r>
        <w:rPr>
          <w:rFonts w:ascii="Arial" w:hAnsi="Arial" w:cs="Arial"/>
          <w:b w:val="0"/>
          <w:color w:val="404040"/>
          <w:sz w:val="21"/>
        </w:rPr>
        <w:t xml:space="preserve"> Clôtures, reporting, trésorerie, paie, conformité, tableaux de bord et amélioration des processus.</w:t>
      </w:r>
    </w:p>
    <w:p>
      <w:pPr>
        <w:pStyle w:val="ListBullet"/>
        <w:jc w:val="left"/>
      </w:pPr>
      <w:r>
        <w:rPr>
          <w:rFonts w:ascii="Arial" w:hAnsi="Arial" w:cs="Arial"/>
          <w:b/>
          <w:color w:val="404040"/>
          <w:sz w:val="21"/>
        </w:rPr>
        <w:t>Sécuriser les flux entre le Maroc et l'Europe</w:t>
      </w:r>
      <w:r>
        <w:rPr>
          <w:rFonts w:ascii="Arial" w:hAnsi="Arial" w:cs="Arial"/>
          <w:b w:val="0"/>
          <w:color w:val="404040"/>
          <w:sz w:val="21"/>
        </w:rPr>
        <w:t xml:space="preserve"> TVA, déclarations, retenues, conventions fiscales, prix de transfert, change et facturation.</w:t>
      </w:r>
    </w:p>
    <w:p>
      <w:pPr>
        <w:pStyle w:val="ListBullet"/>
        <w:jc w:val="left"/>
      </w:pPr>
      <w:r>
        <w:rPr>
          <w:rFonts w:ascii="Arial" w:hAnsi="Arial" w:cs="Arial"/>
          <w:b/>
          <w:color w:val="404040"/>
          <w:sz w:val="21"/>
        </w:rPr>
        <w:t>Prendre une décision financière sûre</w:t>
      </w:r>
      <w:r>
        <w:rPr>
          <w:rFonts w:ascii="Arial" w:hAnsi="Arial" w:cs="Arial"/>
          <w:b w:val="0"/>
          <w:color w:val="404040"/>
          <w:sz w:val="21"/>
        </w:rPr>
        <w:t xml:space="preserve"> Étude de faisabilité, prévisions, audit, due diligence, évaluation des risques et financement de la croissance.</w:t>
      </w:r>
    </w:p>
    <w:p>
      <w:pPr>
        <w:jc w:val="left"/>
      </w:pPr>
      <w:r>
        <w:rPr>
          <w:rFonts w:ascii="Arial" w:hAnsi="Arial" w:cs="Arial"/>
          <w:b w:val="0"/>
          <w:color w:val="404040"/>
          <w:sz w:val="22"/>
        </w:rPr>
        <w:t>Cette architecture facilite la production de contenus fondés sur des situations réelles. Chaque publication peut renvoyer vers une offre, une page d'atterrissage et un rendez-vous adapté.</w:t>
      </w:r>
    </w:p>
    <w:p>
      <w:pPr>
        <w:pStyle w:val="Heading1"/>
        <w:jc w:val="left"/>
      </w:pPr>
      <w:r>
        <w:rPr>
          <w:rFonts w:ascii="Arial" w:hAnsi="Arial" w:cs="Arial"/>
          <w:b/>
          <w:color w:val="000000"/>
          <w:sz w:val="38"/>
        </w:rPr>
        <w:t>État de la présence numérique</w:t>
      </w:r>
    </w:p>
    <w:p>
      <w:pPr>
        <w:jc w:val="left"/>
      </w:pPr>
      <w:r>
        <w:rPr>
          <w:rFonts w:ascii="Arial" w:hAnsi="Arial" w:cs="Arial"/>
          <w:b w:val="0"/>
          <w:color w:val="404040"/>
          <w:sz w:val="22"/>
        </w:rPr>
        <w:t>Le site public indexé présente correctement les services et l'orientation Maroc-Europe, mais aucune liaison claire vers LinkedIn, Instagram, Facebook ou YouTube n'a été relevée. La version publique indexée contient également des compteurs à zéro et un numéro de téléphone d'exemple, alors que les fichiers locaux les plus récents indiquent 98 pour cent, plus de 15 ans d'expérience, plus de 300 dossiers, deux continents, le domaine mecfinance.ma et des coordonnées actualisées. Il faut aligner la version publiée, les résultats des moteurs de recherche et les profils sociaux avant d'envoyer du trafic payant.</w:t>
      </w:r>
    </w:p>
    <w:p>
      <w:pPr>
        <w:pStyle w:val="Heading2"/>
        <w:jc w:val="left"/>
      </w:pPr>
      <w:r>
        <w:rPr>
          <w:rFonts w:ascii="Arial" w:hAnsi="Arial" w:cs="Arial"/>
          <w:b/>
          <w:color w:val="000000"/>
          <w:sz w:val="30"/>
        </w:rPr>
        <w:t>Points forts actuels</w:t>
      </w:r>
    </w:p>
    <w:p>
      <w:pPr>
        <w:pStyle w:val="ListBullet"/>
        <w:jc w:val="left"/>
      </w:pPr>
      <w:r>
        <w:rPr>
          <w:rFonts w:ascii="Arial" w:hAnsi="Arial" w:cs="Arial"/>
          <w:b w:val="0"/>
          <w:color w:val="404040"/>
          <w:sz w:val="21"/>
        </w:rPr>
        <w:t>Un positionnement géographique et métier distinctif.</w:t>
      </w:r>
    </w:p>
    <w:p>
      <w:pPr>
        <w:pStyle w:val="ListBullet"/>
        <w:jc w:val="left"/>
      </w:pPr>
      <w:r>
        <w:rPr>
          <w:rFonts w:ascii="Arial" w:hAnsi="Arial" w:cs="Arial"/>
          <w:b w:val="0"/>
          <w:color w:val="404040"/>
          <w:sz w:val="21"/>
        </w:rPr>
        <w:t>Une identité visuelle crédible pour les services financiers.</w:t>
      </w:r>
    </w:p>
    <w:p>
      <w:pPr>
        <w:pStyle w:val="ListBullet"/>
        <w:jc w:val="left"/>
      </w:pPr>
      <w:r>
        <w:rPr>
          <w:rFonts w:ascii="Arial" w:hAnsi="Arial" w:cs="Arial"/>
          <w:b w:val="0"/>
          <w:color w:val="404040"/>
          <w:sz w:val="21"/>
        </w:rPr>
        <w:t>Une offre qui couvre le parcours du client depuis l'implantation jusqu'au pilotage et à la croissance.</w:t>
      </w:r>
    </w:p>
    <w:p>
      <w:pPr>
        <w:pStyle w:val="ListBullet"/>
        <w:jc w:val="left"/>
      </w:pPr>
      <w:r>
        <w:rPr>
          <w:rFonts w:ascii="Arial" w:hAnsi="Arial" w:cs="Arial"/>
          <w:b w:val="0"/>
          <w:color w:val="404040"/>
          <w:sz w:val="21"/>
        </w:rPr>
        <w:t>Une base technique multilingue qui peut accueillir des pages destinées aux marchés européens.</w:t>
      </w:r>
    </w:p>
    <w:p>
      <w:pPr>
        <w:pStyle w:val="ListBullet"/>
        <w:jc w:val="left"/>
      </w:pPr>
      <w:r>
        <w:rPr>
          <w:rFonts w:ascii="Arial" w:hAnsi="Arial" w:cs="Arial"/>
          <w:b w:val="0"/>
          <w:color w:val="404040"/>
          <w:sz w:val="21"/>
        </w:rPr>
        <w:t>WhatsApp et un formulaire de contact qui raccourcissent le parcours de conversion.</w:t>
      </w:r>
    </w:p>
    <w:p>
      <w:pPr>
        <w:pStyle w:val="Heading2"/>
        <w:jc w:val="left"/>
      </w:pPr>
      <w:r>
        <w:rPr>
          <w:rFonts w:ascii="Arial" w:hAnsi="Arial" w:cs="Arial"/>
          <w:b/>
          <w:color w:val="000000"/>
          <w:sz w:val="30"/>
        </w:rPr>
        <w:t>Écarts à corriger</w:t>
      </w:r>
    </w:p>
    <w:p>
      <w:pPr>
        <w:pStyle w:val="ListBullet"/>
        <w:jc w:val="left"/>
      </w:pPr>
      <w:r>
        <w:rPr>
          <w:rFonts w:ascii="Arial" w:hAnsi="Arial" w:cs="Arial"/>
          <w:b w:val="0"/>
          <w:color w:val="404040"/>
          <w:sz w:val="21"/>
        </w:rPr>
        <w:t>Absence de présence sociale clairement reliée au site et au projet.</w:t>
      </w:r>
    </w:p>
    <w:p>
      <w:pPr>
        <w:pStyle w:val="ListBullet"/>
        <w:jc w:val="left"/>
      </w:pPr>
      <w:r>
        <w:rPr>
          <w:rFonts w:ascii="Arial" w:hAnsi="Arial" w:cs="Arial"/>
          <w:b w:val="0"/>
          <w:color w:val="404040"/>
          <w:sz w:val="21"/>
        </w:rPr>
        <w:t>Peu d'articles, de guides ou de ressources permettant de démontrer l'expertise.</w:t>
      </w:r>
    </w:p>
    <w:p>
      <w:pPr>
        <w:pStyle w:val="ListBullet"/>
        <w:jc w:val="left"/>
      </w:pPr>
      <w:r>
        <w:rPr>
          <w:rFonts w:ascii="Arial" w:hAnsi="Arial" w:cs="Arial"/>
          <w:b w:val="0"/>
          <w:color w:val="404040"/>
          <w:sz w:val="21"/>
        </w:rPr>
        <w:t>Peu de preuves publiques de résultats, de cas documentés ou de témoignages vérifiés.</w:t>
      </w:r>
    </w:p>
    <w:p>
      <w:pPr>
        <w:pStyle w:val="ListBullet"/>
        <w:jc w:val="left"/>
      </w:pPr>
      <w:r>
        <w:rPr>
          <w:rFonts w:ascii="Arial" w:hAnsi="Arial" w:cs="Arial"/>
          <w:b w:val="0"/>
          <w:color w:val="404040"/>
          <w:sz w:val="21"/>
        </w:rPr>
        <w:t>Une promesse trop large pour parler avec précision à chaque public.</w:t>
      </w:r>
    </w:p>
    <w:p>
      <w:pPr>
        <w:pStyle w:val="ListBullet"/>
        <w:jc w:val="left"/>
      </w:pPr>
      <w:r>
        <w:rPr>
          <w:rFonts w:ascii="Arial" w:hAnsi="Arial" w:cs="Arial"/>
          <w:b w:val="0"/>
          <w:color w:val="404040"/>
          <w:sz w:val="21"/>
        </w:rPr>
        <w:t>Des informations publiques anciennes susceptibles de réduire la confiance.</w:t>
      </w:r>
    </w:p>
    <w:p>
      <w:pPr>
        <w:pStyle w:val="Heading1"/>
        <w:jc w:val="left"/>
      </w:pPr>
      <w:r>
        <w:rPr>
          <w:rFonts w:ascii="Arial" w:hAnsi="Arial" w:cs="Arial"/>
          <w:b/>
          <w:color w:val="000000"/>
          <w:sz w:val="38"/>
        </w:rPr>
        <w:t>Potentiel numérique au Maroc</w:t>
      </w:r>
    </w:p>
    <w:p>
      <w:pPr>
        <w:jc w:val="left"/>
      </w:pPr>
      <w:r>
        <w:rPr>
          <w:rFonts w:ascii="Arial" w:hAnsi="Arial" w:cs="Arial"/>
          <w:b w:val="0"/>
          <w:color w:val="404040"/>
          <w:sz w:val="22"/>
        </w:rPr>
        <w:t>Le rapport Digital 2026 Morocco estime qu'à la fin de 2025 le Maroc comptait 35,5 millions d'internautes, soit 92,2 pour cent de pénétration, et 22,8 millions d'identités actives sur les réseaux sociaux en octobre 2025. Les outils publicitaires repris dans le rapport indiquaient une portée potentielle de 22,8 millions sur Facebook, 15,1 millions sur Instagram, 16,7 millions d'adultes sur TikTok et 6,90 millions de membres sur LinkedIn. Ces chiffres correspondent à des estimations publicitaires ou à des comptes enregistrés, pas nécessairement à des utilisateurs actifs mensuels. Ils servent donc à comparer les plateformes, non à calculer directement le nombre de prospects.</w:t>
      </w:r>
    </w:p>
    <w:p>
      <w:pPr>
        <w:jc w:val="left"/>
      </w:pPr>
      <w:r>
        <w:rPr>
          <w:rFonts w:ascii="Arial" w:hAnsi="Arial" w:cs="Arial"/>
          <w:b w:val="0"/>
          <w:color w:val="404040"/>
          <w:sz w:val="22"/>
        </w:rPr>
        <w:t>LinkedIn a une audience plus réduite que Facebook et Instagram, mais sa composition correspond mieux aux publics de MEC. Les recherches de LinkedIn sur les petites et moyennes entreprises montrent une forte présence de membres des comités d'achat et indiquent qu'environ un tiers des membres liés aux PME occupent des fonctions de décision élevées. Instagram et Facebook offrent une portée plus large et conviennent à la familiarité de marque, à la pédagogie simple et au reciblage local. TikTok peut être testé au troisième mois si l'équipe prouve qu'elle peut produire régulièrement des vidéos courtes et utiles.</w:t>
      </w:r>
    </w:p>
    <w:p>
      <w:pPr>
        <w:pStyle w:val="Heading1"/>
        <w:jc w:val="left"/>
      </w:pPr>
      <w:r>
        <w:rPr>
          <w:rFonts w:ascii="Arial" w:hAnsi="Arial" w:cs="Arial"/>
          <w:b/>
          <w:color w:val="000000"/>
          <w:sz w:val="38"/>
        </w:rPr>
        <w:t>Cartographie des concurrents</w:t>
      </w:r>
    </w:p>
    <w:p>
      <w:pPr>
        <w:pStyle w:val="Heading2"/>
        <w:jc w:val="left"/>
      </w:pPr>
      <w:r>
        <w:rPr>
          <w:rFonts w:ascii="Arial" w:hAnsi="Arial" w:cs="Arial"/>
          <w:b/>
          <w:color w:val="000000"/>
          <w:sz w:val="30"/>
        </w:rPr>
        <w:t>Concurrents directs à Tanger et dans le nord du Maroc</w:t>
      </w:r>
    </w:p>
    <w:p>
      <w:pPr>
        <w:keepNext/>
        <w:jc w:val="left"/>
      </w:pPr>
      <w:r>
        <w:rPr>
          <w:rFonts w:ascii="Arial" w:hAnsi="Arial" w:cs="Arial"/>
          <w:b/>
          <w:color w:val="404040"/>
          <w:sz w:val="22"/>
        </w:rPr>
        <w:t>Cabinet PFC du Nord</w:t>
      </w:r>
    </w:p>
    <w:p>
      <w:pPr>
        <w:jc w:val="left"/>
      </w:pPr>
      <w:r>
        <w:rPr>
          <w:rFonts w:ascii="Arial" w:hAnsi="Arial" w:cs="Arial"/>
          <w:b w:val="0"/>
          <w:color w:val="404040"/>
          <w:sz w:val="22"/>
        </w:rPr>
        <w:t>Le cabinet recoupe MEC en comptabilité, conseil, audit, création d'entreprise, études d'investissement et solutions numériques. Sa page LinkedIn comptait plus de 1 500 abonnés dans la dernière vue publique. L'échantillon accessible montre surtout du recrutement et des liens de services, avec une fréquence limitée et peu de contenu d'expertise. Sa force réside dans sa connaissance du marché local. Sa faiblesse marketing est l'absence de série pédagogique identifiable et de vidéo visible dans l'échantillon.</w:t>
      </w:r>
    </w:p>
    <w:p>
      <w:pPr>
        <w:keepNext/>
        <w:jc w:val="left"/>
      </w:pPr>
      <w:r>
        <w:rPr>
          <w:rFonts w:ascii="Arial" w:hAnsi="Arial" w:cs="Arial"/>
          <w:b/>
          <w:color w:val="404040"/>
          <w:sz w:val="22"/>
        </w:rPr>
        <w:t>UHY Ben Mokhtar and Co</w:t>
      </w:r>
    </w:p>
    <w:p>
      <w:pPr>
        <w:jc w:val="left"/>
      </w:pPr>
      <w:r>
        <w:rPr>
          <w:rFonts w:ascii="Arial" w:hAnsi="Arial" w:cs="Arial"/>
          <w:b w:val="0"/>
          <w:color w:val="404040"/>
          <w:sz w:val="22"/>
        </w:rPr>
        <w:t>Ce concurrent installé à Tanger appartient au réseau international UHY et propose comptabilité, droit, fiscalité, audit et due diligence. La page LinkedIn dépassait 2 200 abonnés. Les publications observées couvrent le recrutement, les fêtes nationales, les actualités du réseau et l'identité internationale. Des éléments externes confirment aussi la production d'une vidéo institutionnelle. La crédibilité du réseau et la visibilité de l'équipe constituent ses principaux atouts. Une partie importante du contenu public ne transforme toutefois pas encore cette expertise en réponses pratiques récurrentes pour les clients.</w:t>
      </w:r>
    </w:p>
    <w:p>
      <w:pPr>
        <w:keepNext/>
        <w:jc w:val="left"/>
      </w:pPr>
      <w:r>
        <w:rPr>
          <w:rFonts w:ascii="Arial" w:hAnsi="Arial" w:cs="Arial"/>
          <w:b/>
          <w:color w:val="404040"/>
          <w:sz w:val="22"/>
        </w:rPr>
        <w:t>AAFIR Audit and Consulting Morocco</w:t>
      </w:r>
    </w:p>
    <w:p>
      <w:pPr>
        <w:jc w:val="left"/>
      </w:pPr>
      <w:r>
        <w:rPr>
          <w:rFonts w:ascii="Arial" w:hAnsi="Arial" w:cs="Arial"/>
          <w:b w:val="0"/>
          <w:color w:val="404040"/>
          <w:sz w:val="22"/>
        </w:rPr>
        <w:t>Ce cabinet d'expertise comptable et d'audit, présent à Tanger et Tétouan, vise les entrepreneurs et investisseurs marocains et étrangers. Sa page comptait environ 1 800 abonnés. Les contenus récents visibles sont surtout consacrés au recrutement, tandis que les archives montrent une présence à GITEX et une présentation consacrée à la loi de finances. MEC peut se différencier par une fréquence pédagogique régulière, des vidéos d'experts et des cas pratiques.</w:t>
      </w:r>
    </w:p>
    <w:p>
      <w:pPr>
        <w:keepNext/>
        <w:jc w:val="left"/>
      </w:pPr>
      <w:r>
        <w:rPr>
          <w:rFonts w:ascii="Arial" w:hAnsi="Arial" w:cs="Arial"/>
          <w:b/>
          <w:color w:val="404040"/>
          <w:sz w:val="22"/>
        </w:rPr>
        <w:t>A and T Auditeurs Consultants</w:t>
      </w:r>
    </w:p>
    <w:p>
      <w:pPr>
        <w:jc w:val="left"/>
      </w:pPr>
      <w:r>
        <w:rPr>
          <w:rFonts w:ascii="Arial" w:hAnsi="Arial" w:cs="Arial"/>
          <w:b w:val="0"/>
          <w:color w:val="404040"/>
          <w:sz w:val="22"/>
        </w:rPr>
        <w:t>L'offre comprend expertise comptable, audit, fiscalité, paie, IFRS et création de sociétés étrangères au Maroc. Le chevauchement commercial avec MEC est élevé. La présence publique vérifiable présente davantage l'entreprise et ses recrutements qu'un moteur éditorial continu. Il s'agit d'un concurrent commercial direct, mais pas d'un modèle créatif prioritaire.</w:t>
      </w:r>
    </w:p>
    <w:p>
      <w:pPr>
        <w:keepNext/>
        <w:jc w:val="left"/>
      </w:pPr>
      <w:r>
        <w:rPr>
          <w:rFonts w:ascii="Arial" w:hAnsi="Arial" w:cs="Arial"/>
          <w:b/>
          <w:color w:val="404040"/>
          <w:sz w:val="22"/>
        </w:rPr>
        <w:t>Cabinet Dami and Associés</w:t>
      </w:r>
    </w:p>
    <w:p>
      <w:pPr>
        <w:jc w:val="left"/>
      </w:pPr>
      <w:r>
        <w:rPr>
          <w:rFonts w:ascii="Arial" w:hAnsi="Arial" w:cs="Arial"/>
          <w:b w:val="0"/>
          <w:color w:val="404040"/>
          <w:sz w:val="22"/>
        </w:rPr>
        <w:t>Le cabinet met en avant les zones franches et industrielles ainsi que l'implantation des investisseurs à Tanger, avec une expérience déclarée depuis 1991. Son site spécialisé relie directement l'offre aux avantages fiscaux et logistiques. Il illustre la puissance d'une page de niche : une promesse spécialisée peut convaincre davantage qu'une présentation généraliste. MEC peut élargir cette logique en couvrant l'avant-projet, l'implantation, le pilotage et les échanges avec l'Europe.</w:t>
      </w:r>
    </w:p>
    <w:p>
      <w:pPr>
        <w:keepNext/>
        <w:jc w:val="left"/>
      </w:pPr>
      <w:r>
        <w:rPr>
          <w:rFonts w:ascii="Arial" w:hAnsi="Arial" w:cs="Arial"/>
          <w:b/>
          <w:color w:val="404040"/>
          <w:sz w:val="22"/>
        </w:rPr>
        <w:t>CCME Consulting Maghreb Expertise</w:t>
      </w:r>
    </w:p>
    <w:p>
      <w:pPr>
        <w:jc w:val="left"/>
      </w:pPr>
      <w:r>
        <w:rPr>
          <w:rFonts w:ascii="Arial" w:hAnsi="Arial" w:cs="Arial"/>
          <w:b w:val="0"/>
          <w:color w:val="404040"/>
          <w:sz w:val="22"/>
        </w:rPr>
        <w:t>Le site publie un contenu à forte intention sur le conseil fiscal à Tanger. Il expose les étapes de travail, utilise des exemples chiffrés et des cas sectoriels, puis oriente vers une demande de devis ou WhatsApp. Même si son activité sociale est moins facile à vérifier publiquement, il constitue un bon exemple de conversion depuis la recherche. La leçon principale est qu'une page de service convaincante explique le diagnostic, l'exécution, le résultat attendu et les limites de la mission.</w:t>
      </w:r>
    </w:p>
    <w:p>
      <w:pPr>
        <w:pStyle w:val="Heading2"/>
        <w:jc w:val="left"/>
      </w:pPr>
      <w:r>
        <w:rPr>
          <w:rFonts w:ascii="Arial" w:hAnsi="Arial" w:cs="Arial"/>
          <w:b/>
          <w:color w:val="000000"/>
          <w:sz w:val="30"/>
        </w:rPr>
        <w:t>Concurrents proches du positionnement Maroc Europe</w:t>
      </w:r>
    </w:p>
    <w:p>
      <w:pPr>
        <w:keepNext/>
        <w:jc w:val="left"/>
      </w:pPr>
      <w:r>
        <w:rPr>
          <w:rFonts w:ascii="Arial" w:hAnsi="Arial" w:cs="Arial"/>
          <w:b/>
          <w:color w:val="404040"/>
          <w:sz w:val="22"/>
        </w:rPr>
        <w:t>FAIR UP Advisory</w:t>
      </w:r>
    </w:p>
    <w:p>
      <w:pPr>
        <w:jc w:val="left"/>
      </w:pPr>
      <w:r>
        <w:rPr>
          <w:rFonts w:ascii="Arial" w:hAnsi="Arial" w:cs="Arial"/>
          <w:b w:val="0"/>
          <w:color w:val="404040"/>
          <w:sz w:val="22"/>
        </w:rPr>
        <w:t>FAIR UP est le concurrent stratégique le plus proche de MEC. Il accompagne l'implantation, l'investissement, l'exploitation et l'externalisation entre le Maroc et la France. Sa page est récente et relativement petite, mais l'échantillon observé montre environ deux publications par semaine. Les textes sont longs et abordent le pilotage à distance, l'organisation, les risques et la croissance. Le site présente également des forfaits et des prix lisibles. La force vient du message direct adressé à l'investisseur européen. Les formulations parfois générales et la faible présence de preuves visuelles ou de vidéo laissent à MEC une marge de différenciation.</w:t>
      </w:r>
    </w:p>
    <w:p>
      <w:pPr>
        <w:keepNext/>
        <w:jc w:val="left"/>
      </w:pPr>
      <w:r>
        <w:rPr>
          <w:rFonts w:ascii="Arial" w:hAnsi="Arial" w:cs="Arial"/>
          <w:b/>
          <w:color w:val="404040"/>
          <w:sz w:val="22"/>
        </w:rPr>
        <w:t>Upsilon Consulting</w:t>
      </w:r>
    </w:p>
    <w:p>
      <w:pPr>
        <w:jc w:val="left"/>
      </w:pPr>
      <w:r>
        <w:rPr>
          <w:rFonts w:ascii="Arial" w:hAnsi="Arial" w:cs="Arial"/>
          <w:b w:val="0"/>
          <w:color w:val="404040"/>
          <w:sz w:val="22"/>
        </w:rPr>
        <w:t>Upsilon est la référence locale la plus aboutie de cet échantillon. Sa page approche 11 000 abonnés et publie plusieurs fois par semaine sur la fiscalité, les exonérations, les formes juridiques, l'offshoring, le droit comptable et l'investissement. Les contenus utilisent textes, visuels, liens, vidéos et articles. Le site propose des ressources multilingues, une newsletter, des indicateurs de confiance et une équipe visible. La densité des textes et la répétition de certains sujets ouvrent une opportunité pour MEC : traiter les mêmes problèmes avec une exécution plus visuelle et des exemples propres au corridor Tanger-Europe.</w:t>
      </w:r>
    </w:p>
    <w:p>
      <w:pPr>
        <w:keepNext/>
        <w:jc w:val="left"/>
      </w:pPr>
      <w:r>
        <w:rPr>
          <w:rFonts w:ascii="Arial" w:hAnsi="Arial" w:cs="Arial"/>
          <w:b/>
          <w:color w:val="404040"/>
          <w:sz w:val="22"/>
        </w:rPr>
        <w:t>MCCG Majd Chraibi Consulting Group</w:t>
      </w:r>
    </w:p>
    <w:p>
      <w:pPr>
        <w:jc w:val="left"/>
      </w:pPr>
      <w:r>
        <w:rPr>
          <w:rFonts w:ascii="Arial" w:hAnsi="Arial" w:cs="Arial"/>
          <w:b w:val="0"/>
          <w:color w:val="404040"/>
          <w:sz w:val="22"/>
        </w:rPr>
        <w:t>MCCG combine la page de l'entreprise et la présence de l'associé fondateur. Les publications traitent notamment des défaillances d'entreprises, de la facturation électronique, des aides publiques et de secteurs comme l'énergie solaire. Elles utilisent des photos, des liens vers la presse et des appels au contact. Pour MEC, la leçon est opérationnelle : le profil personnel d'un expert peut générer davantage de portée et de confiance que la page de l'entreprise seule.</w:t>
      </w:r>
    </w:p>
    <w:p>
      <w:pPr>
        <w:pStyle w:val="Heading2"/>
        <w:jc w:val="left"/>
      </w:pPr>
      <w:r>
        <w:rPr>
          <w:rFonts w:ascii="Arial" w:hAnsi="Arial" w:cs="Arial"/>
          <w:b/>
          <w:color w:val="000000"/>
          <w:sz w:val="30"/>
        </w:rPr>
        <w:t>Références de marché</w:t>
      </w:r>
    </w:p>
    <w:p>
      <w:pPr>
        <w:keepNext/>
        <w:jc w:val="left"/>
      </w:pPr>
      <w:r>
        <w:rPr>
          <w:rFonts w:ascii="Arial" w:hAnsi="Arial" w:cs="Arial"/>
          <w:b/>
          <w:color w:val="404040"/>
          <w:sz w:val="22"/>
        </w:rPr>
        <w:t>BDO Morocco</w:t>
      </w:r>
    </w:p>
    <w:p>
      <w:pPr>
        <w:jc w:val="left"/>
      </w:pPr>
      <w:r>
        <w:rPr>
          <w:rFonts w:ascii="Arial" w:hAnsi="Arial" w:cs="Arial"/>
          <w:b w:val="0"/>
          <w:color w:val="404040"/>
          <w:sz w:val="22"/>
        </w:rPr>
        <w:t>BDO utilise un mix comprenant une série Quiz deux fois par semaine, des sujets CFO et transformation numérique, des webinaires, des vidéos, des interviews, des événements, des actions de responsabilité sociale et des dates nationales. La page dépassait 41 000 abonnés. La pratique la plus utile pour MEC est la série éditoriale qui possède un nom, un format et un rendez-vous connus.</w:t>
      </w:r>
    </w:p>
    <w:p>
      <w:pPr>
        <w:keepNext/>
        <w:jc w:val="left"/>
      </w:pPr>
      <w:r>
        <w:rPr>
          <w:rFonts w:ascii="Arial" w:hAnsi="Arial" w:cs="Arial"/>
          <w:b/>
          <w:color w:val="404040"/>
          <w:sz w:val="22"/>
        </w:rPr>
        <w:t>PwC au Maroc</w:t>
      </w:r>
    </w:p>
    <w:p>
      <w:pPr>
        <w:jc w:val="left"/>
      </w:pPr>
      <w:r>
        <w:rPr>
          <w:rFonts w:ascii="Arial" w:hAnsi="Arial" w:cs="Arial"/>
          <w:b w:val="0"/>
          <w:color w:val="404040"/>
          <w:sz w:val="22"/>
        </w:rPr>
        <w:t>La page dépassait 109 000 abonnés. L'échantillon comprend vidéos d'événements, interviews d'experts, études, photos, marque employeur, diversité et transformation numérique. La force vient de la présence des personnes et de l'expertise dans des situations réelles, plutôt que d'une succession de cartes d'information anonymes.</w:t>
      </w:r>
    </w:p>
    <w:p>
      <w:pPr>
        <w:keepNext/>
        <w:jc w:val="left"/>
      </w:pPr>
      <w:r>
        <w:rPr>
          <w:rFonts w:ascii="Arial" w:hAnsi="Arial" w:cs="Arial"/>
          <w:b/>
          <w:color w:val="404040"/>
          <w:sz w:val="22"/>
        </w:rPr>
        <w:t>Fidaroc Grant Thornton</w:t>
      </w:r>
    </w:p>
    <w:p>
      <w:pPr>
        <w:jc w:val="left"/>
      </w:pPr>
      <w:r>
        <w:rPr>
          <w:rFonts w:ascii="Arial" w:hAnsi="Arial" w:cs="Arial"/>
          <w:b w:val="0"/>
          <w:color w:val="404040"/>
          <w:sz w:val="22"/>
        </w:rPr>
        <w:t>La page dépassait 33 000 abonnés. Elle publie des offres d'emploi, des événements, des forums, des notes fiscales, des contenus sur la loi de finances et des rapports. La marque employeur et les relations professionnelles sont fortes. Le risque à éviter est également visible : lorsque le recrutement domine, la page devient un canal RH et perd sa capacité à répondre aux besoins des clients.</w:t>
      </w:r>
    </w:p>
    <w:p>
      <w:pPr>
        <w:keepNext/>
        <w:jc w:val="left"/>
      </w:pPr>
      <w:r>
        <w:rPr>
          <w:rFonts w:ascii="Arial" w:hAnsi="Arial" w:cs="Arial"/>
          <w:b/>
          <w:color w:val="404040"/>
          <w:sz w:val="22"/>
        </w:rPr>
        <w:t>Forvis Mazars au Maroc</w:t>
      </w:r>
    </w:p>
    <w:p>
      <w:pPr>
        <w:jc w:val="left"/>
      </w:pPr>
      <w:r>
        <w:rPr>
          <w:rFonts w:ascii="Arial" w:hAnsi="Arial" w:cs="Arial"/>
          <w:b w:val="0"/>
          <w:color w:val="404040"/>
          <w:sz w:val="22"/>
        </w:rPr>
        <w:t>Les contenus publics mettent en avant la culture d'équipe, la mobilité internationale et l'expertise transfrontalière. MEC ne doit pas imiter les moyens d'un grand réseau. Elle peut traduire cette idée en histoires plus petites et plus crédibles, filmées à Tanger et liées à des situations concrètes avec des clients européens.</w:t>
      </w:r>
    </w:p>
    <w:p>
      <w:pPr>
        <w:pStyle w:val="Heading1"/>
        <w:jc w:val="left"/>
      </w:pPr>
      <w:r>
        <w:rPr>
          <w:rFonts w:ascii="Arial" w:hAnsi="Arial" w:cs="Arial"/>
          <w:b/>
          <w:color w:val="000000"/>
          <w:sz w:val="38"/>
        </w:rPr>
        <w:t>Comparaison de la maturité marketing</w:t>
      </w:r>
    </w:p>
    <w:p>
      <w:pPr>
        <w:jc w:val="left"/>
      </w:pPr>
      <w:r>
        <w:rPr>
          <w:rFonts w:ascii="Arial" w:hAnsi="Arial" w:cs="Arial"/>
          <w:b w:val="0"/>
          <w:color w:val="404040"/>
          <w:sz w:val="22"/>
        </w:rPr>
        <w:t>Les notes ci-dessous représentent une appréciation analytique sur cinq fondée sur l'échantillon public disponible. Elles ne mesurent pas les performances internes des entreprises.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8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Entreprise</w:t>
            </w:r>
          </w:p>
        </w:tc>
        <w:tc>
          <w:tcPr>
            <w:tcW w:type="dxa" w:w="792"/>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Proximité avec MEC</w:t>
            </w:r>
          </w:p>
        </w:tc>
        <w:tc>
          <w:tcPr>
            <w:tcW w:type="dxa" w:w="936"/>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Régularité</w:t>
            </w:r>
          </w:p>
        </w:tc>
        <w:tc>
          <w:tcPr>
            <w:tcW w:type="dxa" w:w="10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Variété et vidéo</w:t>
            </w:r>
          </w:p>
        </w:tc>
        <w:tc>
          <w:tcPr>
            <w:tcW w:type="dxa" w:w="10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Conversion</w:t>
            </w:r>
          </w:p>
        </w:tc>
        <w:tc>
          <w:tcPr>
            <w:tcW w:type="dxa" w:w="338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Enseignement principal</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PFC du Nord</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Offre large mais page peu exploitée comme média d'expertise</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UHY Ben Mokhtar</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Le réseau international et l'équipe créent la confiance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AAFIR</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L'agrément professionnel seul ne produit pas une différence durable</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 and T</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Chevauchement commercial élevé mais contenu public limité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Cabinet Dami</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Une spécialisation zones franches facilite la décision</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CCME</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Méthode, exemples et WhatsApp raccourcissent la conversion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FAIR UP Advisory</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Positionnement clair sur le corridor Maroc-France</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Upsilon Consulting</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Moteur éditorial relié au référencement et aux ressources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MCCG</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Le fondateur renforce la portée de la page entreprise</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BDO Morocco</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Séries, vidéo et événements créent une présence mémorisable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PwC au Maroc</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Les personnes, les études et le terrain donnent de l'échelle</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Fidaroc Grant Thornton</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Recrutement et fiscalité soutiennent l'autorité mais doivent rester équilibrés</w:t>
            </w:r>
          </w:p>
        </w:tc>
      </w:tr>
    </w:tbl>
    <w:p>
      <w:pPr>
        <w:spacing w:after="40"/>
      </w:pPr>
    </w:p>
    <w:p>
      <w:pPr>
        <w:pStyle w:val="Heading1"/>
        <w:jc w:val="left"/>
      </w:pPr>
      <w:r>
        <w:rPr>
          <w:rFonts w:ascii="Arial" w:hAnsi="Arial" w:cs="Arial"/>
          <w:b/>
          <w:color w:val="000000"/>
          <w:sz w:val="38"/>
        </w:rPr>
        <w:t>Pratiques qui fonctionnent</w:t>
      </w:r>
    </w:p>
    <w:p>
      <w:pPr>
        <w:pStyle w:val="Heading2"/>
        <w:jc w:val="left"/>
      </w:pPr>
      <w:r>
        <w:rPr>
          <w:rFonts w:ascii="Arial" w:hAnsi="Arial" w:cs="Arial"/>
          <w:b/>
          <w:color w:val="000000"/>
          <w:sz w:val="30"/>
        </w:rPr>
        <w:t>Partir d'un problème réel</w:t>
      </w:r>
    </w:p>
    <w:p>
      <w:pPr>
        <w:jc w:val="left"/>
      </w:pPr>
      <w:r>
        <w:rPr>
          <w:rFonts w:ascii="Arial" w:hAnsi="Arial" w:cs="Arial"/>
          <w:b w:val="0"/>
          <w:color w:val="404040"/>
          <w:sz w:val="22"/>
        </w:rPr>
        <w:t>Les contenus les plus utiles répondent à une question précise : TVA, délais de paiement, forme juridique, clôture, tableau de bord ou gestion d'une filiale à distance. Ils donnent au lecteur un élément à conserver, à partager ou à utiliser immédiatement.</w:t>
      </w:r>
    </w:p>
    <w:p>
      <w:pPr>
        <w:pStyle w:val="Heading2"/>
        <w:jc w:val="left"/>
      </w:pPr>
      <w:r>
        <w:rPr>
          <w:rFonts w:ascii="Arial" w:hAnsi="Arial" w:cs="Arial"/>
          <w:b/>
          <w:color w:val="000000"/>
          <w:sz w:val="30"/>
        </w:rPr>
        <w:t>Montrer l'expert</w:t>
      </w:r>
    </w:p>
    <w:p>
      <w:pPr>
        <w:jc w:val="left"/>
      </w:pPr>
      <w:r>
        <w:rPr>
          <w:rFonts w:ascii="Arial" w:hAnsi="Arial" w:cs="Arial"/>
          <w:b w:val="0"/>
          <w:color w:val="404040"/>
          <w:sz w:val="22"/>
        </w:rPr>
        <w:t>Dans les services professionnels, le client achète la capacité de jugement de personnes identifiables. Upsilon, MCCG, BDO et PwC associent régulièrement un visage ou une voix à l'expertise. MEC doit faire apparaître au moins un expert chaque semaine, même avec une production simple au bureau.</w:t>
      </w:r>
    </w:p>
    <w:p>
      <w:pPr>
        <w:pStyle w:val="Heading2"/>
        <w:jc w:val="left"/>
      </w:pPr>
      <w:r>
        <w:rPr>
          <w:rFonts w:ascii="Arial" w:hAnsi="Arial" w:cs="Arial"/>
          <w:b/>
          <w:color w:val="000000"/>
          <w:sz w:val="30"/>
        </w:rPr>
        <w:t>Installer des séries</w:t>
      </w:r>
    </w:p>
    <w:p>
      <w:pPr>
        <w:jc w:val="left"/>
      </w:pPr>
      <w:r>
        <w:rPr>
          <w:rFonts w:ascii="Arial" w:hAnsi="Arial" w:cs="Arial"/>
          <w:b w:val="0"/>
          <w:color w:val="404040"/>
          <w:sz w:val="22"/>
        </w:rPr>
        <w:t xml:space="preserve">Une série fixe réduit l'effort de création et augmente la reconnaissance. Le Quiz de BDO en est un exemple. MEC peut installer des rendez-vous tels que </w:t>
      </w:r>
      <w:r>
        <w:rPr>
          <w:rFonts w:ascii="Arial" w:hAnsi="Arial" w:cs="Arial"/>
          <w:b/>
          <w:color w:val="404040"/>
          <w:sz w:val="22"/>
        </w:rPr>
        <w:t>La minute MEC</w:t>
      </w:r>
      <w:r>
        <w:rPr>
          <w:rFonts w:ascii="Arial" w:hAnsi="Arial" w:cs="Arial"/>
          <w:b w:val="0"/>
          <w:color w:val="404040"/>
          <w:sz w:val="22"/>
        </w:rPr>
        <w:t xml:space="preserve">, </w:t>
      </w:r>
      <w:r>
        <w:rPr>
          <w:rFonts w:ascii="Arial" w:hAnsi="Arial" w:cs="Arial"/>
          <w:b/>
          <w:color w:val="404040"/>
          <w:sz w:val="22"/>
        </w:rPr>
        <w:t>Entre deux rives</w:t>
      </w:r>
      <w:r>
        <w:rPr>
          <w:rFonts w:ascii="Arial" w:hAnsi="Arial" w:cs="Arial"/>
          <w:b w:val="0"/>
          <w:color w:val="404040"/>
          <w:sz w:val="22"/>
        </w:rPr>
        <w:t xml:space="preserve">, </w:t>
      </w:r>
      <w:r>
        <w:rPr>
          <w:rFonts w:ascii="Arial" w:hAnsi="Arial" w:cs="Arial"/>
          <w:b/>
          <w:color w:val="404040"/>
          <w:sz w:val="22"/>
        </w:rPr>
        <w:t>Avant l'échéance</w:t>
      </w:r>
      <w:r>
        <w:rPr>
          <w:rFonts w:ascii="Arial" w:hAnsi="Arial" w:cs="Arial"/>
          <w:b w:val="0"/>
          <w:color w:val="404040"/>
          <w:sz w:val="22"/>
        </w:rPr>
        <w:t xml:space="preserve">, </w:t>
      </w:r>
      <w:r>
        <w:rPr>
          <w:rFonts w:ascii="Arial" w:hAnsi="Arial" w:cs="Arial"/>
          <w:b/>
          <w:color w:val="404040"/>
          <w:sz w:val="22"/>
        </w:rPr>
        <w:t>Le dossier sur la table</w:t>
      </w:r>
      <w:r>
        <w:rPr>
          <w:rFonts w:ascii="Arial" w:hAnsi="Arial" w:cs="Arial"/>
          <w:b w:val="0"/>
          <w:color w:val="404040"/>
          <w:sz w:val="22"/>
        </w:rPr>
        <w:t xml:space="preserve">, </w:t>
      </w:r>
      <w:r>
        <w:rPr>
          <w:rFonts w:ascii="Arial" w:hAnsi="Arial" w:cs="Arial"/>
          <w:b/>
          <w:color w:val="404040"/>
          <w:sz w:val="22"/>
        </w:rPr>
        <w:t>Un chiffre pour décider</w:t>
      </w:r>
      <w:r>
        <w:rPr>
          <w:rFonts w:ascii="Arial" w:hAnsi="Arial" w:cs="Arial"/>
          <w:b w:val="0"/>
          <w:color w:val="404040"/>
          <w:sz w:val="22"/>
        </w:rPr>
        <w:t xml:space="preserve"> et </w:t>
      </w:r>
      <w:r>
        <w:rPr>
          <w:rFonts w:ascii="Arial" w:hAnsi="Arial" w:cs="Arial"/>
          <w:b/>
          <w:color w:val="404040"/>
          <w:sz w:val="22"/>
        </w:rPr>
        <w:t>La question du dirigeant</w:t>
      </w:r>
      <w:r>
        <w:rPr>
          <w:rFonts w:ascii="Arial" w:hAnsi="Arial" w:cs="Arial"/>
          <w:b w:val="0"/>
          <w:color w:val="404040"/>
          <w:sz w:val="22"/>
        </w:rPr>
        <w:t>.</w:t>
      </w:r>
    </w:p>
    <w:p>
      <w:pPr>
        <w:pStyle w:val="Heading2"/>
        <w:jc w:val="left"/>
      </w:pPr>
      <w:r>
        <w:rPr>
          <w:rFonts w:ascii="Arial" w:hAnsi="Arial" w:cs="Arial"/>
          <w:b/>
          <w:color w:val="000000"/>
          <w:sz w:val="30"/>
        </w:rPr>
        <w:t>Relier la publication à une ressource</w:t>
      </w:r>
    </w:p>
    <w:p>
      <w:pPr>
        <w:jc w:val="left"/>
      </w:pPr>
      <w:r>
        <w:rPr>
          <w:rFonts w:ascii="Arial" w:hAnsi="Arial" w:cs="Arial"/>
          <w:b w:val="0"/>
          <w:color w:val="404040"/>
          <w:sz w:val="22"/>
        </w:rPr>
        <w:t>Upsilon relie ses publications à des articles et à une newsletter. CCME relie ses pages à une demande de devis et à WhatsApp. Une publication MEC doit orienter vers une prochaine étape cohérente : checklist, page spécialisée, inscription à une session ou rendez-vous de diagnostic.</w:t>
      </w:r>
    </w:p>
    <w:p>
      <w:pPr>
        <w:pStyle w:val="Heading2"/>
        <w:jc w:val="left"/>
      </w:pPr>
      <w:r>
        <w:rPr>
          <w:rFonts w:ascii="Arial" w:hAnsi="Arial" w:cs="Arial"/>
          <w:b/>
          <w:color w:val="000000"/>
          <w:sz w:val="30"/>
        </w:rPr>
        <w:t>Donner une place centrale à la vidéo</w:t>
      </w:r>
    </w:p>
    <w:p>
      <w:pPr>
        <w:jc w:val="left"/>
      </w:pPr>
      <w:r>
        <w:rPr>
          <w:rFonts w:ascii="Arial" w:hAnsi="Arial" w:cs="Arial"/>
          <w:b w:val="0"/>
          <w:color w:val="404040"/>
          <w:sz w:val="22"/>
        </w:rPr>
        <w:t>LinkedIn indique une progression de 36 pour cent de l'audience vidéo en 2024 et recommande, pour le B2B, des formats courts, explicatifs, incarnés et sous-titrés. Les travaux LinkedIn et Ipsos publiés en 2025 présentent la vidéo comme un levier de confiance, de mémorisation et de conversion. Meta recommande le format vertical 9 sur 16, le son et le respect des zones de sécurité pour les Reels. Ces résultats généraux justifient un test régulier, mais MEC doit mesurer ses propres performances.</w:t>
      </w:r>
    </w:p>
    <w:p>
      <w:pPr>
        <w:pStyle w:val="Heading1"/>
        <w:jc w:val="left"/>
      </w:pPr>
      <w:r>
        <w:rPr>
          <w:rFonts w:ascii="Arial" w:hAnsi="Arial" w:cs="Arial"/>
          <w:b/>
          <w:color w:val="000000"/>
          <w:sz w:val="38"/>
        </w:rPr>
        <w:t>Pratiques à éviter</w:t>
      </w:r>
    </w:p>
    <w:p>
      <w:pPr>
        <w:pStyle w:val="ListBullet"/>
        <w:jc w:val="left"/>
      </w:pPr>
      <w:r>
        <w:rPr>
          <w:rFonts w:ascii="Arial" w:hAnsi="Arial" w:cs="Arial"/>
          <w:b w:val="0"/>
          <w:color w:val="404040"/>
          <w:sz w:val="21"/>
        </w:rPr>
        <w:t>Publier principalement des recrutements et des célébrations sans répondre aux problèmes des clients.</w:t>
      </w:r>
    </w:p>
    <w:p>
      <w:pPr>
        <w:pStyle w:val="ListBullet"/>
        <w:jc w:val="left"/>
      </w:pPr>
      <w:r>
        <w:rPr>
          <w:rFonts w:ascii="Arial" w:hAnsi="Arial" w:cs="Arial"/>
          <w:b w:val="0"/>
          <w:color w:val="404040"/>
          <w:sz w:val="21"/>
        </w:rPr>
        <w:t>Utiliser des citations générales sur la réussite ou la confiance sans exemple, preuve ou démarche.</w:t>
      </w:r>
    </w:p>
    <w:p>
      <w:pPr>
        <w:pStyle w:val="ListBullet"/>
        <w:jc w:val="left"/>
      </w:pPr>
      <w:r>
        <w:rPr>
          <w:rFonts w:ascii="Arial" w:hAnsi="Arial" w:cs="Arial"/>
          <w:b w:val="0"/>
          <w:color w:val="404040"/>
          <w:sz w:val="21"/>
        </w:rPr>
        <w:t>Répéter des listes de services dans chaque publication.</w:t>
      </w:r>
    </w:p>
    <w:p>
      <w:pPr>
        <w:pStyle w:val="ListBullet"/>
        <w:jc w:val="left"/>
      </w:pPr>
      <w:r>
        <w:rPr>
          <w:rFonts w:ascii="Arial" w:hAnsi="Arial" w:cs="Arial"/>
          <w:b w:val="0"/>
          <w:color w:val="404040"/>
          <w:sz w:val="21"/>
        </w:rPr>
        <w:t>Consacrer un visuel entier à cinq thèmes différents.</w:t>
      </w:r>
    </w:p>
    <w:p>
      <w:pPr>
        <w:pStyle w:val="ListBullet"/>
        <w:jc w:val="left"/>
      </w:pPr>
      <w:r>
        <w:rPr>
          <w:rFonts w:ascii="Arial" w:hAnsi="Arial" w:cs="Arial"/>
          <w:b w:val="0"/>
          <w:color w:val="404040"/>
          <w:sz w:val="21"/>
        </w:rPr>
        <w:t>Employer des images de banque génériques sans lien avec Tanger, le Maroc ou l'Europe.</w:t>
      </w:r>
    </w:p>
    <w:p>
      <w:pPr>
        <w:pStyle w:val="ListBullet"/>
        <w:jc w:val="left"/>
      </w:pPr>
      <w:r>
        <w:rPr>
          <w:rFonts w:ascii="Arial" w:hAnsi="Arial" w:cs="Arial"/>
          <w:b w:val="0"/>
          <w:color w:val="404040"/>
          <w:sz w:val="21"/>
        </w:rPr>
        <w:t>Promettre des économies, des financements ou des résultats sans condition ni preuve.</w:t>
      </w:r>
    </w:p>
    <w:p>
      <w:pPr>
        <w:pStyle w:val="ListBullet"/>
        <w:jc w:val="left"/>
      </w:pPr>
      <w:r>
        <w:rPr>
          <w:rFonts w:ascii="Arial" w:hAnsi="Arial" w:cs="Arial"/>
          <w:b w:val="0"/>
          <w:color w:val="404040"/>
          <w:sz w:val="21"/>
        </w:rPr>
        <w:t>Ajouter plusieurs appels à l'action concurrents dans une même publication.</w:t>
      </w:r>
    </w:p>
    <w:p>
      <w:pPr>
        <w:pStyle w:val="ListBullet"/>
        <w:jc w:val="left"/>
      </w:pPr>
      <w:r>
        <w:rPr>
          <w:rFonts w:ascii="Arial" w:hAnsi="Arial" w:cs="Arial"/>
          <w:b w:val="0"/>
          <w:color w:val="404040"/>
          <w:sz w:val="21"/>
        </w:rPr>
        <w:t>Lancer une prospection directe ou une publicité sans validation de conformité.</w:t>
      </w:r>
    </w:p>
    <w:p>
      <w:pPr>
        <w:pStyle w:val="Heading1"/>
        <w:jc w:val="left"/>
      </w:pPr>
      <w:r>
        <w:rPr>
          <w:rFonts w:ascii="Arial" w:hAnsi="Arial" w:cs="Arial"/>
          <w:b/>
          <w:color w:val="000000"/>
          <w:sz w:val="38"/>
        </w:rPr>
        <w:t>Positionnement recommandé</w:t>
      </w:r>
    </w:p>
    <w:p>
      <w:pPr>
        <w:pStyle w:val="Heading2"/>
        <w:jc w:val="left"/>
      </w:pPr>
      <w:r>
        <w:rPr>
          <w:rFonts w:ascii="Arial" w:hAnsi="Arial" w:cs="Arial"/>
          <w:b/>
          <w:color w:val="000000"/>
          <w:sz w:val="30"/>
        </w:rPr>
        <w:t>Catégorie à occuper</w:t>
      </w:r>
    </w:p>
    <w:p>
      <w:pPr>
        <w:keepNext/>
        <w:jc w:val="left"/>
      </w:pPr>
      <w:r>
        <w:rPr>
          <w:rFonts w:ascii="Arial" w:hAnsi="Arial" w:cs="Arial"/>
          <w:b/>
          <w:color w:val="404040"/>
          <w:sz w:val="22"/>
        </w:rPr>
        <w:t>MEC Finance est le cabinet qui relie la décision financière locale et l'exécution opérationnelle entre le Maroc et l'Europe.</w:t>
      </w:r>
    </w:p>
    <w:p>
      <w:pPr>
        <w:jc w:val="left"/>
      </w:pPr>
      <w:r>
        <w:rPr>
          <w:rFonts w:ascii="Arial" w:hAnsi="Arial" w:cs="Arial"/>
          <w:b w:val="0"/>
          <w:color w:val="404040"/>
          <w:sz w:val="22"/>
        </w:rPr>
        <w:t>Cette formulation est plus précise qu'un simple cabinet de conseil. Elle permet de parler à l'investisseur européen, à la filiale marocaine et à l'entreprise marocaine qui facture ou se développe en Europe.</w:t>
      </w:r>
    </w:p>
    <w:p>
      <w:pPr>
        <w:pStyle w:val="Heading2"/>
        <w:jc w:val="left"/>
      </w:pPr>
      <w:r>
        <w:rPr>
          <w:rFonts w:ascii="Arial" w:hAnsi="Arial" w:cs="Arial"/>
          <w:b/>
          <w:color w:val="000000"/>
          <w:sz w:val="30"/>
        </w:rPr>
        <w:t>Promesse de marque</w:t>
      </w:r>
    </w:p>
    <w:p>
      <w:pPr>
        <w:jc w:val="left"/>
      </w:pPr>
      <w:r>
        <w:rPr>
          <w:rFonts w:ascii="Arial" w:hAnsi="Arial" w:cs="Arial"/>
          <w:b w:val="0"/>
          <w:color w:val="404040"/>
          <w:sz w:val="22"/>
        </w:rPr>
        <w:t>Des décisions financières plus claires et une exécution plus sûre de part et d'autre de la Méditerranée.</w:t>
      </w:r>
    </w:p>
    <w:p>
      <w:pPr>
        <w:jc w:val="left"/>
      </w:pPr>
      <w:r>
        <w:rPr>
          <w:rFonts w:ascii="Arial" w:hAnsi="Arial" w:cs="Arial"/>
          <w:b w:val="0"/>
          <w:color w:val="404040"/>
          <w:sz w:val="22"/>
        </w:rPr>
        <w:t>Cette promesse doit guider le contenu. Elle ne constitue pas une garantie de résultat financier.</w:t>
      </w:r>
    </w:p>
    <w:p>
      <w:pPr>
        <w:pStyle w:val="Heading2"/>
        <w:jc w:val="left"/>
      </w:pPr>
      <w:r>
        <w:rPr>
          <w:rFonts w:ascii="Arial" w:hAnsi="Arial" w:cs="Arial"/>
          <w:b/>
          <w:color w:val="000000"/>
          <w:sz w:val="30"/>
        </w:rPr>
        <w:t>Preuves à construire</w:t>
      </w:r>
    </w:p>
    <w:p>
      <w:pPr>
        <w:pStyle w:val="ListBullet"/>
        <w:jc w:val="left"/>
      </w:pPr>
      <w:r>
        <w:rPr>
          <w:rFonts w:ascii="Arial" w:hAnsi="Arial" w:cs="Arial"/>
          <w:b w:val="0"/>
          <w:color w:val="404040"/>
          <w:sz w:val="21"/>
        </w:rPr>
        <w:t>Des contenus signés par de vrais experts avec leur fonction.</w:t>
      </w:r>
    </w:p>
    <w:p>
      <w:pPr>
        <w:pStyle w:val="ListBullet"/>
        <w:jc w:val="left"/>
      </w:pPr>
      <w:r>
        <w:rPr>
          <w:rFonts w:ascii="Arial" w:hAnsi="Arial" w:cs="Arial"/>
          <w:b w:val="0"/>
          <w:color w:val="404040"/>
          <w:sz w:val="21"/>
        </w:rPr>
        <w:t>Des cas anonymisés présentant le problème, la démarche et la décision obtenue.</w:t>
      </w:r>
    </w:p>
    <w:p>
      <w:pPr>
        <w:pStyle w:val="ListBullet"/>
        <w:jc w:val="left"/>
      </w:pPr>
      <w:r>
        <w:rPr>
          <w:rFonts w:ascii="Arial" w:hAnsi="Arial" w:cs="Arial"/>
          <w:b w:val="0"/>
          <w:color w:val="404040"/>
          <w:sz w:val="21"/>
        </w:rPr>
        <w:t>Des photos du bureau, de l'équipe, des réunions et des événements.</w:t>
      </w:r>
    </w:p>
    <w:p>
      <w:pPr>
        <w:pStyle w:val="ListBullet"/>
        <w:jc w:val="left"/>
      </w:pPr>
      <w:r>
        <w:rPr>
          <w:rFonts w:ascii="Arial" w:hAnsi="Arial" w:cs="Arial"/>
          <w:b w:val="0"/>
          <w:color w:val="404040"/>
          <w:sz w:val="21"/>
        </w:rPr>
        <w:t>Des guides datés, sourcés et régulièrement mis à jour.</w:t>
      </w:r>
    </w:p>
    <w:p>
      <w:pPr>
        <w:pStyle w:val="ListBullet"/>
        <w:jc w:val="left"/>
      </w:pPr>
      <w:r>
        <w:rPr>
          <w:rFonts w:ascii="Arial" w:hAnsi="Arial" w:cs="Arial"/>
          <w:b w:val="0"/>
          <w:color w:val="404040"/>
          <w:sz w:val="21"/>
        </w:rPr>
        <w:t>Des partenaires et témoignages publiés avec autorisation.</w:t>
      </w:r>
    </w:p>
    <w:p>
      <w:pPr>
        <w:pStyle w:val="ListBullet"/>
        <w:jc w:val="left"/>
      </w:pPr>
      <w:r>
        <w:rPr>
          <w:rFonts w:ascii="Arial" w:hAnsi="Arial" w:cs="Arial"/>
          <w:b w:val="0"/>
          <w:color w:val="404040"/>
          <w:sz w:val="21"/>
        </w:rPr>
        <w:t>Des délais de réponse et un parcours de rendez-vous mesurables.</w:t>
      </w:r>
    </w:p>
    <w:p>
      <w:pPr>
        <w:pStyle w:val="Heading1"/>
        <w:jc w:val="left"/>
      </w:pPr>
      <w:r>
        <w:rPr>
          <w:rFonts w:ascii="Arial" w:hAnsi="Arial" w:cs="Arial"/>
          <w:b/>
          <w:color w:val="000000"/>
          <w:sz w:val="38"/>
        </w:rPr>
        <w:t>Publics prioritaires</w:t>
      </w:r>
    </w:p>
    <w:p>
      <w:pPr>
        <w:pStyle w:val="Heading2"/>
        <w:jc w:val="left"/>
      </w:pPr>
      <w:r>
        <w:rPr>
          <w:rFonts w:ascii="Arial" w:hAnsi="Arial" w:cs="Arial"/>
          <w:b/>
          <w:color w:val="000000"/>
          <w:sz w:val="30"/>
        </w:rPr>
        <w:t>Entreprise européenne qui veut s'implanter au Maroc</w:t>
      </w:r>
    </w:p>
    <w:p>
      <w:pPr>
        <w:jc w:val="left"/>
      </w:pPr>
      <w:r>
        <w:rPr>
          <w:rFonts w:ascii="Arial" w:hAnsi="Arial" w:cs="Arial"/>
          <w:b w:val="0"/>
          <w:color w:val="404040"/>
          <w:sz w:val="22"/>
        </w:rPr>
        <w:t>Le décideur est le fondateur, le directeur financier ou le directeur des opérations. Il s'interroge sur la forme juridique, le coût, la fiscalité, les zones franches, le recrutement, la banque et le pilotage. Le contenu doit réduire l'incertitude entre l'étude initiale et le fonctionnement réel de la structure.</w:t>
      </w:r>
    </w:p>
    <w:p>
      <w:pPr>
        <w:pStyle w:val="Heading2"/>
        <w:jc w:val="left"/>
      </w:pPr>
      <w:r>
        <w:rPr>
          <w:rFonts w:ascii="Arial" w:hAnsi="Arial" w:cs="Arial"/>
          <w:b/>
          <w:color w:val="000000"/>
          <w:sz w:val="30"/>
        </w:rPr>
        <w:t>Entreprise marocaine qui travaille avec l'Europe</w:t>
      </w:r>
    </w:p>
    <w:p>
      <w:pPr>
        <w:jc w:val="left"/>
      </w:pPr>
      <w:r>
        <w:rPr>
          <w:rFonts w:ascii="Arial" w:hAnsi="Arial" w:cs="Arial"/>
          <w:b w:val="0"/>
          <w:color w:val="404040"/>
          <w:sz w:val="22"/>
        </w:rPr>
        <w:t>Ce public comprend exportateurs, distributeurs, industriels et prestataires numériques. Les questions portent sur la TVA, le change, les retenues, les conventions fiscales, les prix de transfert, la facturation et le suivi de trésorerie. Le meilleur contenu aide le dirigeant à détecter les risques et à préparer les documents avant l'échéance.</w:t>
      </w:r>
    </w:p>
    <w:p>
      <w:pPr>
        <w:pStyle w:val="Heading2"/>
        <w:jc w:val="left"/>
      </w:pPr>
      <w:r>
        <w:rPr>
          <w:rFonts w:ascii="Arial" w:hAnsi="Arial" w:cs="Arial"/>
          <w:b/>
          <w:color w:val="000000"/>
          <w:sz w:val="30"/>
        </w:rPr>
        <w:t>PME de Tanger qui veut renforcer sa gestion</w:t>
      </w:r>
    </w:p>
    <w:p>
      <w:pPr>
        <w:jc w:val="left"/>
      </w:pPr>
      <w:r>
        <w:rPr>
          <w:rFonts w:ascii="Arial" w:hAnsi="Arial" w:cs="Arial"/>
          <w:b w:val="0"/>
          <w:color w:val="404040"/>
          <w:sz w:val="22"/>
        </w:rPr>
        <w:t>Le dirigeant subit des chiffres tardifs, une trésorerie difficile à lire et une forte dépendance au comptable pour les décisions. MEC doit traduire la comptabilité en pilotage mensuel : besoin en fonds de roulement, cash-flow, marge, prévisions et signaux d'alerte.</w:t>
      </w:r>
    </w:p>
    <w:p>
      <w:pPr>
        <w:pStyle w:val="Heading2"/>
        <w:jc w:val="left"/>
      </w:pPr>
      <w:r>
        <w:rPr>
          <w:rFonts w:ascii="Arial" w:hAnsi="Arial" w:cs="Arial"/>
          <w:b/>
          <w:color w:val="000000"/>
          <w:sz w:val="30"/>
        </w:rPr>
        <w:t>Investisseur en zone franche</w:t>
      </w:r>
    </w:p>
    <w:p>
      <w:pPr>
        <w:jc w:val="left"/>
      </w:pPr>
      <w:r>
        <w:rPr>
          <w:rFonts w:ascii="Arial" w:hAnsi="Arial" w:cs="Arial"/>
          <w:b w:val="0"/>
          <w:color w:val="404040"/>
          <w:sz w:val="22"/>
        </w:rPr>
        <w:t>Le prospect veut comprendre l'éligibilité, les contraintes opérationnelles, douanières et fiscales, ainsi que les coûts après l'installation. Le contenu doit couvrir le parcours réel, pas uniquement l'avantage fiscal.</w:t>
      </w:r>
    </w:p>
    <w:p>
      <w:pPr>
        <w:pStyle w:val="Heading2"/>
        <w:jc w:val="left"/>
      </w:pPr>
      <w:r>
        <w:rPr>
          <w:rFonts w:ascii="Arial" w:hAnsi="Arial" w:cs="Arial"/>
          <w:b/>
          <w:color w:val="000000"/>
          <w:sz w:val="30"/>
        </w:rPr>
        <w:t>Prescripteurs</w:t>
      </w:r>
    </w:p>
    <w:p>
      <w:pPr>
        <w:jc w:val="left"/>
      </w:pPr>
      <w:r>
        <w:rPr>
          <w:rFonts w:ascii="Arial" w:hAnsi="Arial" w:cs="Arial"/>
          <w:b w:val="0"/>
          <w:color w:val="404040"/>
          <w:sz w:val="22"/>
        </w:rPr>
        <w:t>Avocats, banques, chambres de commerce, consultants, réseaux d'affaires et partenaires européens peuvent recommander MEC. Un contenu bien documenté, partageable et neutre facilite cette recommandation.</w:t>
      </w:r>
    </w:p>
    <w:p>
      <w:pPr>
        <w:pStyle w:val="Heading1"/>
        <w:jc w:val="left"/>
      </w:pPr>
      <w:r>
        <w:rPr>
          <w:rFonts w:ascii="Arial" w:hAnsi="Arial" w:cs="Arial"/>
          <w:b/>
          <w:color w:val="000000"/>
          <w:sz w:val="38"/>
        </w:rPr>
        <w:t>Stratégie des canaux</w:t>
      </w:r>
    </w:p>
    <w:p>
      <w:pPr>
        <w:pStyle w:val="Heading2"/>
        <w:jc w:val="left"/>
      </w:pPr>
      <w:r>
        <w:rPr>
          <w:rFonts w:ascii="Arial" w:hAnsi="Arial" w:cs="Arial"/>
          <w:b/>
          <w:color w:val="000000"/>
          <w:sz w:val="30"/>
        </w:rPr>
        <w:t>LinkedIn</w:t>
      </w:r>
    </w:p>
    <w:p>
      <w:pPr>
        <w:jc w:val="left"/>
      </w:pPr>
      <w:r>
        <w:rPr>
          <w:rFonts w:ascii="Arial" w:hAnsi="Arial" w:cs="Arial"/>
          <w:b w:val="0"/>
          <w:color w:val="404040"/>
          <w:sz w:val="22"/>
        </w:rPr>
        <w:t>Canal prioritaire. La page de l'entreprise publie quatre fois par semaine. Un associé ou expert relaie au moins deux contenus avec un commentaire personnel et publie une contribution originale par semaine. Les formats principaux sont le document carrousel, la vidéo courte, l'analyse textuelle et la photo authentique.</w:t>
      </w:r>
    </w:p>
    <w:p>
      <w:pPr>
        <w:pStyle w:val="Heading2"/>
        <w:jc w:val="left"/>
      </w:pPr>
      <w:r>
        <w:rPr>
          <w:rFonts w:ascii="Arial" w:hAnsi="Arial" w:cs="Arial"/>
          <w:b/>
          <w:color w:val="000000"/>
          <w:sz w:val="30"/>
        </w:rPr>
        <w:t>Instagram</w:t>
      </w:r>
    </w:p>
    <w:p>
      <w:pPr>
        <w:jc w:val="left"/>
      </w:pPr>
      <w:r>
        <w:rPr>
          <w:rFonts w:ascii="Arial" w:hAnsi="Arial" w:cs="Arial"/>
          <w:b w:val="0"/>
          <w:color w:val="404040"/>
          <w:sz w:val="22"/>
        </w:rPr>
        <w:t>Canal de visibilité et de familiarité. Il reçoit les vidéos verticales, les carrousels simplifiés et des Stories consacrées aux questions, aux coulisses et aux rappels d'échéances. Il ne faut pas recopier les longs textes de LinkedIn.</w:t>
      </w:r>
    </w:p>
    <w:p>
      <w:pPr>
        <w:pStyle w:val="Heading2"/>
        <w:jc w:val="left"/>
      </w:pPr>
      <w:r>
        <w:rPr>
          <w:rFonts w:ascii="Arial" w:hAnsi="Arial" w:cs="Arial"/>
          <w:b/>
          <w:color w:val="000000"/>
          <w:sz w:val="30"/>
        </w:rPr>
        <w:t>Facebook</w:t>
      </w:r>
    </w:p>
    <w:p>
      <w:pPr>
        <w:jc w:val="left"/>
      </w:pPr>
      <w:r>
        <w:rPr>
          <w:rFonts w:ascii="Arial" w:hAnsi="Arial" w:cs="Arial"/>
          <w:b w:val="0"/>
          <w:color w:val="404040"/>
          <w:sz w:val="22"/>
        </w:rPr>
        <w:t>Canal de proximité destiné aux PME et au public local. Il redistribue les vidéos, explications simples, événements et rappels. WhatsApp doit être visible dans la page et dans les contenus à forte intention.</w:t>
      </w:r>
    </w:p>
    <w:p>
      <w:pPr>
        <w:pStyle w:val="Heading2"/>
        <w:jc w:val="left"/>
      </w:pPr>
      <w:r>
        <w:rPr>
          <w:rFonts w:ascii="Arial" w:hAnsi="Arial" w:cs="Arial"/>
          <w:b/>
          <w:color w:val="000000"/>
          <w:sz w:val="30"/>
        </w:rPr>
        <w:t>YouTube</w:t>
      </w:r>
    </w:p>
    <w:p>
      <w:pPr>
        <w:jc w:val="left"/>
      </w:pPr>
      <w:r>
        <w:rPr>
          <w:rFonts w:ascii="Arial" w:hAnsi="Arial" w:cs="Arial"/>
          <w:b w:val="0"/>
          <w:color w:val="404040"/>
          <w:sz w:val="22"/>
        </w:rPr>
        <w:t>La chaîne commence comme bibliothèque. Chaque vidéo courte y est archivée. Une fois par mois, MEC publie une vidéo de cinq à huit minutes sur une question à forte valeur. Les vidéos longues doivent répondre à une recherche réelle et rester utiles dans le temps.</w:t>
      </w:r>
    </w:p>
    <w:p>
      <w:pPr>
        <w:pStyle w:val="Heading2"/>
        <w:jc w:val="left"/>
      </w:pPr>
      <w:r>
        <w:rPr>
          <w:rFonts w:ascii="Arial" w:hAnsi="Arial" w:cs="Arial"/>
          <w:b/>
          <w:color w:val="000000"/>
          <w:sz w:val="30"/>
        </w:rPr>
        <w:t>TikTok</w:t>
      </w:r>
    </w:p>
    <w:p>
      <w:pPr>
        <w:jc w:val="left"/>
      </w:pPr>
      <w:r>
        <w:rPr>
          <w:rFonts w:ascii="Arial" w:hAnsi="Arial" w:cs="Arial"/>
          <w:b w:val="0"/>
          <w:color w:val="404040"/>
          <w:sz w:val="22"/>
        </w:rPr>
        <w:t>Canal de test au troisième mois. Deux vidéos légères par semaine suffisent pour vérifier l'adéquation. L'équipe ne doit pas créer un style séparé au départ : elle adapte les meilleurs Reels et analyse la rétention et les commentaires.</w:t>
      </w:r>
    </w:p>
    <w:p>
      <w:pPr>
        <w:pStyle w:val="Heading2"/>
        <w:jc w:val="left"/>
      </w:pPr>
      <w:r>
        <w:rPr>
          <w:rFonts w:ascii="Arial" w:hAnsi="Arial" w:cs="Arial"/>
          <w:b/>
          <w:color w:val="000000"/>
          <w:sz w:val="30"/>
        </w:rPr>
        <w:t>Site et newsletter</w:t>
      </w:r>
    </w:p>
    <w:p>
      <w:pPr>
        <w:jc w:val="left"/>
      </w:pPr>
      <w:r>
        <w:rPr>
          <w:rFonts w:ascii="Arial" w:hAnsi="Arial" w:cs="Arial"/>
          <w:b w:val="0"/>
          <w:color w:val="404040"/>
          <w:sz w:val="22"/>
        </w:rPr>
        <w:t>Le site reste la propriété éditoriale centrale. Chaque mois, MEC publie deux articles approfondis et une page ressource. Une newsletter mensuelle reprend les alertes, les outils et les meilleurs contenus. WhatsApp intervient comme dernière étape et non comme unique explication de l'offre.</w:t>
      </w:r>
    </w:p>
    <w:p>
      <w:pPr>
        <w:pStyle w:val="Heading1"/>
        <w:jc w:val="left"/>
      </w:pPr>
      <w:r>
        <w:rPr>
          <w:rFonts w:ascii="Arial" w:hAnsi="Arial" w:cs="Arial"/>
          <w:b/>
          <w:color w:val="000000"/>
          <w:sz w:val="38"/>
        </w:rPr>
        <w:t>Système de contenu</w:t>
      </w:r>
    </w:p>
    <w:p>
      <w:pPr>
        <w:pStyle w:val="Heading2"/>
        <w:jc w:val="left"/>
      </w:pPr>
      <w:r>
        <w:rPr>
          <w:rFonts w:ascii="Arial" w:hAnsi="Arial" w:cs="Arial"/>
          <w:b/>
          <w:color w:val="000000"/>
          <w:sz w:val="30"/>
        </w:rPr>
        <w:t>Piliers éditoriaux</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Pilier</w:t>
            </w:r>
          </w:p>
        </w:tc>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Part indicative</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Rôle</w:t>
            </w:r>
          </w:p>
        </w:tc>
        <w:tc>
          <w:tcPr>
            <w:tcW w:type="dxa" w:w="36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Exemples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Maroc Europe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25 pour cent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Propriété du positionnement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TVA, implantation, facturation, opérations transfrontalières</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Fiscalité et conformité</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20 pour cent</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Autorité et prévention</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Échéances, IS, CNSS, obligations documentaires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Finance et pilotage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20 pour cent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Valeur pour le dirigeant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BFR, trésorerie, marge, prévisions, tableau de bord</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Implantation et investissement</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15 pour cent</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Génération de demandes</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Forme juridique, banque, zone franche, étude de faisabilité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Preuves et méthode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10 pour cent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Réduction du risque perçu</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anonymisé, checklist, étapes d'une mission</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Équipe et culture</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10 pour cent</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Confiance humaine</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Expert, bureau, événement, partenariat, apprentissage</w:t>
            </w:r>
          </w:p>
        </w:tc>
      </w:tr>
    </w:tbl>
    <w:p>
      <w:pPr>
        <w:spacing w:after="40"/>
      </w:pPr>
    </w:p>
    <w:p>
      <w:pPr>
        <w:pStyle w:val="Heading2"/>
        <w:jc w:val="left"/>
      </w:pPr>
      <w:r>
        <w:rPr>
          <w:rFonts w:ascii="Arial" w:hAnsi="Arial" w:cs="Arial"/>
          <w:b/>
          <w:color w:val="000000"/>
          <w:sz w:val="30"/>
        </w:rPr>
        <w:t>Règles éditoriales</w:t>
      </w:r>
    </w:p>
    <w:p>
      <w:pPr>
        <w:jc w:val="left"/>
      </w:pPr>
      <w:r>
        <w:rPr>
          <w:rFonts w:ascii="Arial" w:hAnsi="Arial" w:cs="Arial"/>
          <w:b w:val="0"/>
          <w:color w:val="404040"/>
          <w:sz w:val="22"/>
        </w:rPr>
        <w:t>Chaque publication répond à une seule question, apporte une réponse claire et propose une seule action. Les sujets réglementaires doivent indiquer la date et la source. Les contenus de cas sont anonymisés. Le français reste la langue dominante sur LinkedIn pour parler au marché professionnel marocain et européen. Une publication arabe ou darija par semaine renforce la proximité locale. Une version espagnole mensuelle permet de tester la demande liée à l'Espagne.</w:t>
      </w:r>
    </w:p>
    <w:p>
      <w:pPr>
        <w:pStyle w:val="Heading2"/>
        <w:jc w:val="left"/>
      </w:pPr>
      <w:r>
        <w:rPr>
          <w:rFonts w:ascii="Arial" w:hAnsi="Arial" w:cs="Arial"/>
          <w:b/>
          <w:color w:val="000000"/>
          <w:sz w:val="30"/>
        </w:rPr>
        <w:t>Rythme hebdomadaire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Jour</w:t>
            </w:r>
          </w:p>
        </w:tc>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Objectif</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LinkedIn</w:t>
            </w:r>
          </w:p>
        </w:tc>
        <w:tc>
          <w:tcPr>
            <w:tcW w:type="dxa" w:w="36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Instagram et Facebook</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Lundi</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Informer et faire enregistrer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ou document pratique</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simplifié et Stories</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Mardi</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Incarner l'expertise</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La minute MEC</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Reel vertical sous-titré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Jeudi</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Montrer la méthode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anonymisé ou analyse</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Extrait visuel ou Reel</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Vendredi</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Créer la relation</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Expert, question, ressource ou alerte</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Photo, Stories et question</w:t>
            </w:r>
          </w:p>
        </w:tc>
      </w:tr>
    </w:tbl>
    <w:p>
      <w:pPr>
        <w:spacing w:after="40"/>
      </w:pPr>
    </w:p>
    <w:p>
      <w:pPr>
        <w:jc w:val="left"/>
      </w:pPr>
      <w:r>
        <w:rPr>
          <w:rFonts w:ascii="Arial" w:hAnsi="Arial" w:cs="Arial"/>
          <w:b w:val="0"/>
          <w:color w:val="404040"/>
          <w:sz w:val="22"/>
        </w:rPr>
        <w:t>Des Stories peuvent être publiées trois à cinq fois par semaine. Trente minutes de modération sont prévues chaque jour de publication. Les réponses détaillées aux questions deviennent de nouveaux sujets.</w:t>
      </w:r>
    </w:p>
    <w:p>
      <w:pPr>
        <w:pStyle w:val="Heading1"/>
        <w:jc w:val="left"/>
      </w:pPr>
      <w:r>
        <w:rPr>
          <w:rFonts w:ascii="Arial" w:hAnsi="Arial" w:cs="Arial"/>
          <w:b/>
          <w:color w:val="000000"/>
          <w:sz w:val="38"/>
        </w:rPr>
        <w:t>Calendrier éditorial sur 12 semaines</w:t>
      </w:r>
    </w:p>
    <w:p>
      <w:pPr>
        <w:pStyle w:val="Heading2"/>
        <w:jc w:val="left"/>
      </w:pPr>
      <w:r>
        <w:rPr>
          <w:rFonts w:ascii="Arial" w:hAnsi="Arial" w:cs="Arial"/>
          <w:b/>
          <w:color w:val="000000"/>
          <w:sz w:val="30"/>
        </w:rPr>
        <w:t>Mois 1 Installer la confiance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Semaine</w:t>
            </w:r>
          </w:p>
        </w:tc>
        <w:tc>
          <w:tcPr>
            <w:tcW w:type="dxa" w:w="194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1</w:t>
            </w:r>
          </w:p>
        </w:tc>
        <w:tc>
          <w:tcPr>
            <w:tcW w:type="dxa" w:w="194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2</w:t>
            </w:r>
          </w:p>
        </w:tc>
        <w:tc>
          <w:tcPr>
            <w:tcW w:type="dxa" w:w="158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3</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4</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Pourquoi une implantation au Maroc échoue après la création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Qui est MEC et à qui nous sommes utiles</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Photo FR équipe et méthode de travail</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Post AR Trois chiffres que le dirigeant doit recevoir chaque mois</w:t>
            </w:r>
          </w:p>
        </w:tc>
      </w:tr>
      <w:tr>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2</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SARL ou SAS au Maroc selon le mode de gouvernance</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darija La TVA ne mesure pas la rentabilité</w:t>
            </w:r>
          </w:p>
        </w:tc>
        <w:tc>
          <w:tcPr>
            <w:tcW w:type="dxa" w:w="15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Alerte FR échéance vérifiée de la semaine</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Question FR Quel chiffre arrive trop tard dans votre entreprise</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3</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Document FR checklist d'implantation Maroc Europe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Les trois erreurs avant l'ouverture d'un compte bancaire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Photo bilingue FR AR réunion de préparation</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Post FR Les documents à préparer avant de recruter le premier salarié</w:t>
            </w:r>
          </w:p>
        </w:tc>
      </w:tr>
      <w:tr>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4</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FR contrôle de trésorerie d'une PME anonymisée</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Un tableau de bord doit conduire à une décision</w:t>
            </w:r>
          </w:p>
        </w:tc>
        <w:tc>
          <w:tcPr>
            <w:tcW w:type="dxa" w:w="15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Alerte AR échéance ou formalité officielle</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Post expert FR Ce que nous vérifions avant une mission d'implantation</w:t>
            </w:r>
          </w:p>
        </w:tc>
      </w:tr>
    </w:tbl>
    <w:p>
      <w:pPr>
        <w:spacing w:after="40"/>
      </w:pPr>
    </w:p>
    <w:p>
      <w:pPr>
        <w:pStyle w:val="Heading2"/>
        <w:jc w:val="left"/>
      </w:pPr>
      <w:r>
        <w:rPr>
          <w:rFonts w:ascii="Arial" w:hAnsi="Arial" w:cs="Arial"/>
          <w:b/>
          <w:color w:val="000000"/>
          <w:sz w:val="30"/>
        </w:rPr>
        <w:t>Mois 2 Démontrer la méthode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Semaine</w:t>
            </w:r>
          </w:p>
        </w:tc>
        <w:tc>
          <w:tcPr>
            <w:tcW w:type="dxa" w:w="194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1</w:t>
            </w:r>
          </w:p>
        </w:tc>
        <w:tc>
          <w:tcPr>
            <w:tcW w:type="dxa" w:w="194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2</w:t>
            </w:r>
          </w:p>
        </w:tc>
        <w:tc>
          <w:tcPr>
            <w:tcW w:type="dxa" w:w="158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3</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4</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5</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BFR et croissance pourquoi le bénéfice ne suffit pas</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Trois alertes dans un cash-flow</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Visuel AR tableau de bord mensuel</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Sondage FR Quel indicateur suivez-vous réellement</w:t>
            </w:r>
          </w:p>
        </w:tc>
      </w:tr>
      <w:tr>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6</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Une convention fiscale ne supprime pas toutes les obligations</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Quand documenter une transaction liée</w:t>
            </w:r>
          </w:p>
        </w:tc>
        <w:tc>
          <w:tcPr>
            <w:tcW w:type="dxa" w:w="15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FR flux Maroc Europe anonymisé</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Portrait FR expert MEC et domaine de responsabilité</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7</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Créer une filiale ou travailler avec un partenaire local</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Externalisation et contrôle des opérations</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Guide FR cinq questions pour choisir une structure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Stories AR FR questions reçues cette semaine</w:t>
            </w:r>
          </w:p>
        </w:tc>
      </w:tr>
      <w:tr>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8</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FR investissement en zone franche de l'étude au suivi</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Ce que vérifie une due diligence</w:t>
            </w:r>
          </w:p>
        </w:tc>
        <w:tc>
          <w:tcPr>
            <w:tcW w:type="dxa" w:w="15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ES première vérification pour investir au Maroc</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Photo FR retour d'événement ou visite professionnelle</w:t>
            </w:r>
          </w:p>
        </w:tc>
      </w:tr>
    </w:tbl>
    <w:p>
      <w:pPr>
        <w:spacing w:after="40"/>
      </w:pPr>
    </w:p>
    <w:p>
      <w:pPr>
        <w:pStyle w:val="Heading2"/>
        <w:jc w:val="left"/>
      </w:pPr>
      <w:r>
        <w:rPr>
          <w:rFonts w:ascii="Arial" w:hAnsi="Arial" w:cs="Arial"/>
          <w:b/>
          <w:color w:val="000000"/>
          <w:sz w:val="30"/>
        </w:rPr>
        <w:t>Mois 3 Transformer l'intérêt en demandes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Semaine</w:t>
            </w:r>
          </w:p>
        </w:tc>
        <w:tc>
          <w:tcPr>
            <w:tcW w:type="dxa" w:w="194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1</w:t>
            </w:r>
          </w:p>
        </w:tc>
        <w:tc>
          <w:tcPr>
            <w:tcW w:type="dxa" w:w="194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2</w:t>
            </w:r>
          </w:p>
        </w:tc>
        <w:tc>
          <w:tcPr>
            <w:tcW w:type="dxa" w:w="158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3</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Publication 4</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9</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Risques cachés d'une croissance entre Maroc et Europe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AR Trois documents à préparer avant la clôture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FR appel vers le scorecard financier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Ressource FR checklist téléchargeable</w:t>
            </w:r>
          </w:p>
        </w:tc>
      </w:tr>
      <w:tr>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10</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Sept contrôles avant un paiement transfrontalier</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darija Comment préparer une réunion de diagnostic</w:t>
            </w:r>
          </w:p>
        </w:tc>
        <w:tc>
          <w:tcPr>
            <w:tcW w:type="dxa" w:w="15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Photo FR AR session de travail</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Checklist FR préparation du budget annuel</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11</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Sondage FR Quel est le principal frein à votre développement en Europe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Réponse à la question gagnante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Cas FR impact d'un reporting plus rapide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AR erreurs dans le suivi des créances</w:t>
            </w:r>
          </w:p>
        </w:tc>
      </w:tr>
      <w:tr>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12</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Carrousel FR Ce que 90 jours de questions clients nous ont appris</w:t>
            </w:r>
          </w:p>
        </w:tc>
        <w:tc>
          <w:tcPr>
            <w:tcW w:type="dxa" w:w="194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FR synthèse et prochaine session</w:t>
            </w:r>
          </w:p>
        </w:tc>
        <w:tc>
          <w:tcPr>
            <w:tcW w:type="dxa" w:w="15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Document bilingue FR AR calendrier du trimestre</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Invitation FR diagnostic ou webinaire après validation de conformité</w:t>
            </w:r>
          </w:p>
        </w:tc>
      </w:tr>
    </w:tbl>
    <w:p>
      <w:pPr>
        <w:spacing w:after="40"/>
      </w:pPr>
    </w:p>
    <w:p>
      <w:pPr>
        <w:pStyle w:val="Heading1"/>
        <w:jc w:val="left"/>
      </w:pPr>
      <w:r>
        <w:rPr>
          <w:rFonts w:ascii="Arial" w:hAnsi="Arial" w:cs="Arial"/>
          <w:b/>
          <w:color w:val="000000"/>
          <w:sz w:val="38"/>
        </w:rPr>
        <w:t>Idées de contenus supplémentaires</w:t>
      </w:r>
    </w:p>
    <w:p>
      <w:pPr>
        <w:pStyle w:val="ListNumber"/>
        <w:jc w:val="left"/>
      </w:pPr>
      <w:r>
        <w:rPr>
          <w:rFonts w:ascii="Arial" w:hAnsi="Arial" w:cs="Arial"/>
          <w:b w:val="0"/>
          <w:color w:val="404040"/>
          <w:sz w:val="21"/>
        </w:rPr>
        <w:t>Différence entre comptabilité réglementaire et pilotage financier.</w:t>
      </w:r>
    </w:p>
    <w:p>
      <w:pPr>
        <w:pStyle w:val="ListNumber"/>
        <w:jc w:val="left"/>
      </w:pPr>
      <w:r>
        <w:rPr>
          <w:rFonts w:ascii="Arial" w:hAnsi="Arial" w:cs="Arial"/>
          <w:b w:val="0"/>
          <w:color w:val="404040"/>
          <w:sz w:val="21"/>
        </w:rPr>
        <w:t>Les cinq signes d'une clôture mensuelle trop lente.</w:t>
      </w:r>
    </w:p>
    <w:p>
      <w:pPr>
        <w:pStyle w:val="ListNumber"/>
        <w:jc w:val="left"/>
      </w:pPr>
      <w:r>
        <w:rPr>
          <w:rFonts w:ascii="Arial" w:hAnsi="Arial" w:cs="Arial"/>
          <w:b w:val="0"/>
          <w:color w:val="404040"/>
          <w:sz w:val="21"/>
        </w:rPr>
        <w:t>Comment préparer un dossier bancaire pour une société nouvellement créée.</w:t>
      </w:r>
    </w:p>
    <w:p>
      <w:pPr>
        <w:pStyle w:val="ListNumber"/>
        <w:jc w:val="left"/>
      </w:pPr>
      <w:r>
        <w:rPr>
          <w:rFonts w:ascii="Arial" w:hAnsi="Arial" w:cs="Arial"/>
          <w:b w:val="0"/>
          <w:color w:val="404040"/>
          <w:sz w:val="21"/>
        </w:rPr>
        <w:t>Les documents à centraliser avant une due diligence.</w:t>
      </w:r>
    </w:p>
    <w:p>
      <w:pPr>
        <w:pStyle w:val="ListNumber"/>
        <w:jc w:val="left"/>
      </w:pPr>
      <w:r>
        <w:rPr>
          <w:rFonts w:ascii="Arial" w:hAnsi="Arial" w:cs="Arial"/>
          <w:b w:val="0"/>
          <w:color w:val="404040"/>
          <w:sz w:val="21"/>
        </w:rPr>
        <w:t>Ce que le dirigeant doit vérifier avant d'ouvrir une filiale en Europe.</w:t>
      </w:r>
    </w:p>
    <w:p>
      <w:pPr>
        <w:pStyle w:val="ListNumber"/>
        <w:jc w:val="left"/>
      </w:pPr>
      <w:r>
        <w:rPr>
          <w:rFonts w:ascii="Arial" w:hAnsi="Arial" w:cs="Arial"/>
          <w:b w:val="0"/>
          <w:color w:val="404040"/>
          <w:sz w:val="21"/>
        </w:rPr>
        <w:t>Comparaison entre filiale, succursale et partenariat local.</w:t>
      </w:r>
    </w:p>
    <w:p>
      <w:pPr>
        <w:pStyle w:val="ListNumber"/>
        <w:jc w:val="left"/>
      </w:pPr>
      <w:r>
        <w:rPr>
          <w:rFonts w:ascii="Arial" w:hAnsi="Arial" w:cs="Arial"/>
          <w:b w:val="0"/>
          <w:color w:val="404040"/>
          <w:sz w:val="21"/>
        </w:rPr>
        <w:t>Comment calculer un runway de trésorerie utile.</w:t>
      </w:r>
    </w:p>
    <w:p>
      <w:pPr>
        <w:pStyle w:val="ListNumber"/>
        <w:jc w:val="left"/>
      </w:pPr>
      <w:r>
        <w:rPr>
          <w:rFonts w:ascii="Arial" w:hAnsi="Arial" w:cs="Arial"/>
          <w:b w:val="0"/>
          <w:color w:val="404040"/>
          <w:sz w:val="21"/>
        </w:rPr>
        <w:t>Trois erreurs dans la gestion des avances clients.</w:t>
      </w:r>
    </w:p>
    <w:p>
      <w:pPr>
        <w:pStyle w:val="ListNumber"/>
        <w:jc w:val="left"/>
      </w:pPr>
      <w:r>
        <w:rPr>
          <w:rFonts w:ascii="Arial" w:hAnsi="Arial" w:cs="Arial"/>
          <w:b w:val="0"/>
          <w:color w:val="404040"/>
          <w:sz w:val="21"/>
        </w:rPr>
        <w:t>Quand une croissance du chiffre d'affaires dégrade la trésorerie.</w:t>
      </w:r>
    </w:p>
    <w:p>
      <w:pPr>
        <w:pStyle w:val="ListNumber"/>
        <w:jc w:val="left"/>
      </w:pPr>
      <w:r>
        <w:rPr>
          <w:rFonts w:ascii="Arial" w:hAnsi="Arial" w:cs="Arial"/>
          <w:b w:val="0"/>
          <w:color w:val="404040"/>
          <w:sz w:val="21"/>
        </w:rPr>
        <w:t>Quels indicateurs intégrer à un tableau de bord mensuel.</w:t>
      </w:r>
    </w:p>
    <w:p>
      <w:pPr>
        <w:pStyle w:val="ListNumber"/>
        <w:jc w:val="left"/>
      </w:pPr>
      <w:r>
        <w:rPr>
          <w:rFonts w:ascii="Arial" w:hAnsi="Arial" w:cs="Arial"/>
          <w:b w:val="0"/>
          <w:color w:val="404040"/>
          <w:sz w:val="21"/>
        </w:rPr>
        <w:t>Comment distinguer marge brute, marge opérationnelle et cash disponible.</w:t>
      </w:r>
    </w:p>
    <w:p>
      <w:pPr>
        <w:pStyle w:val="ListNumber"/>
        <w:jc w:val="left"/>
      </w:pPr>
      <w:r>
        <w:rPr>
          <w:rFonts w:ascii="Arial" w:hAnsi="Arial" w:cs="Arial"/>
          <w:b w:val="0"/>
          <w:color w:val="404040"/>
          <w:sz w:val="21"/>
        </w:rPr>
        <w:t>Ce qu'un CFO externalisé peut apporter à une PME.</w:t>
      </w:r>
    </w:p>
    <w:p>
      <w:pPr>
        <w:pStyle w:val="ListNumber"/>
        <w:jc w:val="left"/>
      </w:pPr>
      <w:r>
        <w:rPr>
          <w:rFonts w:ascii="Arial" w:hAnsi="Arial" w:cs="Arial"/>
          <w:b w:val="0"/>
          <w:color w:val="404040"/>
          <w:sz w:val="21"/>
        </w:rPr>
        <w:t>Les premières questions à poser avant un investissement en zone franche.</w:t>
      </w:r>
    </w:p>
    <w:p>
      <w:pPr>
        <w:pStyle w:val="ListNumber"/>
        <w:jc w:val="left"/>
      </w:pPr>
      <w:r>
        <w:rPr>
          <w:rFonts w:ascii="Arial" w:hAnsi="Arial" w:cs="Arial"/>
          <w:b w:val="0"/>
          <w:color w:val="404040"/>
          <w:sz w:val="21"/>
        </w:rPr>
        <w:t>Comment documenter une prestation entre une société marocaine et une société européenne.</w:t>
      </w:r>
    </w:p>
    <w:p>
      <w:pPr>
        <w:pStyle w:val="ListNumber"/>
        <w:jc w:val="left"/>
      </w:pPr>
      <w:r>
        <w:rPr>
          <w:rFonts w:ascii="Arial" w:hAnsi="Arial" w:cs="Arial"/>
          <w:b w:val="0"/>
          <w:color w:val="404040"/>
          <w:sz w:val="21"/>
        </w:rPr>
        <w:t>Les coûts oubliés après la création juridique d'une entreprise.</w:t>
      </w:r>
    </w:p>
    <w:p>
      <w:pPr>
        <w:pStyle w:val="ListNumber"/>
        <w:jc w:val="left"/>
      </w:pPr>
      <w:r>
        <w:rPr>
          <w:rFonts w:ascii="Arial" w:hAnsi="Arial" w:cs="Arial"/>
          <w:b w:val="0"/>
          <w:color w:val="404040"/>
          <w:sz w:val="21"/>
        </w:rPr>
        <w:t>Pourquoi le numéro de TVA ne règle pas à lui seul le traitement fiscal.</w:t>
      </w:r>
    </w:p>
    <w:p>
      <w:pPr>
        <w:pStyle w:val="ListNumber"/>
        <w:jc w:val="left"/>
      </w:pPr>
      <w:r>
        <w:rPr>
          <w:rFonts w:ascii="Arial" w:hAnsi="Arial" w:cs="Arial"/>
          <w:b w:val="0"/>
          <w:color w:val="404040"/>
          <w:sz w:val="21"/>
        </w:rPr>
        <w:t>Comment préparer la paie et la CNSS du premier salarié.</w:t>
      </w:r>
    </w:p>
    <w:p>
      <w:pPr>
        <w:pStyle w:val="ListNumber"/>
        <w:jc w:val="left"/>
      </w:pPr>
      <w:r>
        <w:rPr>
          <w:rFonts w:ascii="Arial" w:hAnsi="Arial" w:cs="Arial"/>
          <w:b w:val="0"/>
          <w:color w:val="404040"/>
          <w:sz w:val="21"/>
        </w:rPr>
        <w:t>Le rôle d'une prévision glissante sur treize semaines.</w:t>
      </w:r>
    </w:p>
    <w:p>
      <w:pPr>
        <w:pStyle w:val="ListNumber"/>
        <w:jc w:val="left"/>
      </w:pPr>
      <w:r>
        <w:rPr>
          <w:rFonts w:ascii="Arial" w:hAnsi="Arial" w:cs="Arial"/>
          <w:b w:val="0"/>
          <w:color w:val="404040"/>
          <w:sz w:val="21"/>
        </w:rPr>
        <w:t>Les contrôles à effectuer avant de signer avec un fournisseur étranger.</w:t>
      </w:r>
    </w:p>
    <w:p>
      <w:pPr>
        <w:pStyle w:val="ListNumber"/>
        <w:jc w:val="left"/>
      </w:pPr>
      <w:r>
        <w:rPr>
          <w:rFonts w:ascii="Arial" w:hAnsi="Arial" w:cs="Arial"/>
          <w:b w:val="0"/>
          <w:color w:val="404040"/>
          <w:sz w:val="21"/>
        </w:rPr>
        <w:t>Comment préparer un comité mensuel de gestion en trente minutes.</w:t>
      </w:r>
    </w:p>
    <w:p>
      <w:pPr>
        <w:pStyle w:val="ListNumber"/>
        <w:jc w:val="left"/>
      </w:pPr>
      <w:r>
        <w:rPr>
          <w:rFonts w:ascii="Arial" w:hAnsi="Arial" w:cs="Arial"/>
          <w:b w:val="0"/>
          <w:color w:val="404040"/>
          <w:sz w:val="21"/>
        </w:rPr>
        <w:t>Les questions à poser à un expert-comptable avant de changer de cabinet.</w:t>
      </w:r>
    </w:p>
    <w:p>
      <w:pPr>
        <w:pStyle w:val="ListNumber"/>
        <w:jc w:val="left"/>
      </w:pPr>
      <w:r>
        <w:rPr>
          <w:rFonts w:ascii="Arial" w:hAnsi="Arial" w:cs="Arial"/>
          <w:b w:val="0"/>
          <w:color w:val="404040"/>
          <w:sz w:val="21"/>
        </w:rPr>
        <w:t>Comment protéger les données financières partagées avec un prestataire.</w:t>
      </w:r>
    </w:p>
    <w:p>
      <w:pPr>
        <w:pStyle w:val="ListNumber"/>
        <w:jc w:val="left"/>
      </w:pPr>
      <w:r>
        <w:rPr>
          <w:rFonts w:ascii="Arial" w:hAnsi="Arial" w:cs="Arial"/>
          <w:b w:val="0"/>
          <w:color w:val="404040"/>
          <w:sz w:val="21"/>
        </w:rPr>
        <w:t>Ce qu'un investisseur européen attend d'un partenaire local.</w:t>
      </w:r>
    </w:p>
    <w:p>
      <w:pPr>
        <w:pStyle w:val="ListNumber"/>
        <w:jc w:val="left"/>
      </w:pPr>
      <w:r>
        <w:rPr>
          <w:rFonts w:ascii="Arial" w:hAnsi="Arial" w:cs="Arial"/>
          <w:b w:val="0"/>
          <w:color w:val="404040"/>
          <w:sz w:val="21"/>
        </w:rPr>
        <w:t>Les raisons pour lesquelles un projet rentable peut manquer de financement.</w:t>
      </w:r>
    </w:p>
    <w:p>
      <w:pPr>
        <w:pStyle w:val="Heading1"/>
        <w:jc w:val="left"/>
      </w:pPr>
      <w:r>
        <w:rPr>
          <w:rFonts w:ascii="Arial" w:hAnsi="Arial" w:cs="Arial"/>
          <w:b/>
          <w:color w:val="000000"/>
          <w:sz w:val="38"/>
        </w:rPr>
        <w:t>Modèles prêts à publier</w:t>
      </w:r>
    </w:p>
    <w:p>
      <w:pPr>
        <w:pStyle w:val="Heading2"/>
        <w:jc w:val="left"/>
      </w:pPr>
      <w:r>
        <w:rPr>
          <w:rFonts w:ascii="Arial" w:hAnsi="Arial" w:cs="Arial"/>
          <w:b/>
          <w:color w:val="000000"/>
          <w:sz w:val="30"/>
        </w:rPr>
        <w:t>Carrousel en français</w:t>
      </w:r>
    </w:p>
    <w:p>
      <w:pPr>
        <w:jc w:val="left"/>
      </w:pPr>
      <w:r>
        <w:rPr>
          <w:rFonts w:ascii="Arial" w:hAnsi="Arial" w:cs="Arial"/>
          <w:b/>
          <w:color w:val="404040"/>
          <w:sz w:val="22"/>
        </w:rPr>
        <w:t>Titre</w:t>
      </w:r>
      <w:r>
        <w:rPr>
          <w:rFonts w:ascii="Arial" w:hAnsi="Arial" w:cs="Arial"/>
          <w:b w:val="0"/>
          <w:color w:val="404040"/>
          <w:sz w:val="22"/>
        </w:rPr>
        <w:t xml:space="preserve"> Créer une société au Maroc depuis l'Europe</w:t>
      </w:r>
    </w:p>
    <w:p>
      <w:pPr>
        <w:jc w:val="left"/>
      </w:pPr>
      <w:r>
        <w:rPr>
          <w:rFonts w:ascii="Arial" w:hAnsi="Arial" w:cs="Arial"/>
          <w:b/>
          <w:color w:val="404040"/>
          <w:sz w:val="22"/>
        </w:rPr>
        <w:t>Sous-titre</w:t>
      </w:r>
      <w:r>
        <w:rPr>
          <w:rFonts w:ascii="Arial" w:hAnsi="Arial" w:cs="Arial"/>
          <w:b w:val="0"/>
          <w:color w:val="404040"/>
          <w:sz w:val="22"/>
        </w:rPr>
        <w:t xml:space="preserve"> Sept vérifications avant de signer</w:t>
      </w:r>
    </w:p>
    <w:p>
      <w:pPr>
        <w:pStyle w:val="ListNumber"/>
        <w:jc w:val="left"/>
      </w:pPr>
      <w:r>
        <w:rPr>
          <w:rFonts w:ascii="Arial" w:hAnsi="Arial" w:cs="Arial"/>
          <w:b w:val="0"/>
          <w:color w:val="404040"/>
          <w:sz w:val="21"/>
        </w:rPr>
        <w:t>La forme juridique doit correspondre au mode de gouvernance.</w:t>
      </w:r>
    </w:p>
    <w:p>
      <w:pPr>
        <w:pStyle w:val="ListNumber"/>
        <w:jc w:val="left"/>
      </w:pPr>
      <w:r>
        <w:rPr>
          <w:rFonts w:ascii="Arial" w:hAnsi="Arial" w:cs="Arial"/>
          <w:b w:val="0"/>
          <w:color w:val="404040"/>
          <w:sz w:val="21"/>
        </w:rPr>
        <w:t>Une adresse de domiciliation ne remplace pas une organisation opérationnelle.</w:t>
      </w:r>
    </w:p>
    <w:p>
      <w:pPr>
        <w:pStyle w:val="ListNumber"/>
        <w:jc w:val="left"/>
      </w:pPr>
      <w:r>
        <w:rPr>
          <w:rFonts w:ascii="Arial" w:hAnsi="Arial" w:cs="Arial"/>
          <w:b w:val="0"/>
          <w:color w:val="404040"/>
          <w:sz w:val="21"/>
        </w:rPr>
        <w:t>La banque demandera un dossier cohérent sur l'activité et les bénéficiaires.</w:t>
      </w:r>
    </w:p>
    <w:p>
      <w:pPr>
        <w:pStyle w:val="ListNumber"/>
        <w:jc w:val="left"/>
      </w:pPr>
      <w:r>
        <w:rPr>
          <w:rFonts w:ascii="Arial" w:hAnsi="Arial" w:cs="Arial"/>
          <w:b w:val="0"/>
          <w:color w:val="404040"/>
          <w:sz w:val="21"/>
        </w:rPr>
        <w:t>La TVA, les retenues et les conventions doivent être examinées avant la première facture.</w:t>
      </w:r>
    </w:p>
    <w:p>
      <w:pPr>
        <w:pStyle w:val="ListNumber"/>
        <w:jc w:val="left"/>
      </w:pPr>
      <w:r>
        <w:rPr>
          <w:rFonts w:ascii="Arial" w:hAnsi="Arial" w:cs="Arial"/>
          <w:b w:val="0"/>
          <w:color w:val="404040"/>
          <w:sz w:val="21"/>
        </w:rPr>
        <w:t>Le recrutement implique un calendrier CNSS et paie dès le premier salarié.</w:t>
      </w:r>
    </w:p>
    <w:p>
      <w:pPr>
        <w:pStyle w:val="ListNumber"/>
        <w:jc w:val="left"/>
      </w:pPr>
      <w:r>
        <w:rPr>
          <w:rFonts w:ascii="Arial" w:hAnsi="Arial" w:cs="Arial"/>
          <w:b w:val="0"/>
          <w:color w:val="404040"/>
          <w:sz w:val="21"/>
        </w:rPr>
        <w:t>Les flux avec la société européenne doivent être documentés.</w:t>
      </w:r>
    </w:p>
    <w:p>
      <w:pPr>
        <w:pStyle w:val="ListNumber"/>
        <w:jc w:val="left"/>
      </w:pPr>
      <w:r>
        <w:rPr>
          <w:rFonts w:ascii="Arial" w:hAnsi="Arial" w:cs="Arial"/>
          <w:b w:val="0"/>
          <w:color w:val="404040"/>
          <w:sz w:val="21"/>
        </w:rPr>
        <w:t>Le reporting mensuel doit être défini avant le démarrage.</w:t>
      </w:r>
    </w:p>
    <w:p>
      <w:pPr>
        <w:jc w:val="left"/>
      </w:pPr>
      <w:r>
        <w:rPr>
          <w:rFonts w:ascii="Arial" w:hAnsi="Arial" w:cs="Arial"/>
          <w:b/>
          <w:color w:val="404040"/>
          <w:sz w:val="22"/>
        </w:rPr>
        <w:t>Appel à l'action</w:t>
      </w:r>
      <w:r>
        <w:rPr>
          <w:rFonts w:ascii="Arial" w:hAnsi="Arial" w:cs="Arial"/>
          <w:b w:val="0"/>
          <w:color w:val="404040"/>
          <w:sz w:val="22"/>
        </w:rPr>
        <w:t xml:space="preserve"> Enregistrez ce document pour votre prochaine réunion ou téléchargez la checklist Implantation Maroc Europe.</w:t>
      </w:r>
    </w:p>
    <w:p>
      <w:pPr>
        <w:pStyle w:val="Heading2"/>
        <w:jc w:val="left"/>
      </w:pPr>
      <w:r>
        <w:rPr>
          <w:rFonts w:ascii="Arial" w:hAnsi="Arial" w:cs="Arial"/>
          <w:b/>
          <w:color w:val="000000"/>
          <w:sz w:val="30"/>
        </w:rPr>
        <w:t>Script vidéo La minute MEC</w:t>
      </w:r>
    </w:p>
    <w:p>
      <w:pPr>
        <w:jc w:val="left"/>
      </w:pPr>
      <w:r>
        <w:rPr>
          <w:rFonts w:ascii="Arial" w:hAnsi="Arial" w:cs="Arial"/>
          <w:b/>
          <w:color w:val="404040"/>
          <w:sz w:val="22"/>
        </w:rPr>
        <w:t>Accroche</w:t>
      </w:r>
      <w:r>
        <w:rPr>
          <w:rFonts w:ascii="Arial" w:hAnsi="Arial" w:cs="Arial"/>
          <w:b w:val="0"/>
          <w:color w:val="404040"/>
          <w:sz w:val="22"/>
        </w:rPr>
        <w:t xml:space="preserve"> Votre société marocaine est rentable, mais manque toujours de trésorerie</w:t>
      </w:r>
    </w:p>
    <w:p>
      <w:pPr>
        <w:jc w:val="left"/>
      </w:pPr>
      <w:r>
        <w:rPr>
          <w:rFonts w:ascii="Arial" w:hAnsi="Arial" w:cs="Arial"/>
          <w:b/>
          <w:color w:val="404040"/>
          <w:sz w:val="22"/>
        </w:rPr>
        <w:t>Texte</w:t>
      </w:r>
      <w:r>
        <w:rPr>
          <w:rFonts w:ascii="Arial" w:hAnsi="Arial" w:cs="Arial"/>
          <w:b w:val="0"/>
          <w:color w:val="404040"/>
          <w:sz w:val="22"/>
        </w:rPr>
        <w:t xml:space="preserve"> Le bénéfice ne dit pas quand les clients paient, ni quand les fournisseurs et les impôts sortent. Commencez par trois chiffres : le délai client, le délai fournisseur et le stock moyen. Ces données expliquent ensemble le besoin en fonds de roulement. Si le BFR augmente plus vite que le chiffre d'affaires, la croissance peut consommer votre trésorerie. Suivez ces trois chiffres chaque mois, pas seulement à la clôture.</w:t>
      </w:r>
    </w:p>
    <w:p>
      <w:pPr>
        <w:jc w:val="left"/>
      </w:pPr>
      <w:r>
        <w:rPr>
          <w:rFonts w:ascii="Arial" w:hAnsi="Arial" w:cs="Arial"/>
          <w:b/>
          <w:color w:val="404040"/>
          <w:sz w:val="22"/>
        </w:rPr>
        <w:t>Appel à l'action</w:t>
      </w:r>
      <w:r>
        <w:rPr>
          <w:rFonts w:ascii="Arial" w:hAnsi="Arial" w:cs="Arial"/>
          <w:b w:val="0"/>
          <w:color w:val="404040"/>
          <w:sz w:val="22"/>
        </w:rPr>
        <w:t xml:space="preserve"> Écrivez BFR en commentaire pour recevoir un exemple de tableau de suivi, si cette mécanique a été validée au regard des règles professionnelles applicables.</w:t>
      </w:r>
    </w:p>
    <w:p>
      <w:pPr>
        <w:pStyle w:val="Heading2"/>
        <w:jc w:val="left"/>
      </w:pPr>
      <w:r>
        <w:rPr>
          <w:rFonts w:ascii="Arial" w:hAnsi="Arial" w:cs="Arial"/>
          <w:b/>
          <w:color w:val="000000"/>
          <w:sz w:val="30"/>
        </w:rPr>
        <w:t>Cas pratique anonymisé</w:t>
      </w:r>
    </w:p>
    <w:p>
      <w:pPr>
        <w:jc w:val="left"/>
      </w:pPr>
      <w:r>
        <w:rPr>
          <w:rFonts w:ascii="Arial" w:hAnsi="Arial" w:cs="Arial"/>
          <w:b/>
          <w:color w:val="404040"/>
          <w:sz w:val="22"/>
        </w:rPr>
        <w:t>Titre</w:t>
      </w:r>
      <w:r>
        <w:rPr>
          <w:rFonts w:ascii="Arial" w:hAnsi="Arial" w:cs="Arial"/>
          <w:b w:val="0"/>
          <w:color w:val="404040"/>
          <w:sz w:val="22"/>
        </w:rPr>
        <w:t xml:space="preserve"> Le chiffre d'affaires progressait mais la visibilité diminuait</w:t>
      </w:r>
    </w:p>
    <w:p>
      <w:pPr>
        <w:jc w:val="left"/>
      </w:pPr>
      <w:r>
        <w:rPr>
          <w:rFonts w:ascii="Arial" w:hAnsi="Arial" w:cs="Arial"/>
          <w:b w:val="0"/>
          <w:color w:val="404040"/>
          <w:sz w:val="22"/>
        </w:rPr>
        <w:t>Une PME suivait son activité avec le solde bancaire et un compte de résultat reçu tardivement. Le diagnostic a séparé les encaissements attendus, les charges fixes, les taxes et les engagements sur treize semaines. La direction a pu identifier plus tôt les semaines de tension et prioriser les relances. Ce cas décrit une méthode de travail. Les résultats varient selon la situation et les données disponibles.</w:t>
      </w:r>
    </w:p>
    <w:p>
      <w:pPr>
        <w:jc w:val="left"/>
      </w:pPr>
      <w:r>
        <w:rPr>
          <w:rFonts w:ascii="Arial" w:hAnsi="Arial" w:cs="Arial"/>
          <w:b/>
          <w:color w:val="404040"/>
          <w:sz w:val="22"/>
        </w:rPr>
        <w:t>Appel à l'action</w:t>
      </w:r>
      <w:r>
        <w:rPr>
          <w:rFonts w:ascii="Arial" w:hAnsi="Arial" w:cs="Arial"/>
          <w:b w:val="0"/>
          <w:color w:val="404040"/>
          <w:sz w:val="22"/>
        </w:rPr>
        <w:t xml:space="preserve"> Quel indicateur vous manque aujourd'hui pour décider plus tôt</w:t>
      </w:r>
    </w:p>
    <w:p>
      <w:pPr>
        <w:pStyle w:val="Heading2"/>
        <w:jc w:val="left"/>
      </w:pPr>
      <w:r>
        <w:rPr>
          <w:rFonts w:ascii="Arial" w:hAnsi="Arial" w:cs="Arial"/>
          <w:b/>
          <w:color w:val="000000"/>
          <w:sz w:val="30"/>
        </w:rPr>
        <w:t>Alerte échéance</w:t>
      </w:r>
    </w:p>
    <w:p>
      <w:pPr>
        <w:jc w:val="left"/>
      </w:pPr>
      <w:r>
        <w:rPr>
          <w:rFonts w:ascii="Arial" w:hAnsi="Arial" w:cs="Arial"/>
          <w:b/>
          <w:color w:val="404040"/>
          <w:sz w:val="22"/>
        </w:rPr>
        <w:t>Titre</w:t>
      </w:r>
      <w:r>
        <w:rPr>
          <w:rFonts w:ascii="Arial" w:hAnsi="Arial" w:cs="Arial"/>
          <w:b w:val="0"/>
          <w:color w:val="404040"/>
          <w:sz w:val="22"/>
        </w:rPr>
        <w:t xml:space="preserve"> Déclaration des délais de paiement</w:t>
      </w:r>
    </w:p>
    <w:p>
      <w:pPr>
        <w:jc w:val="left"/>
      </w:pPr>
      <w:r>
        <w:rPr>
          <w:rFonts w:ascii="Arial" w:hAnsi="Arial" w:cs="Arial"/>
          <w:b/>
          <w:color w:val="404040"/>
          <w:sz w:val="22"/>
        </w:rPr>
        <w:t>Sous-titre</w:t>
      </w:r>
      <w:r>
        <w:rPr>
          <w:rFonts w:ascii="Arial" w:hAnsi="Arial" w:cs="Arial"/>
          <w:b w:val="0"/>
          <w:color w:val="404040"/>
          <w:sz w:val="22"/>
        </w:rPr>
        <w:t xml:space="preserve"> Ce qu'il faut préparer avant la date limite</w:t>
      </w:r>
    </w:p>
    <w:p>
      <w:pPr>
        <w:pStyle w:val="ListBullet"/>
        <w:jc w:val="left"/>
      </w:pPr>
      <w:r>
        <w:rPr>
          <w:rFonts w:ascii="Arial" w:hAnsi="Arial" w:cs="Arial"/>
          <w:b w:val="0"/>
          <w:color w:val="404040"/>
          <w:sz w:val="21"/>
        </w:rPr>
        <w:t>Liste des factures fournisseurs concernées.</w:t>
      </w:r>
    </w:p>
    <w:p>
      <w:pPr>
        <w:pStyle w:val="ListBullet"/>
        <w:jc w:val="left"/>
      </w:pPr>
      <w:r>
        <w:rPr>
          <w:rFonts w:ascii="Arial" w:hAnsi="Arial" w:cs="Arial"/>
          <w:b w:val="0"/>
          <w:color w:val="404040"/>
          <w:sz w:val="21"/>
        </w:rPr>
        <w:t>Dates contractuelles et dates de paiement.</w:t>
      </w:r>
    </w:p>
    <w:p>
      <w:pPr>
        <w:pStyle w:val="ListBullet"/>
        <w:jc w:val="left"/>
      </w:pPr>
      <w:r>
        <w:rPr>
          <w:rFonts w:ascii="Arial" w:hAnsi="Arial" w:cs="Arial"/>
          <w:b w:val="0"/>
          <w:color w:val="404040"/>
          <w:sz w:val="21"/>
        </w:rPr>
        <w:t>Justificatifs des litiges ou reports.</w:t>
      </w:r>
    </w:p>
    <w:p>
      <w:pPr>
        <w:pStyle w:val="ListBullet"/>
        <w:jc w:val="left"/>
      </w:pPr>
      <w:r>
        <w:rPr>
          <w:rFonts w:ascii="Arial" w:hAnsi="Arial" w:cs="Arial"/>
          <w:b w:val="0"/>
          <w:color w:val="404040"/>
          <w:sz w:val="21"/>
        </w:rPr>
        <w:t>Réconciliation avec le grand livre.</w:t>
      </w:r>
    </w:p>
    <w:p>
      <w:pPr>
        <w:pStyle w:val="ListBullet"/>
        <w:jc w:val="left"/>
      </w:pPr>
      <w:r>
        <w:rPr>
          <w:rFonts w:ascii="Arial" w:hAnsi="Arial" w:cs="Arial"/>
          <w:b w:val="0"/>
          <w:color w:val="404040"/>
          <w:sz w:val="21"/>
        </w:rPr>
        <w:t>Validation par la personne responsable.</w:t>
      </w:r>
    </w:p>
    <w:p>
      <w:pPr>
        <w:jc w:val="left"/>
      </w:pPr>
      <w:r>
        <w:rPr>
          <w:rFonts w:ascii="Arial" w:hAnsi="Arial" w:cs="Arial"/>
          <w:b w:val="0"/>
          <w:color w:val="404040"/>
          <w:sz w:val="22"/>
        </w:rPr>
        <w:t>La date, le périmètre et la source officielle doivent être vérifiés avant chaque publication.</w:t>
      </w:r>
    </w:p>
    <w:p>
      <w:pPr>
        <w:pStyle w:val="Heading2"/>
        <w:jc w:val="left"/>
      </w:pPr>
      <w:r>
        <w:rPr>
          <w:rFonts w:ascii="Arial" w:hAnsi="Arial" w:cs="Arial"/>
          <w:b/>
          <w:color w:val="000000"/>
          <w:sz w:val="30"/>
        </w:rPr>
        <w:t>Publication en arabe à produire</w:t>
      </w:r>
    </w:p>
    <w:p>
      <w:pPr>
        <w:jc w:val="left"/>
      </w:pPr>
      <w:r>
        <w:rPr>
          <w:rFonts w:ascii="Arial" w:hAnsi="Arial" w:cs="Arial"/>
          <w:b/>
          <w:color w:val="404040"/>
          <w:sz w:val="22"/>
        </w:rPr>
        <w:t>Titre français</w:t>
      </w:r>
      <w:r>
        <w:rPr>
          <w:rFonts w:ascii="Arial" w:hAnsi="Arial" w:cs="Arial"/>
          <w:b w:val="0"/>
          <w:color w:val="404040"/>
          <w:sz w:val="22"/>
        </w:rPr>
        <w:t xml:space="preserve"> Trois chiffres que le dirigeant doit recevoir chaque mois</w:t>
      </w:r>
    </w:p>
    <w:p>
      <w:pPr>
        <w:jc w:val="left"/>
      </w:pPr>
      <w:r>
        <w:rPr>
          <w:rFonts w:ascii="Arial" w:hAnsi="Arial" w:cs="Arial"/>
          <w:b w:val="0"/>
          <w:color w:val="404040"/>
          <w:sz w:val="22"/>
        </w:rPr>
        <w:t>Le texte arabe explique que le chiffre d'affaires seul ne suffit pas. Le dirigeant doit connaître la trésorerie disponible, les créances en retard et la marge réelle après coûts directs. Une page mensuelle suffit pour commencer. La version finale doit être relue par un membre arabophone de l'équipe avant publication.</w:t>
      </w:r>
    </w:p>
    <w:p>
      <w:pPr>
        <w:pStyle w:val="Heading1"/>
        <w:jc w:val="left"/>
      </w:pPr>
      <w:r>
        <w:rPr>
          <w:rFonts w:ascii="Arial" w:hAnsi="Arial" w:cs="Arial"/>
          <w:b/>
          <w:color w:val="000000"/>
          <w:sz w:val="38"/>
        </w:rPr>
        <w:t>Guide de conception du contenu</w:t>
      </w:r>
    </w:p>
    <w:p>
      <w:pPr>
        <w:jc w:val="left"/>
      </w:pPr>
      <w:r>
        <w:rPr>
          <w:rFonts w:ascii="Arial" w:hAnsi="Arial" w:cs="Arial"/>
          <w:b w:val="0"/>
          <w:color w:val="404040"/>
          <w:sz w:val="22"/>
        </w:rPr>
        <w:t>Les créations utilisent le bleu marine 001F3F, le doré D4AF37 et beaucoup d'espace blanc. Le doré sert à souligner une information et non à remplir les fonds de textes longs. Le logo reste petit et placé au même endroit.</w:t>
      </w:r>
    </w:p>
    <w:p>
      <w:pPr>
        <w:pStyle w:val="Heading2"/>
        <w:jc w:val="left"/>
      </w:pPr>
      <w:r>
        <w:rPr>
          <w:rFonts w:ascii="Arial" w:hAnsi="Arial" w:cs="Arial"/>
          <w:b/>
          <w:color w:val="000000"/>
          <w:sz w:val="30"/>
        </w:rPr>
        <w:t>Structure d'un carrousel de sept pages</w:t>
      </w:r>
    </w:p>
    <w:p>
      <w:pPr>
        <w:pStyle w:val="ListNumber"/>
        <w:jc w:val="left"/>
      </w:pPr>
      <w:r>
        <w:rPr>
          <w:rFonts w:ascii="Arial" w:hAnsi="Arial" w:cs="Arial"/>
          <w:b w:val="0"/>
          <w:color w:val="404040"/>
          <w:sz w:val="21"/>
        </w:rPr>
        <w:t>Une question ou un risque unique en couverture.</w:t>
      </w:r>
    </w:p>
    <w:p>
      <w:pPr>
        <w:pStyle w:val="ListNumber"/>
        <w:jc w:val="left"/>
      </w:pPr>
      <w:r>
        <w:rPr>
          <w:rFonts w:ascii="Arial" w:hAnsi="Arial" w:cs="Arial"/>
          <w:b w:val="0"/>
          <w:color w:val="404040"/>
          <w:sz w:val="21"/>
        </w:rPr>
        <w:t>La raison pour laquelle le sujet compte.</w:t>
      </w:r>
    </w:p>
    <w:p>
      <w:pPr>
        <w:pStyle w:val="ListNumber"/>
        <w:jc w:val="left"/>
      </w:pPr>
      <w:r>
        <w:rPr>
          <w:rFonts w:ascii="Arial" w:hAnsi="Arial" w:cs="Arial"/>
          <w:b w:val="0"/>
          <w:color w:val="404040"/>
          <w:sz w:val="21"/>
        </w:rPr>
        <w:t>La première règle ou erreur.</w:t>
      </w:r>
    </w:p>
    <w:p>
      <w:pPr>
        <w:pStyle w:val="ListNumber"/>
        <w:jc w:val="left"/>
      </w:pPr>
      <w:r>
        <w:rPr>
          <w:rFonts w:ascii="Arial" w:hAnsi="Arial" w:cs="Arial"/>
          <w:b w:val="0"/>
          <w:color w:val="404040"/>
          <w:sz w:val="21"/>
        </w:rPr>
        <w:t>Une étape pratique.</w:t>
      </w:r>
    </w:p>
    <w:p>
      <w:pPr>
        <w:pStyle w:val="ListNumber"/>
        <w:jc w:val="left"/>
      </w:pPr>
      <w:r>
        <w:rPr>
          <w:rFonts w:ascii="Arial" w:hAnsi="Arial" w:cs="Arial"/>
          <w:b w:val="0"/>
          <w:color w:val="404040"/>
          <w:sz w:val="21"/>
        </w:rPr>
        <w:t>Un exemple simplifié ou un schéma.</w:t>
      </w:r>
    </w:p>
    <w:p>
      <w:pPr>
        <w:pStyle w:val="ListNumber"/>
        <w:jc w:val="left"/>
      </w:pPr>
      <w:r>
        <w:rPr>
          <w:rFonts w:ascii="Arial" w:hAnsi="Arial" w:cs="Arial"/>
          <w:b w:val="0"/>
          <w:color w:val="404040"/>
          <w:sz w:val="21"/>
        </w:rPr>
        <w:t>Une checklist courte.</w:t>
      </w:r>
    </w:p>
    <w:p>
      <w:pPr>
        <w:pStyle w:val="ListNumber"/>
        <w:jc w:val="left"/>
      </w:pPr>
      <w:r>
        <w:rPr>
          <w:rFonts w:ascii="Arial" w:hAnsi="Arial" w:cs="Arial"/>
          <w:b w:val="0"/>
          <w:color w:val="404040"/>
          <w:sz w:val="21"/>
        </w:rPr>
        <w:t>Un seul appel à l'action vers le site ou la ressource.</w:t>
      </w:r>
    </w:p>
    <w:p>
      <w:pPr>
        <w:pStyle w:val="Heading2"/>
        <w:jc w:val="left"/>
      </w:pPr>
      <w:r>
        <w:rPr>
          <w:rFonts w:ascii="Arial" w:hAnsi="Arial" w:cs="Arial"/>
          <w:b/>
          <w:color w:val="000000"/>
          <w:sz w:val="30"/>
        </w:rPr>
        <w:t>Structure d'une vidéo</w:t>
      </w:r>
    </w:p>
    <w:p>
      <w:pPr>
        <w:pStyle w:val="ListBullet"/>
        <w:jc w:val="left"/>
      </w:pPr>
      <w:r>
        <w:rPr>
          <w:rFonts w:ascii="Arial" w:hAnsi="Arial" w:cs="Arial"/>
          <w:b w:val="0"/>
          <w:color w:val="404040"/>
          <w:sz w:val="21"/>
        </w:rPr>
        <w:t>Format vertical 9 sur 16.</w:t>
      </w:r>
    </w:p>
    <w:p>
      <w:pPr>
        <w:pStyle w:val="ListBullet"/>
        <w:jc w:val="left"/>
      </w:pPr>
      <w:r>
        <w:rPr>
          <w:rFonts w:ascii="Arial" w:hAnsi="Arial" w:cs="Arial"/>
          <w:b w:val="0"/>
          <w:color w:val="404040"/>
          <w:sz w:val="21"/>
        </w:rPr>
        <w:t>Durée de 30 à 60 secondes dans la plupart des cas.</w:t>
      </w:r>
    </w:p>
    <w:p>
      <w:pPr>
        <w:pStyle w:val="ListBullet"/>
        <w:jc w:val="left"/>
      </w:pPr>
      <w:r>
        <w:rPr>
          <w:rFonts w:ascii="Arial" w:hAnsi="Arial" w:cs="Arial"/>
          <w:b w:val="0"/>
          <w:color w:val="404040"/>
          <w:sz w:val="21"/>
        </w:rPr>
        <w:t>Visage visible dès le début avec la question à l'écran.</w:t>
      </w:r>
    </w:p>
    <w:p>
      <w:pPr>
        <w:pStyle w:val="ListBullet"/>
        <w:jc w:val="left"/>
      </w:pPr>
      <w:r>
        <w:rPr>
          <w:rFonts w:ascii="Arial" w:hAnsi="Arial" w:cs="Arial"/>
          <w:b w:val="0"/>
          <w:color w:val="404040"/>
          <w:sz w:val="21"/>
        </w:rPr>
        <w:t>Sous-titres complets pour la consultation sans son.</w:t>
      </w:r>
    </w:p>
    <w:p>
      <w:pPr>
        <w:pStyle w:val="ListBullet"/>
        <w:jc w:val="left"/>
      </w:pPr>
      <w:r>
        <w:rPr>
          <w:rFonts w:ascii="Arial" w:hAnsi="Arial" w:cs="Arial"/>
          <w:b w:val="0"/>
          <w:color w:val="404040"/>
          <w:sz w:val="21"/>
        </w:rPr>
        <w:t>Décor réel au bureau ou dans un environnement professionnel à Tanger.</w:t>
      </w:r>
    </w:p>
    <w:p>
      <w:pPr>
        <w:pStyle w:val="ListBullet"/>
        <w:jc w:val="left"/>
      </w:pPr>
      <w:r>
        <w:rPr>
          <w:rFonts w:ascii="Arial" w:hAnsi="Arial" w:cs="Arial"/>
          <w:b w:val="0"/>
          <w:color w:val="404040"/>
          <w:sz w:val="21"/>
        </w:rPr>
        <w:t>Pas d'introduction de logo longue.</w:t>
      </w:r>
    </w:p>
    <w:p>
      <w:pPr>
        <w:pStyle w:val="ListBullet"/>
        <w:jc w:val="left"/>
      </w:pPr>
      <w:r>
        <w:rPr>
          <w:rFonts w:ascii="Arial" w:hAnsi="Arial" w:cs="Arial"/>
          <w:b w:val="0"/>
          <w:color w:val="404040"/>
          <w:sz w:val="21"/>
        </w:rPr>
        <w:t>Conclusion verbale avant l'affichage de l'appel à l'action et du logo.</w:t>
      </w:r>
    </w:p>
    <w:p>
      <w:pPr>
        <w:pStyle w:val="Heading1"/>
        <w:jc w:val="left"/>
      </w:pPr>
      <w:r>
        <w:rPr>
          <w:rFonts w:ascii="Arial" w:hAnsi="Arial" w:cs="Arial"/>
          <w:b/>
          <w:color w:val="000000"/>
          <w:sz w:val="38"/>
        </w:rPr>
        <w:t>Parcours de conversion</w:t>
      </w:r>
    </w:p>
    <w:p>
      <w:pPr>
        <w:pStyle w:val="Heading2"/>
        <w:jc w:val="left"/>
      </w:pPr>
      <w:r>
        <w:rPr>
          <w:rFonts w:ascii="Arial" w:hAnsi="Arial" w:cs="Arial"/>
          <w:b/>
          <w:color w:val="000000"/>
          <w:sz w:val="30"/>
        </w:rPr>
        <w:t>Découverte</w:t>
      </w:r>
    </w:p>
    <w:p>
      <w:pPr>
        <w:jc w:val="left"/>
      </w:pPr>
      <w:r>
        <w:rPr>
          <w:rFonts w:ascii="Arial" w:hAnsi="Arial" w:cs="Arial"/>
          <w:b w:val="0"/>
          <w:color w:val="404040"/>
          <w:sz w:val="22"/>
        </w:rPr>
        <w:t>Vidéos courtes, carrousels, questions et contenus d'événements liés au travail. Les indicateurs sont la portée pertinente, les enregistrements, les partages et la rétention vidéo.</w:t>
      </w:r>
    </w:p>
    <w:p>
      <w:pPr>
        <w:pStyle w:val="Heading2"/>
        <w:jc w:val="left"/>
      </w:pPr>
      <w:r>
        <w:rPr>
          <w:rFonts w:ascii="Arial" w:hAnsi="Arial" w:cs="Arial"/>
          <w:b/>
          <w:color w:val="000000"/>
          <w:sz w:val="30"/>
        </w:rPr>
        <w:t>Considération</w:t>
      </w:r>
    </w:p>
    <w:p>
      <w:pPr>
        <w:jc w:val="left"/>
      </w:pPr>
      <w:r>
        <w:rPr>
          <w:rFonts w:ascii="Arial" w:hAnsi="Arial" w:cs="Arial"/>
          <w:b w:val="0"/>
          <w:color w:val="404040"/>
          <w:sz w:val="22"/>
        </w:rPr>
        <w:t>Checklist d'implantation, scorecard financier Maroc-Europe, article approfondi ou session courte. Le formulaire demande uniquement le nom, l'adresse professionnelle, le pays et la nature du projet.</w:t>
      </w:r>
    </w:p>
    <w:p>
      <w:pPr>
        <w:pStyle w:val="Heading2"/>
        <w:jc w:val="left"/>
      </w:pPr>
      <w:r>
        <w:rPr>
          <w:rFonts w:ascii="Arial" w:hAnsi="Arial" w:cs="Arial"/>
          <w:b/>
          <w:color w:val="000000"/>
          <w:sz w:val="30"/>
        </w:rPr>
        <w:t>Décision</w:t>
      </w:r>
    </w:p>
    <w:p>
      <w:pPr>
        <w:jc w:val="left"/>
      </w:pPr>
      <w:r>
        <w:rPr>
          <w:rFonts w:ascii="Arial" w:hAnsi="Arial" w:cs="Arial"/>
          <w:b w:val="0"/>
          <w:color w:val="404040"/>
          <w:sz w:val="22"/>
        </w:rPr>
        <w:t>Une page de service spécialisée conduit vers WhatsApp ou un rendez-vous de diagnostic. Un seul critère de qualification peut être ajouté : taille de l'entreprise, calendrier du projet ou pays européen concerné.</w:t>
      </w:r>
    </w:p>
    <w:p>
      <w:pPr>
        <w:pStyle w:val="Heading2"/>
        <w:jc w:val="left"/>
      </w:pPr>
      <w:r>
        <w:rPr>
          <w:rFonts w:ascii="Arial" w:hAnsi="Arial" w:cs="Arial"/>
          <w:b/>
          <w:color w:val="000000"/>
          <w:sz w:val="30"/>
        </w:rPr>
        <w:t>Suivi</w:t>
      </w:r>
    </w:p>
    <w:p>
      <w:pPr>
        <w:jc w:val="left"/>
      </w:pPr>
      <w:r>
        <w:rPr>
          <w:rFonts w:ascii="Arial" w:hAnsi="Arial" w:cs="Arial"/>
          <w:b w:val="0"/>
          <w:color w:val="404040"/>
          <w:sz w:val="22"/>
        </w:rPr>
        <w:t>Chaque opportunité est enregistrée avec sa source, le sujet du contenu et l'étape du parcours. La réponse reprend le besoin exprimé au lieu d'envoyer un message commercial générique. Après le rendez-vous, le motif de non-conversion est documenté afin d'alimenter les prochains contenus.</w:t>
      </w:r>
    </w:p>
    <w:p>
      <w:pPr>
        <w:pStyle w:val="Heading1"/>
        <w:jc w:val="left"/>
      </w:pPr>
      <w:r>
        <w:rPr>
          <w:rFonts w:ascii="Arial" w:hAnsi="Arial" w:cs="Arial"/>
          <w:b/>
          <w:color w:val="000000"/>
          <w:sz w:val="38"/>
        </w:rPr>
        <w:t>Plan de publicité payante</w:t>
      </w:r>
    </w:p>
    <w:p>
      <w:pPr>
        <w:pStyle w:val="Heading2"/>
        <w:jc w:val="left"/>
      </w:pPr>
      <w:r>
        <w:rPr>
          <w:rFonts w:ascii="Arial" w:hAnsi="Arial" w:cs="Arial"/>
          <w:b/>
          <w:color w:val="000000"/>
          <w:sz w:val="30"/>
        </w:rPr>
        <w:t>Quatre premières semaines</w:t>
      </w:r>
    </w:p>
    <w:p>
      <w:pPr>
        <w:jc w:val="left"/>
      </w:pPr>
      <w:r>
        <w:rPr>
          <w:rFonts w:ascii="Arial" w:hAnsi="Arial" w:cs="Arial"/>
          <w:b w:val="0"/>
          <w:color w:val="404040"/>
          <w:sz w:val="22"/>
        </w:rPr>
        <w:t>Ne pas lancer de campagne large. Publier, mesurer et identifier les sujets ainsi que les formats qui génèrent des interactions qualifiées. Un petit budget de test n'est utile que pour établir une base de comparaison et ne doit pas conduire à des conclusions définitives.</w:t>
      </w:r>
    </w:p>
    <w:p>
      <w:pPr>
        <w:pStyle w:val="Heading2"/>
        <w:jc w:val="left"/>
      </w:pPr>
      <w:r>
        <w:rPr>
          <w:rFonts w:ascii="Arial" w:hAnsi="Arial" w:cs="Arial"/>
          <w:b/>
          <w:color w:val="000000"/>
          <w:sz w:val="30"/>
        </w:rPr>
        <w:t>À partir de la semaine 5</w:t>
      </w:r>
    </w:p>
    <w:p>
      <w:pPr>
        <w:pStyle w:val="ListBullet"/>
        <w:jc w:val="left"/>
      </w:pPr>
      <w:r>
        <w:rPr>
          <w:rFonts w:ascii="Arial" w:hAnsi="Arial" w:cs="Arial"/>
          <w:b w:val="0"/>
          <w:color w:val="404040"/>
          <w:sz w:val="21"/>
        </w:rPr>
        <w:t>Promouvoir la meilleure vidéo ou le meilleur carrousel LinkedIn auprès de décideurs au Maroc, en France et en Espagne dans des secteurs sélectionnés.</w:t>
      </w:r>
    </w:p>
    <w:p>
      <w:pPr>
        <w:pStyle w:val="ListBullet"/>
        <w:jc w:val="left"/>
      </w:pPr>
      <w:r>
        <w:rPr>
          <w:rFonts w:ascii="Arial" w:hAnsi="Arial" w:cs="Arial"/>
          <w:b w:val="0"/>
          <w:color w:val="404040"/>
          <w:sz w:val="21"/>
        </w:rPr>
        <w:t>Recibler les visiteurs du site et les spectateurs vidéo via Meta avec une seule ressource.</w:t>
      </w:r>
    </w:p>
    <w:p>
      <w:pPr>
        <w:pStyle w:val="ListBullet"/>
        <w:jc w:val="left"/>
      </w:pPr>
      <w:r>
        <w:rPr>
          <w:rFonts w:ascii="Arial" w:hAnsi="Arial" w:cs="Arial"/>
          <w:b w:val="0"/>
          <w:color w:val="404040"/>
          <w:sz w:val="21"/>
        </w:rPr>
        <w:t>Tester une page d'atterrissage par public, plutôt qu'une page générale pour tous les services.</w:t>
      </w:r>
    </w:p>
    <w:p>
      <w:pPr>
        <w:pStyle w:val="ListBullet"/>
        <w:jc w:val="left"/>
      </w:pPr>
      <w:r>
        <w:rPr>
          <w:rFonts w:ascii="Arial" w:hAnsi="Arial" w:cs="Arial"/>
          <w:b w:val="0"/>
          <w:color w:val="404040"/>
          <w:sz w:val="21"/>
        </w:rPr>
        <w:t>Comparer le téléchargement d'un guide avec la réservation d'un diagnostic.</w:t>
      </w:r>
    </w:p>
    <w:p>
      <w:pPr>
        <w:pStyle w:val="Heading2"/>
        <w:jc w:val="left"/>
      </w:pPr>
      <w:r>
        <w:rPr>
          <w:rFonts w:ascii="Arial" w:hAnsi="Arial" w:cs="Arial"/>
          <w:b/>
          <w:color w:val="000000"/>
          <w:sz w:val="30"/>
        </w:rPr>
        <w:t>À partir de la semaine 9</w:t>
      </w:r>
    </w:p>
    <w:p>
      <w:pPr>
        <w:jc w:val="left"/>
      </w:pPr>
      <w:r>
        <w:rPr>
          <w:rFonts w:ascii="Arial" w:hAnsi="Arial" w:cs="Arial"/>
          <w:b w:val="0"/>
          <w:color w:val="404040"/>
          <w:sz w:val="22"/>
        </w:rPr>
        <w:t>Arrêter les publicités qui génèrent des clics sans conversations qualifiées. Augmenter le budget uniquement sur les campagnes qui produisent de bonnes opportunités. Le coût par engagement et le nombre d'abonnés ne suffisent pas pour décider.</w:t>
      </w:r>
    </w:p>
    <w:p>
      <w:pPr>
        <w:pStyle w:val="Heading1"/>
        <w:jc w:val="left"/>
      </w:pPr>
      <w:r>
        <w:rPr>
          <w:rFonts w:ascii="Arial" w:hAnsi="Arial" w:cs="Arial"/>
          <w:b/>
          <w:color w:val="000000"/>
          <w:sz w:val="38"/>
        </w:rPr>
        <w:t>Mesure de la performance</w:t>
      </w:r>
    </w:p>
    <w:p>
      <w:pPr>
        <w:pStyle w:val="Heading2"/>
        <w:jc w:val="left"/>
      </w:pPr>
      <w:r>
        <w:rPr>
          <w:rFonts w:ascii="Arial" w:hAnsi="Arial" w:cs="Arial"/>
          <w:b/>
          <w:color w:val="000000"/>
          <w:sz w:val="30"/>
        </w:rPr>
        <w:t>Indicateurs de visibilité</w:t>
      </w:r>
    </w:p>
    <w:p>
      <w:pPr>
        <w:pStyle w:val="ListBullet"/>
        <w:jc w:val="left"/>
      </w:pPr>
      <w:r>
        <w:rPr>
          <w:rFonts w:ascii="Arial" w:hAnsi="Arial" w:cs="Arial"/>
          <w:b w:val="0"/>
          <w:color w:val="404040"/>
          <w:sz w:val="21"/>
        </w:rPr>
        <w:t>Portée dans les pays et fonctions ciblés.</w:t>
      </w:r>
    </w:p>
    <w:p>
      <w:pPr>
        <w:pStyle w:val="ListBullet"/>
        <w:jc w:val="left"/>
      </w:pPr>
      <w:r>
        <w:rPr>
          <w:rFonts w:ascii="Arial" w:hAnsi="Arial" w:cs="Arial"/>
          <w:b w:val="0"/>
          <w:color w:val="404040"/>
          <w:sz w:val="21"/>
        </w:rPr>
        <w:t>Progression des abonnés correspondant aux publics prioritaires.</w:t>
      </w:r>
    </w:p>
    <w:p>
      <w:pPr>
        <w:pStyle w:val="ListBullet"/>
        <w:jc w:val="left"/>
      </w:pPr>
      <w:r>
        <w:rPr>
          <w:rFonts w:ascii="Arial" w:hAnsi="Arial" w:cs="Arial"/>
          <w:b w:val="0"/>
          <w:color w:val="404040"/>
          <w:sz w:val="21"/>
        </w:rPr>
        <w:t>Vues vidéo et taux de complétion à 25, 50 et 75 pour cent.</w:t>
      </w:r>
    </w:p>
    <w:p>
      <w:pPr>
        <w:pStyle w:val="ListBullet"/>
        <w:jc w:val="left"/>
      </w:pPr>
      <w:r>
        <w:rPr>
          <w:rFonts w:ascii="Arial" w:hAnsi="Arial" w:cs="Arial"/>
          <w:b w:val="0"/>
          <w:color w:val="404040"/>
          <w:sz w:val="21"/>
        </w:rPr>
        <w:t>Enregistrements et partages des carrousels.</w:t>
      </w:r>
    </w:p>
    <w:p>
      <w:pPr>
        <w:pStyle w:val="Heading2"/>
        <w:jc w:val="left"/>
      </w:pPr>
      <w:r>
        <w:rPr>
          <w:rFonts w:ascii="Arial" w:hAnsi="Arial" w:cs="Arial"/>
          <w:b/>
          <w:color w:val="000000"/>
          <w:sz w:val="30"/>
        </w:rPr>
        <w:t>Indicateurs de confiance</w:t>
      </w:r>
    </w:p>
    <w:p>
      <w:pPr>
        <w:pStyle w:val="ListBullet"/>
        <w:jc w:val="left"/>
      </w:pPr>
      <w:r>
        <w:rPr>
          <w:rFonts w:ascii="Arial" w:hAnsi="Arial" w:cs="Arial"/>
          <w:b w:val="0"/>
          <w:color w:val="404040"/>
          <w:sz w:val="21"/>
        </w:rPr>
        <w:t>Commentaires de dirigeants, fondateurs et partenaires professionnels.</w:t>
      </w:r>
    </w:p>
    <w:p>
      <w:pPr>
        <w:pStyle w:val="ListBullet"/>
        <w:jc w:val="left"/>
      </w:pPr>
      <w:r>
        <w:rPr>
          <w:rFonts w:ascii="Arial" w:hAnsi="Arial" w:cs="Arial"/>
          <w:b w:val="0"/>
          <w:color w:val="404040"/>
          <w:sz w:val="21"/>
        </w:rPr>
        <w:t>Visites des profils d'experts et des pages de service.</w:t>
      </w:r>
    </w:p>
    <w:p>
      <w:pPr>
        <w:pStyle w:val="ListBullet"/>
        <w:jc w:val="left"/>
      </w:pPr>
      <w:r>
        <w:rPr>
          <w:rFonts w:ascii="Arial" w:hAnsi="Arial" w:cs="Arial"/>
          <w:b w:val="0"/>
          <w:color w:val="404040"/>
          <w:sz w:val="21"/>
        </w:rPr>
        <w:t>Téléchargements de guides et inscriptions à la newsletter.</w:t>
      </w:r>
    </w:p>
    <w:p>
      <w:pPr>
        <w:pStyle w:val="ListBullet"/>
        <w:jc w:val="left"/>
      </w:pPr>
      <w:r>
        <w:rPr>
          <w:rFonts w:ascii="Arial" w:hAnsi="Arial" w:cs="Arial"/>
          <w:b w:val="0"/>
          <w:color w:val="404040"/>
          <w:sz w:val="21"/>
        </w:rPr>
        <w:t>Messages qui citent un contenu précis.</w:t>
      </w:r>
    </w:p>
    <w:p>
      <w:pPr>
        <w:pStyle w:val="Heading2"/>
        <w:jc w:val="left"/>
      </w:pPr>
      <w:r>
        <w:rPr>
          <w:rFonts w:ascii="Arial" w:hAnsi="Arial" w:cs="Arial"/>
          <w:b/>
          <w:color w:val="000000"/>
          <w:sz w:val="30"/>
        </w:rPr>
        <w:t>Indicateurs commerciaux</w:t>
      </w:r>
    </w:p>
    <w:p>
      <w:pPr>
        <w:pStyle w:val="ListBullet"/>
        <w:jc w:val="left"/>
      </w:pPr>
      <w:r>
        <w:rPr>
          <w:rFonts w:ascii="Arial" w:hAnsi="Arial" w:cs="Arial"/>
          <w:b w:val="0"/>
          <w:color w:val="404040"/>
          <w:sz w:val="21"/>
        </w:rPr>
        <w:t>Conversations WhatsApp qualifiées.</w:t>
      </w:r>
    </w:p>
    <w:p>
      <w:pPr>
        <w:pStyle w:val="ListBullet"/>
        <w:jc w:val="left"/>
      </w:pPr>
      <w:r>
        <w:rPr>
          <w:rFonts w:ascii="Arial" w:hAnsi="Arial" w:cs="Arial"/>
          <w:b w:val="0"/>
          <w:color w:val="404040"/>
          <w:sz w:val="21"/>
        </w:rPr>
        <w:t>Diagnostics réservés et taux de présence.</w:t>
      </w:r>
    </w:p>
    <w:p>
      <w:pPr>
        <w:pStyle w:val="ListBullet"/>
        <w:jc w:val="left"/>
      </w:pPr>
      <w:r>
        <w:rPr>
          <w:rFonts w:ascii="Arial" w:hAnsi="Arial" w:cs="Arial"/>
          <w:b w:val="0"/>
          <w:color w:val="404040"/>
          <w:sz w:val="21"/>
        </w:rPr>
        <w:t>Propositions envoyées et contrats signés.</w:t>
      </w:r>
    </w:p>
    <w:p>
      <w:pPr>
        <w:pStyle w:val="ListBullet"/>
        <w:jc w:val="left"/>
      </w:pPr>
      <w:r>
        <w:rPr>
          <w:rFonts w:ascii="Arial" w:hAnsi="Arial" w:cs="Arial"/>
          <w:b w:val="0"/>
          <w:color w:val="404040"/>
          <w:sz w:val="21"/>
        </w:rPr>
        <w:t>Coût par opportunité qualifiée et coût d'acquisition en cas de publicité.</w:t>
      </w:r>
    </w:p>
    <w:p>
      <w:pPr>
        <w:pStyle w:val="ListBullet"/>
        <w:jc w:val="left"/>
      </w:pPr>
      <w:r>
        <w:rPr>
          <w:rFonts w:ascii="Arial" w:hAnsi="Arial" w:cs="Arial"/>
          <w:b w:val="0"/>
          <w:color w:val="404040"/>
          <w:sz w:val="21"/>
        </w:rPr>
        <w:t>Valeur du pipeline attribuable au contenu.</w:t>
      </w:r>
    </w:p>
    <w:p>
      <w:pPr>
        <w:pStyle w:val="Heading2"/>
        <w:jc w:val="left"/>
      </w:pPr>
      <w:r>
        <w:rPr>
          <w:rFonts w:ascii="Arial" w:hAnsi="Arial" w:cs="Arial"/>
          <w:b/>
          <w:color w:val="000000"/>
          <w:sz w:val="30"/>
        </w:rPr>
        <w:t>Tableau de pilotage hebdomadaire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36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Indicateur</w:t>
            </w:r>
          </w:p>
        </w:tc>
        <w:tc>
          <w:tcPr>
            <w:tcW w:type="dxa" w:w="532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Question de gestion</w:t>
            </w:r>
          </w:p>
        </w:tc>
        <w:tc>
          <w:tcPr>
            <w:tcW w:type="dxa" w:w="280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Décision attendue</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Trois contenus les plus enregistrés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Quel sujet est le plus utile</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Produire une suite ou une ressource</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Vidéo au meilleur taux de complétion</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Quelle accroche et quel style fonctionnent</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Réutiliser le format</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Source des conversations qualifiées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Quel canal contribue réellement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Réallouer le temps et le budget</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Page au meilleur taux de conversion</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Quelle offre est la plus claire</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Améliorer le message et l'appel à l'action</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Motifs de refus des propositions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Confiance, prix, périmètre ou calendrier</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Créer un contenu ou ajuster l'offre</w:t>
            </w:r>
          </w:p>
        </w:tc>
      </w:tr>
    </w:tbl>
    <w:p>
      <w:pPr>
        <w:spacing w:after="40"/>
      </w:pPr>
    </w:p>
    <w:p>
      <w:pPr>
        <w:pStyle w:val="Heading1"/>
        <w:jc w:val="left"/>
      </w:pPr>
      <w:r>
        <w:rPr>
          <w:rFonts w:ascii="Arial" w:hAnsi="Arial" w:cs="Arial"/>
          <w:b/>
          <w:color w:val="000000"/>
          <w:sz w:val="38"/>
        </w:rPr>
        <w:t>Processus de production</w:t>
      </w:r>
    </w:p>
    <w:p>
      <w:pPr>
        <w:pStyle w:val="Heading2"/>
        <w:jc w:val="left"/>
      </w:pPr>
      <w:r>
        <w:rPr>
          <w:rFonts w:ascii="Arial" w:hAnsi="Arial" w:cs="Arial"/>
          <w:b/>
          <w:color w:val="000000"/>
          <w:sz w:val="30"/>
        </w:rPr>
        <w:t>Chaque mois</w:t>
      </w:r>
    </w:p>
    <w:p>
      <w:pPr>
        <w:jc w:val="left"/>
      </w:pPr>
      <w:r>
        <w:rPr>
          <w:rFonts w:ascii="Arial" w:hAnsi="Arial" w:cs="Arial"/>
          <w:b w:val="0"/>
          <w:color w:val="404040"/>
          <w:sz w:val="22"/>
        </w:rPr>
        <w:t>Un expert financier ou fiscal rencontre le responsable du contenu pendant 60 minutes. L'équipe extrait douze questions réellement posées par les clients et les dossiers : quatre sujets à risque élevé, quatre à forte intention commerciale et quatre consacrés à la confiance. Quatre vidéos sont tournées pendant une même séance, puis transformées en textes, carrousels et extraits.</w:t>
      </w:r>
    </w:p>
    <w:p>
      <w:pPr>
        <w:pStyle w:val="Heading2"/>
        <w:jc w:val="left"/>
      </w:pPr>
      <w:r>
        <w:rPr>
          <w:rFonts w:ascii="Arial" w:hAnsi="Arial" w:cs="Arial"/>
          <w:b/>
          <w:color w:val="000000"/>
          <w:sz w:val="30"/>
        </w:rPr>
        <w:t>Chaque semaine</w:t>
      </w:r>
    </w:p>
    <w:p>
      <w:pPr>
        <w:pStyle w:val="ListNumber"/>
        <w:jc w:val="left"/>
      </w:pPr>
      <w:r>
        <w:rPr>
          <w:rFonts w:ascii="Arial" w:hAnsi="Arial" w:cs="Arial"/>
          <w:b w:val="0"/>
          <w:color w:val="404040"/>
          <w:sz w:val="21"/>
        </w:rPr>
        <w:t>Lundi vérification du sujet, de la source et de la date.</w:t>
      </w:r>
    </w:p>
    <w:p>
      <w:pPr>
        <w:pStyle w:val="ListNumber"/>
        <w:jc w:val="left"/>
      </w:pPr>
      <w:r>
        <w:rPr>
          <w:rFonts w:ascii="Arial" w:hAnsi="Arial" w:cs="Arial"/>
          <w:b w:val="0"/>
          <w:color w:val="404040"/>
          <w:sz w:val="21"/>
        </w:rPr>
        <w:t>Mardi rédaction et conception de la semaine suivante.</w:t>
      </w:r>
    </w:p>
    <w:p>
      <w:pPr>
        <w:pStyle w:val="ListNumber"/>
        <w:jc w:val="left"/>
      </w:pPr>
      <w:r>
        <w:rPr>
          <w:rFonts w:ascii="Arial" w:hAnsi="Arial" w:cs="Arial"/>
          <w:b w:val="0"/>
          <w:color w:val="404040"/>
          <w:sz w:val="21"/>
        </w:rPr>
        <w:t>Mercredi validation par l'expert et contrôle de conformité.</w:t>
      </w:r>
    </w:p>
    <w:p>
      <w:pPr>
        <w:pStyle w:val="ListNumber"/>
        <w:jc w:val="left"/>
      </w:pPr>
      <w:r>
        <w:rPr>
          <w:rFonts w:ascii="Arial" w:hAnsi="Arial" w:cs="Arial"/>
          <w:b w:val="0"/>
          <w:color w:val="404040"/>
          <w:sz w:val="21"/>
        </w:rPr>
        <w:t>Jeudi programmation des versions adaptées à chaque canal.</w:t>
      </w:r>
    </w:p>
    <w:p>
      <w:pPr>
        <w:pStyle w:val="ListNumber"/>
        <w:jc w:val="left"/>
      </w:pPr>
      <w:r>
        <w:rPr>
          <w:rFonts w:ascii="Arial" w:hAnsi="Arial" w:cs="Arial"/>
          <w:b w:val="0"/>
          <w:color w:val="404040"/>
          <w:sz w:val="21"/>
        </w:rPr>
        <w:t>Vendredi lecture des données et collecte des nouvelles questions.</w:t>
      </w:r>
    </w:p>
    <w:p>
      <w:pPr>
        <w:pStyle w:val="Heading2"/>
        <w:jc w:val="left"/>
      </w:pPr>
      <w:r>
        <w:rPr>
          <w:rFonts w:ascii="Arial" w:hAnsi="Arial" w:cs="Arial"/>
          <w:b/>
          <w:color w:val="000000"/>
          <w:sz w:val="30"/>
        </w:rPr>
        <w:t>Niveau minimal de qualité</w:t>
      </w:r>
    </w:p>
    <w:p>
      <w:pPr>
        <w:pStyle w:val="ListBullet"/>
        <w:jc w:val="left"/>
      </w:pPr>
      <w:r>
        <w:rPr>
          <w:rFonts w:ascii="Arial" w:hAnsi="Arial" w:cs="Arial"/>
          <w:b w:val="0"/>
          <w:color w:val="404040"/>
          <w:sz w:val="21"/>
        </w:rPr>
        <w:t>Toute information réglementaire possède une source officielle et une date de vérification.</w:t>
      </w:r>
    </w:p>
    <w:p>
      <w:pPr>
        <w:pStyle w:val="ListBullet"/>
        <w:jc w:val="left"/>
      </w:pPr>
      <w:r>
        <w:rPr>
          <w:rFonts w:ascii="Arial" w:hAnsi="Arial" w:cs="Arial"/>
          <w:b w:val="0"/>
          <w:color w:val="404040"/>
          <w:sz w:val="21"/>
        </w:rPr>
        <w:t>Tout cas publié est autorisé ou entièrement anonymisé.</w:t>
      </w:r>
    </w:p>
    <w:p>
      <w:pPr>
        <w:pStyle w:val="ListBullet"/>
        <w:jc w:val="left"/>
      </w:pPr>
      <w:r>
        <w:rPr>
          <w:rFonts w:ascii="Arial" w:hAnsi="Arial" w:cs="Arial"/>
          <w:b w:val="0"/>
          <w:color w:val="404040"/>
          <w:sz w:val="21"/>
        </w:rPr>
        <w:t>Toute vidéo possède des sous-titres et un son intelligible.</w:t>
      </w:r>
    </w:p>
    <w:p>
      <w:pPr>
        <w:pStyle w:val="ListBullet"/>
        <w:jc w:val="left"/>
      </w:pPr>
      <w:r>
        <w:rPr>
          <w:rFonts w:ascii="Arial" w:hAnsi="Arial" w:cs="Arial"/>
          <w:b w:val="0"/>
          <w:color w:val="404040"/>
          <w:sz w:val="21"/>
        </w:rPr>
        <w:t>Toute publication propose une seule action.</w:t>
      </w:r>
    </w:p>
    <w:p>
      <w:pPr>
        <w:pStyle w:val="ListBullet"/>
        <w:jc w:val="left"/>
      </w:pPr>
      <w:r>
        <w:rPr>
          <w:rFonts w:ascii="Arial" w:hAnsi="Arial" w:cs="Arial"/>
          <w:b w:val="0"/>
          <w:color w:val="404040"/>
          <w:sz w:val="21"/>
        </w:rPr>
        <w:t>Toute campagne utilise un lien de suivi distinct.</w:t>
      </w:r>
    </w:p>
    <w:p>
      <w:pPr>
        <w:pStyle w:val="ListBullet"/>
        <w:jc w:val="left"/>
      </w:pPr>
      <w:r>
        <w:rPr>
          <w:rFonts w:ascii="Arial" w:hAnsi="Arial" w:cs="Arial"/>
          <w:b w:val="0"/>
          <w:color w:val="404040"/>
          <w:sz w:val="21"/>
        </w:rPr>
        <w:t>Tous les comptes affichent les mêmes nom, identité et coordonnées.</w:t>
      </w:r>
    </w:p>
    <w:p>
      <w:pPr>
        <w:pStyle w:val="Heading1"/>
        <w:jc w:val="left"/>
      </w:pPr>
      <w:r>
        <w:rPr>
          <w:rFonts w:ascii="Arial" w:hAnsi="Arial" w:cs="Arial"/>
          <w:b/>
          <w:color w:val="000000"/>
          <w:sz w:val="38"/>
        </w:rPr>
        <w:t>Feuille de route sur 30 60 et 90 jours</w:t>
      </w:r>
    </w:p>
    <w:p>
      <w:pPr>
        <w:pStyle w:val="Heading2"/>
        <w:jc w:val="left"/>
      </w:pPr>
      <w:r>
        <w:rPr>
          <w:rFonts w:ascii="Arial" w:hAnsi="Arial" w:cs="Arial"/>
          <w:b/>
          <w:color w:val="000000"/>
          <w:sz w:val="30"/>
        </w:rPr>
        <w:t>Premiers 30 jours</w:t>
      </w:r>
    </w:p>
    <w:p>
      <w:pPr>
        <w:pStyle w:val="ListBullet"/>
        <w:jc w:val="left"/>
      </w:pPr>
      <w:r>
        <w:rPr>
          <w:rFonts w:ascii="Arial" w:hAnsi="Arial" w:cs="Arial"/>
          <w:b w:val="0"/>
          <w:color w:val="404040"/>
          <w:sz w:val="21"/>
        </w:rPr>
        <w:t>Fixer les noms officiels des comptes et les relier au site.</w:t>
      </w:r>
    </w:p>
    <w:p>
      <w:pPr>
        <w:pStyle w:val="ListBullet"/>
        <w:jc w:val="left"/>
      </w:pPr>
      <w:r>
        <w:rPr>
          <w:rFonts w:ascii="Arial" w:hAnsi="Arial" w:cs="Arial"/>
          <w:b w:val="0"/>
          <w:color w:val="404040"/>
          <w:sz w:val="21"/>
        </w:rPr>
        <w:t>Harmoniser domaine, téléphone, adresse électronique et statistiques entre le site public et les fichiers du projet.</w:t>
      </w:r>
    </w:p>
    <w:p>
      <w:pPr>
        <w:pStyle w:val="ListBullet"/>
        <w:jc w:val="left"/>
      </w:pPr>
      <w:r>
        <w:rPr>
          <w:rFonts w:ascii="Arial" w:hAnsi="Arial" w:cs="Arial"/>
          <w:b w:val="0"/>
          <w:color w:val="404040"/>
          <w:sz w:val="21"/>
        </w:rPr>
        <w:t>Produire une bibliothèque de 20 photos originales et quatre vidéos.</w:t>
      </w:r>
    </w:p>
    <w:p>
      <w:pPr>
        <w:pStyle w:val="ListBullet"/>
        <w:jc w:val="left"/>
      </w:pPr>
      <w:r>
        <w:rPr>
          <w:rFonts w:ascii="Arial" w:hAnsi="Arial" w:cs="Arial"/>
          <w:b w:val="0"/>
          <w:color w:val="404040"/>
          <w:sz w:val="21"/>
        </w:rPr>
        <w:t>Préparer trois modèles de carrousel, un modèle vidéo et un modèle d'alerte.</w:t>
      </w:r>
    </w:p>
    <w:p>
      <w:pPr>
        <w:pStyle w:val="ListBullet"/>
        <w:jc w:val="left"/>
      </w:pPr>
      <w:r>
        <w:rPr>
          <w:rFonts w:ascii="Arial" w:hAnsi="Arial" w:cs="Arial"/>
          <w:b w:val="0"/>
          <w:color w:val="404040"/>
          <w:sz w:val="21"/>
        </w:rPr>
        <w:t>Lancer quatre publications par semaine et établir les indicateurs de référence.</w:t>
      </w:r>
    </w:p>
    <w:p>
      <w:pPr>
        <w:pStyle w:val="ListBullet"/>
        <w:jc w:val="left"/>
      </w:pPr>
      <w:r>
        <w:rPr>
          <w:rFonts w:ascii="Arial" w:hAnsi="Arial" w:cs="Arial"/>
          <w:b w:val="0"/>
          <w:color w:val="404040"/>
          <w:sz w:val="21"/>
        </w:rPr>
        <w:t>Publier la première checklist Implantation Maroc Europe.</w:t>
      </w:r>
    </w:p>
    <w:p>
      <w:pPr>
        <w:pStyle w:val="Heading2"/>
        <w:jc w:val="left"/>
      </w:pPr>
      <w:r>
        <w:rPr>
          <w:rFonts w:ascii="Arial" w:hAnsi="Arial" w:cs="Arial"/>
          <w:b/>
          <w:color w:val="000000"/>
          <w:sz w:val="30"/>
        </w:rPr>
        <w:t>Jusqu'à 60 jours</w:t>
      </w:r>
    </w:p>
    <w:p>
      <w:pPr>
        <w:pStyle w:val="ListBullet"/>
        <w:jc w:val="left"/>
      </w:pPr>
      <w:r>
        <w:rPr>
          <w:rFonts w:ascii="Arial" w:hAnsi="Arial" w:cs="Arial"/>
          <w:b w:val="0"/>
          <w:color w:val="404040"/>
          <w:sz w:val="21"/>
        </w:rPr>
        <w:t>Publier deux articles approfondis et une page d'atterrissage spécialisée.</w:t>
      </w:r>
    </w:p>
    <w:p>
      <w:pPr>
        <w:pStyle w:val="ListBullet"/>
        <w:jc w:val="left"/>
      </w:pPr>
      <w:r>
        <w:rPr>
          <w:rFonts w:ascii="Arial" w:hAnsi="Arial" w:cs="Arial"/>
          <w:b w:val="0"/>
          <w:color w:val="404040"/>
          <w:sz w:val="21"/>
        </w:rPr>
        <w:t>Envoyer la première newsletter mensuelle.</w:t>
      </w:r>
    </w:p>
    <w:p>
      <w:pPr>
        <w:pStyle w:val="ListBullet"/>
        <w:jc w:val="left"/>
      </w:pPr>
      <w:r>
        <w:rPr>
          <w:rFonts w:ascii="Arial" w:hAnsi="Arial" w:cs="Arial"/>
          <w:b w:val="0"/>
          <w:color w:val="404040"/>
          <w:sz w:val="21"/>
        </w:rPr>
        <w:t>Organiser une session de questions ou un webinaire court.</w:t>
      </w:r>
    </w:p>
    <w:p>
      <w:pPr>
        <w:pStyle w:val="ListBullet"/>
        <w:jc w:val="left"/>
      </w:pPr>
      <w:r>
        <w:rPr>
          <w:rFonts w:ascii="Arial" w:hAnsi="Arial" w:cs="Arial"/>
          <w:b w:val="0"/>
          <w:color w:val="404040"/>
          <w:sz w:val="21"/>
        </w:rPr>
        <w:t>Commencer le reciblage après validation de conformité.</w:t>
      </w:r>
    </w:p>
    <w:p>
      <w:pPr>
        <w:pStyle w:val="ListBullet"/>
        <w:jc w:val="left"/>
      </w:pPr>
      <w:r>
        <w:rPr>
          <w:rFonts w:ascii="Arial" w:hAnsi="Arial" w:cs="Arial"/>
          <w:b w:val="0"/>
          <w:color w:val="404040"/>
          <w:sz w:val="21"/>
        </w:rPr>
        <w:t>Activer les experts MEC sur LinkedIn avec une publication personnelle par semaine.</w:t>
      </w:r>
    </w:p>
    <w:p>
      <w:pPr>
        <w:pStyle w:val="Heading2"/>
        <w:jc w:val="left"/>
      </w:pPr>
      <w:r>
        <w:rPr>
          <w:rFonts w:ascii="Arial" w:hAnsi="Arial" w:cs="Arial"/>
          <w:b/>
          <w:color w:val="000000"/>
          <w:sz w:val="30"/>
        </w:rPr>
        <w:t>Jusqu'à 90 jours</w:t>
      </w:r>
    </w:p>
    <w:p>
      <w:pPr>
        <w:pStyle w:val="ListBullet"/>
        <w:jc w:val="left"/>
      </w:pPr>
      <w:r>
        <w:rPr>
          <w:rFonts w:ascii="Arial" w:hAnsi="Arial" w:cs="Arial"/>
          <w:b w:val="0"/>
          <w:color w:val="404040"/>
          <w:sz w:val="21"/>
        </w:rPr>
        <w:t>Lancer un deuxième outil de diagnostic sous forme de scorecard.</w:t>
      </w:r>
    </w:p>
    <w:p>
      <w:pPr>
        <w:pStyle w:val="ListBullet"/>
        <w:jc w:val="left"/>
      </w:pPr>
      <w:r>
        <w:rPr>
          <w:rFonts w:ascii="Arial" w:hAnsi="Arial" w:cs="Arial"/>
          <w:b w:val="0"/>
          <w:color w:val="404040"/>
          <w:sz w:val="21"/>
        </w:rPr>
        <w:t>Comparer les performances du français, de l'arabe et de l'espagnol.</w:t>
      </w:r>
    </w:p>
    <w:p>
      <w:pPr>
        <w:pStyle w:val="ListBullet"/>
        <w:jc w:val="left"/>
      </w:pPr>
      <w:r>
        <w:rPr>
          <w:rFonts w:ascii="Arial" w:hAnsi="Arial" w:cs="Arial"/>
          <w:b w:val="0"/>
          <w:color w:val="404040"/>
          <w:sz w:val="21"/>
        </w:rPr>
        <w:t>Documenter le premier cas publiable.</w:t>
      </w:r>
    </w:p>
    <w:p>
      <w:pPr>
        <w:pStyle w:val="ListBullet"/>
        <w:jc w:val="left"/>
      </w:pPr>
      <w:r>
        <w:rPr>
          <w:rFonts w:ascii="Arial" w:hAnsi="Arial" w:cs="Arial"/>
          <w:b w:val="0"/>
          <w:color w:val="404040"/>
          <w:sz w:val="21"/>
        </w:rPr>
        <w:t>Arrêter les piliers faibles et renforcer les meilleurs.</w:t>
      </w:r>
    </w:p>
    <w:p>
      <w:pPr>
        <w:pStyle w:val="ListBullet"/>
        <w:jc w:val="left"/>
      </w:pPr>
      <w:r>
        <w:rPr>
          <w:rFonts w:ascii="Arial" w:hAnsi="Arial" w:cs="Arial"/>
          <w:b w:val="0"/>
          <w:color w:val="404040"/>
          <w:sz w:val="21"/>
        </w:rPr>
        <w:t>Planifier le trimestre suivant à partir des opportunités qualifiées et des contrats, pas uniquement de l'engagement.</w:t>
      </w:r>
    </w:p>
    <w:p>
      <w:pPr>
        <w:pStyle w:val="Heading1"/>
        <w:jc w:val="left"/>
      </w:pPr>
      <w:r>
        <w:rPr>
          <w:rFonts w:ascii="Arial" w:hAnsi="Arial" w:cs="Arial"/>
          <w:b/>
          <w:color w:val="000000"/>
          <w:sz w:val="38"/>
        </w:rPr>
        <w:t>Risques et conformité</w:t>
      </w:r>
    </w:p>
    <w:p>
      <w:pPr>
        <w:jc w:val="left"/>
      </w:pPr>
      <w:r>
        <w:rPr>
          <w:rFonts w:ascii="Arial" w:hAnsi="Arial" w:cs="Arial"/>
          <w:b w:val="0"/>
          <w:color w:val="404040"/>
          <w:sz w:val="22"/>
        </w:rPr>
        <w:t>Le Code des devoirs professionnels publié par l'Ordre des Experts-Comptables du Maroc interdit la publicité personnelle, à l'exception de certaines communications liées à la formation ou au recrutement, et distingue les informations présentes sur le site et les documents de présentation. Il interdit également le démarchage direct et les conférences à caractère publicitaire. Il ne faut donc pas déduire qu'une publicité, un message LinkedIn ou une offre promotionnelle est autorisé au seul motif qu'un concurrent utilise ce format.</w:t>
      </w:r>
    </w:p>
    <w:p>
      <w:pPr>
        <w:jc w:val="left"/>
      </w:pPr>
      <w:r>
        <w:rPr>
          <w:rFonts w:ascii="Arial" w:hAnsi="Arial" w:cs="Arial"/>
          <w:b w:val="0"/>
          <w:color w:val="404040"/>
          <w:sz w:val="22"/>
        </w:rPr>
        <w:t>Avant le déploiement, MEC doit :</w:t>
      </w:r>
    </w:p>
    <w:p>
      <w:pPr>
        <w:pStyle w:val="ListBullet"/>
        <w:jc w:val="left"/>
      </w:pPr>
      <w:r>
        <w:rPr>
          <w:rFonts w:ascii="Arial" w:hAnsi="Arial" w:cs="Arial"/>
          <w:b w:val="0"/>
          <w:color w:val="404040"/>
          <w:sz w:val="21"/>
        </w:rPr>
        <w:t>Confirmer si l'entreprise et les personnes visibles relèvent d'un ordre professionnel.</w:t>
      </w:r>
    </w:p>
    <w:p>
      <w:pPr>
        <w:pStyle w:val="ListBullet"/>
        <w:jc w:val="left"/>
      </w:pPr>
      <w:r>
        <w:rPr>
          <w:rFonts w:ascii="Arial" w:hAnsi="Arial" w:cs="Arial"/>
          <w:b w:val="0"/>
          <w:color w:val="404040"/>
          <w:sz w:val="21"/>
        </w:rPr>
        <w:t>Obtenir une interprétation écrite d'un conseil juridique ou de l'instance régionale concernant les réseaux sociaux, les publicités et les modèles proposés.</w:t>
      </w:r>
    </w:p>
    <w:p>
      <w:pPr>
        <w:pStyle w:val="ListBullet"/>
        <w:jc w:val="left"/>
      </w:pPr>
      <w:r>
        <w:rPr>
          <w:rFonts w:ascii="Arial" w:hAnsi="Arial" w:cs="Arial"/>
          <w:b w:val="0"/>
          <w:color w:val="404040"/>
          <w:sz w:val="21"/>
        </w:rPr>
        <w:t>Utiliser des contenus pédagogiques datés et sans comparaison agressive ni résultat garanti jusqu'à clarification.</w:t>
      </w:r>
    </w:p>
    <w:p>
      <w:pPr>
        <w:pStyle w:val="ListBullet"/>
        <w:jc w:val="left"/>
      </w:pPr>
      <w:r>
        <w:rPr>
          <w:rFonts w:ascii="Arial" w:hAnsi="Arial" w:cs="Arial"/>
          <w:b w:val="0"/>
          <w:color w:val="404040"/>
          <w:sz w:val="21"/>
        </w:rPr>
        <w:t>Ne citer aucun client, résultat ou logo sans autorisation documentée.</w:t>
      </w:r>
    </w:p>
    <w:p>
      <w:pPr>
        <w:pStyle w:val="ListBullet"/>
        <w:jc w:val="left"/>
      </w:pPr>
      <w:r>
        <w:rPr>
          <w:rFonts w:ascii="Arial" w:hAnsi="Arial" w:cs="Arial"/>
          <w:b w:val="0"/>
          <w:color w:val="404040"/>
          <w:sz w:val="21"/>
        </w:rPr>
        <w:t>Vérifier la collecte de données, le suivi publicitaire et les formulaires au regard de la loi marocaine 09-08 et des règles européennes applicables au public visé.</w:t>
      </w:r>
    </w:p>
    <w:p>
      <w:pPr>
        <w:pStyle w:val="Heading1"/>
        <w:jc w:val="left"/>
      </w:pPr>
      <w:r>
        <w:rPr>
          <w:rFonts w:ascii="Arial" w:hAnsi="Arial" w:cs="Arial"/>
          <w:b/>
          <w:color w:val="000000"/>
          <w:sz w:val="38"/>
        </w:rPr>
        <w:t>Décision recommandée</w:t>
      </w:r>
    </w:p>
    <w:p>
      <w:pPr>
        <w:jc w:val="left"/>
      </w:pPr>
      <w:r>
        <w:rPr>
          <w:rFonts w:ascii="Arial" w:hAnsi="Arial" w:cs="Arial"/>
          <w:b w:val="0"/>
          <w:color w:val="404040"/>
          <w:sz w:val="22"/>
        </w:rPr>
        <w:t>MEC doit lancer une stratégie de contenu portée par ses experts et centrée sur les opérations Maroc-Europe. LinkedIn reçoit l'investissement éditorial principal. Les vidéos sont redistribuées sur Instagram et Facebook, tandis que le site et WhatsApp assurent la conversion. Le premier trimestre sert à vérifier trois points : le public qui répond le mieux, le problème qui génère les conversations les plus qualifiées et le format qui construit la confiance avec un coût de production soutenable.</w:t>
      </w:r>
    </w:p>
    <w:p>
      <w:pPr>
        <w:jc w:val="left"/>
      </w:pPr>
      <w:r>
        <w:rPr>
          <w:rFonts w:ascii="Arial" w:hAnsi="Arial" w:cs="Arial"/>
          <w:b w:val="0"/>
          <w:color w:val="404040"/>
          <w:sz w:val="22"/>
        </w:rPr>
        <w:t>Quatre publications hebdomadaires, dont au moins une vidéo, une ressource mensuelle et une revue de données chaque semaine donneront à MEC une base exploitable après 90 jours. Une campagne générale ou une prospection commerciale lancée avant la création de cette bibliothèque pousserait la marque vers une concurrence fondée sur le prix et une confiance encore insuffisamment démontrée.</w:t>
      </w:r>
    </w:p>
    <w:p>
      <w:pPr>
        <w:pStyle w:val="Heading1"/>
        <w:jc w:val="left"/>
      </w:pPr>
      <w:r>
        <w:rPr>
          <w:rFonts w:ascii="Arial" w:hAnsi="Arial" w:cs="Arial"/>
          <w:b/>
          <w:color w:val="000000"/>
          <w:sz w:val="38"/>
        </w:rPr>
        <w:t>Sources</w:t>
      </w:r>
    </w:p>
    <w:p>
      <w:pPr>
        <w:pStyle w:val="ListNumber"/>
        <w:jc w:val="left"/>
      </w:pPr>
      <w:r>
        <w:rPr>
          <w:rFonts w:ascii="Arial" w:hAnsi="Arial" w:cs="Arial"/>
          <w:b w:val="0"/>
          <w:color w:val="404040"/>
          <w:sz w:val="21"/>
        </w:rPr>
        <w:t xml:space="preserve">Morocco Europe Consulting, site public, consulté le 8 septembre 2026 : </w:t>
      </w:r>
      <w:hyperlink r:id="rId11">
        <w:r>
          <w:rPr>
            <w:rFonts w:ascii="Arial" w:hAnsi="Arial" w:cs="Arial"/>
            <w:color w:val="001F3F"/>
            <w:u w:val="single"/>
          </w:rPr>
          <w:t>Ouvrir la source</w:t>
        </w:r>
      </w:hyperlink>
    </w:p>
    <w:p>
      <w:pPr>
        <w:pStyle w:val="ListNumber"/>
        <w:jc w:val="left"/>
      </w:pPr>
      <w:r>
        <w:rPr>
          <w:rFonts w:ascii="Arial" w:hAnsi="Arial" w:cs="Arial"/>
          <w:b w:val="0"/>
          <w:color w:val="404040"/>
          <w:sz w:val="21"/>
        </w:rPr>
        <w:t>Fichiers internes du projet MEC, notamment site.ts, services.ts, stats.ts et brand-board.png, consultés le 8 septembre 2026.</w:t>
      </w:r>
    </w:p>
    <w:p>
      <w:pPr>
        <w:pStyle w:val="ListNumber"/>
        <w:jc w:val="left"/>
      </w:pPr>
      <w:r>
        <w:rPr>
          <w:rFonts w:ascii="Arial" w:hAnsi="Arial" w:cs="Arial"/>
          <w:b w:val="0"/>
          <w:color w:val="404040"/>
          <w:sz w:val="21"/>
        </w:rPr>
        <w:t xml:space="preserve">Simon Kemp, Digital 2026 Morocco, DataReportal, novembre 2025, données arrêtées à octobre 2025 : </w:t>
      </w:r>
      <w:hyperlink r:id="rId12">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Upsilon Consulting, page LinkedIn, consultée le 8 septembre 2026 : </w:t>
      </w:r>
      <w:hyperlink r:id="rId13">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Upsilon Consulting, site et articles, consultés le 8 septembre 2026 : </w:t>
      </w:r>
      <w:hyperlink r:id="rId14">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FAIR UP Advisory, page LinkedIn, consultée le 8 septembre 2026 : </w:t>
      </w:r>
      <w:hyperlink r:id="rId15">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FAIR UP Advisory, site et offres, consultés le 8 septembre 2026 : </w:t>
      </w:r>
      <w:hyperlink r:id="rId16">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Cabinet PFC du Nord, page LinkedIn, consultée le 8 septembre 2026 : </w:t>
      </w:r>
      <w:hyperlink r:id="rId17">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UHY Ben Mokhtar and Co, page LinkedIn, consultée le 8 septembre 2026 : </w:t>
      </w:r>
      <w:hyperlink r:id="rId18">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AAFIR Audit and Consulting Morocco, page LinkedIn, consultée le 8 septembre 2026 : </w:t>
      </w:r>
      <w:hyperlink r:id="rId19">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A and T Auditeurs Consultants, page LinkedIn, consultée le 8 septembre 2026 : </w:t>
      </w:r>
      <w:hyperlink r:id="rId20">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Cabinet Trust Comptable, page LinkedIn, consultée le 8 septembre 2026 : </w:t>
      </w:r>
      <w:hyperlink r:id="rId21">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Cabinet Dami and Associés, site consacré aux zones franches, consulté le 8 septembre 2026 : </w:t>
      </w:r>
      <w:hyperlink r:id="rId22">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CCME Consulting Maghreb Expertise, conseil fiscal, mis à jour en juin 2026 : </w:t>
      </w:r>
      <w:hyperlink r:id="rId23">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MCCG Majd Chraibi Consulting Group, page LinkedIn, consultée le 8 septembre 2026 : </w:t>
      </w:r>
      <w:hyperlink r:id="rId24">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BDO Morocco, page LinkedIn, consultée le 8 septembre 2026 : </w:t>
      </w:r>
      <w:hyperlink r:id="rId25">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PwC au Maroc, page LinkedIn, consultée le 8 septembre 2026 : </w:t>
      </w:r>
      <w:hyperlink r:id="rId26">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Fidaroc Grant Thornton, page LinkedIn, consultée le 8 septembre 2026 : </w:t>
      </w:r>
      <w:hyperlink r:id="rId27">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LinkedIn Creative Labs, The Art and Science of Video Storytelling, 2025 : </w:t>
      </w:r>
      <w:hyperlink r:id="rId28">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LinkedIn et Ipsos, What Works in B2B Video, mars 2025 : </w:t>
      </w:r>
      <w:hyperlink r:id="rId29">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LinkedIn Marketing Solutions, Document Ads, consulté le 8 septembre 2026 : </w:t>
      </w:r>
      <w:hyperlink r:id="rId30">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LinkedIn Marketing Solutions, Video Ads, consulté le 8 septembre 2026 : </w:t>
      </w:r>
      <w:hyperlink r:id="rId31">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LinkedIn et Interpret, Meet the SMB, juin 2024 : </w:t>
      </w:r>
      <w:hyperlink r:id="rId32">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Meta for Business, publicités Reels Instagram et Facebook, consulté le 8 septembre 2026 : </w:t>
      </w:r>
      <w:hyperlink r:id="rId33">
        <w:r>
          <w:rPr>
            <w:rFonts w:ascii="Arial" w:hAnsi="Arial" w:cs="Arial"/>
            <w:color w:val="001F3F"/>
            <w:u w:val="single"/>
          </w:rPr>
          <w:t>Ouvrir la source</w:t>
        </w:r>
      </w:hyperlink>
    </w:p>
    <w:p>
      <w:pPr>
        <w:pStyle w:val="ListNumber"/>
        <w:jc w:val="left"/>
      </w:pPr>
      <w:r>
        <w:rPr>
          <w:rFonts w:ascii="Arial" w:hAnsi="Arial" w:cs="Arial"/>
          <w:b w:val="0"/>
          <w:color w:val="404040"/>
          <w:sz w:val="21"/>
        </w:rPr>
        <w:t xml:space="preserve">Ordre des Experts-Comptables du Maroc, Code des devoirs professionnels : </w:t>
      </w:r>
      <w:hyperlink r:id="rId34">
        <w:r>
          <w:rPr>
            <w:rFonts w:ascii="Arial" w:hAnsi="Arial" w:cs="Arial"/>
            <w:color w:val="001F3F"/>
            <w:u w:val="single"/>
          </w:rPr>
          <w:t>Ouvrir la source</w:t>
        </w:r>
      </w:hyperlink>
    </w:p>
    <w:p>
      <w:pPr>
        <w:pStyle w:val="Heading1"/>
        <w:jc w:val="left"/>
      </w:pPr>
      <w:r>
        <w:rPr>
          <w:rFonts w:ascii="Arial" w:hAnsi="Arial" w:cs="Arial"/>
          <w:b/>
          <w:color w:val="000000"/>
          <w:sz w:val="38"/>
        </w:rPr>
        <w:t>Limites de l'étude</w:t>
      </w:r>
    </w:p>
    <w:p>
      <w:pPr>
        <w:jc w:val="left"/>
      </w:pPr>
      <w:r>
        <w:rPr>
          <w:rFonts w:ascii="Arial" w:hAnsi="Arial" w:cs="Arial"/>
          <w:b w:val="0"/>
          <w:color w:val="404040"/>
          <w:sz w:val="22"/>
        </w:rPr>
        <w:t>Il n'existe pas de registre public unique recensant toutes les entreprises qui proposent exactement le même ensemble de services que MEC. L'étude couvre donc douze concurrents ou références très proches, complétés par plusieurs pages de services spécialisées. Les nombres d'abonnés et les publications reflètent ce qui était visible publiquement à la date de consultation et peuvent évoluer. LinkedIn permet de consulter une partie des publications sans connexion, tandis qu'Instagram et Facebook limitent davantage l'indexation publique. L'analyse des formats est donc plus approfondie pour LinkedIn et les sites officiels. Une faible visibilité publique ne prouve pas l'absence d'activité dans un environnement fermé.</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color w:val="777777"/>
        <w:sz w:val="17"/>
      </w:rPr>
      <w:t xml:space="preserve">MEC Finance  |  Étude concurrentielle et stratégie marketing  |  </w:t>
    </w:r>
    <w:r>
      <w:rPr>
        <w:rFonts w:ascii="Arial" w:hAnsi="Arial" w:cs="Arial"/>
        <w:color w:val="777777"/>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s="Arial"/>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cs="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mo-eu-consulting.com/" TargetMode="External"/><Relationship Id="rId12" Type="http://schemas.openxmlformats.org/officeDocument/2006/relationships/hyperlink" Target="https://datareportal.com/reports/digital-2026-morocco" TargetMode="External"/><Relationship Id="rId13" Type="http://schemas.openxmlformats.org/officeDocument/2006/relationships/hyperlink" Target="https://fr.linkedin.com/company/upsilon-consulting" TargetMode="External"/><Relationship Id="rId14" Type="http://schemas.openxmlformats.org/officeDocument/2006/relationships/hyperlink" Target="https://www.upsilon-consulting.com/" TargetMode="External"/><Relationship Id="rId15" Type="http://schemas.openxmlformats.org/officeDocument/2006/relationships/hyperlink" Target="https://fr.linkedin.com/company/fairup-advisory" TargetMode="External"/><Relationship Id="rId16" Type="http://schemas.openxmlformats.org/officeDocument/2006/relationships/hyperlink" Target="https://fair-up.com/" TargetMode="External"/><Relationship Id="rId17" Type="http://schemas.openxmlformats.org/officeDocument/2006/relationships/hyperlink" Target="https://www.linkedin.com/company/cabinet-pfc-du-nord/" TargetMode="External"/><Relationship Id="rId18" Type="http://schemas.openxmlformats.org/officeDocument/2006/relationships/hyperlink" Target="https://ma.linkedin.com/company/uhy-ben-mokhtar-co" TargetMode="External"/><Relationship Id="rId19" Type="http://schemas.openxmlformats.org/officeDocument/2006/relationships/hyperlink" Target="https://ma.linkedin.com/company/aafir-audit-consulting-morocco" TargetMode="External"/><Relationship Id="rId20" Type="http://schemas.openxmlformats.org/officeDocument/2006/relationships/hyperlink" Target="https://fr.linkedin.com/company/a%26t-auditeurs-consultants" TargetMode="External"/><Relationship Id="rId21" Type="http://schemas.openxmlformats.org/officeDocument/2006/relationships/hyperlink" Target="https://ma.linkedin.com/company/cabinet-trust-comptable" TargetMode="External"/><Relationship Id="rId22" Type="http://schemas.openxmlformats.org/officeDocument/2006/relationships/hyperlink" Target="https://free-zone.cabinet-dami.com/" TargetMode="External"/><Relationship Id="rId23" Type="http://schemas.openxmlformats.org/officeDocument/2006/relationships/hyperlink" Target="https://ccme.ma/services/conseil-fiscal" TargetMode="External"/><Relationship Id="rId24" Type="http://schemas.openxmlformats.org/officeDocument/2006/relationships/hyperlink" Target="https://bo.linkedin.com/company/majd-chraibi-consulting-group-mccg-" TargetMode="External"/><Relationship Id="rId25" Type="http://schemas.openxmlformats.org/officeDocument/2006/relationships/hyperlink" Target="https://www.linkedin.com/company/bdo-maroc" TargetMode="External"/><Relationship Id="rId26" Type="http://schemas.openxmlformats.org/officeDocument/2006/relationships/hyperlink" Target="https://www.linkedin.com/company/pwc-au-maroc/" TargetMode="External"/><Relationship Id="rId27" Type="http://schemas.openxmlformats.org/officeDocument/2006/relationships/hyperlink" Target="https://www.linkedin.com/company/grant-thornton-maroc" TargetMode="External"/><Relationship Id="rId28" Type="http://schemas.openxmlformats.org/officeDocument/2006/relationships/hyperlink" Target="https://business.linkedin.com/content/dam/business/marketing-solutions/global/en_US/site/pdf/wp/2025/the-art-and-science-of-video.pdf" TargetMode="External"/><Relationship Id="rId29" Type="http://schemas.openxmlformats.org/officeDocument/2006/relationships/hyperlink" Target="https://business.linkedin.com/content/dam/business/marketing-solutions/global/en_US/site/pdf/wp/2025/2025-b2b-marketing-benchmark-trust-is-the-new-kpi.pdf" TargetMode="External"/><Relationship Id="rId30" Type="http://schemas.openxmlformats.org/officeDocument/2006/relationships/hyperlink" Target="https://business.linkedin.com/advertise/ads/sponsored-content/document-ads" TargetMode="External"/><Relationship Id="rId31" Type="http://schemas.openxmlformats.org/officeDocument/2006/relationships/hyperlink" Target="https://business.linkedin.com/advertise/ads/sponsored-content/video-ads" TargetMode="External"/><Relationship Id="rId32" Type="http://schemas.openxmlformats.org/officeDocument/2006/relationships/hyperlink" Target="https://business.linkedin.com/content/dam/me/business/en-us/marketing-solutions/cx/2024/pdf/meet-the-smb-global-report-by-linkedin.pdf" TargetMode="External"/><Relationship Id="rId33" Type="http://schemas.openxmlformats.org/officeDocument/2006/relationships/hyperlink" Target="https://www.facebook.com/business/ads/facebook-instagram-reels-ads" TargetMode="External"/><Relationship Id="rId34" Type="http://schemas.openxmlformats.org/officeDocument/2006/relationships/hyperlink" Target="https://app.oec.ma/uploads/Code_des_Devoirs_Professionnels_de_l_Ordre_des_Experts_Comptables_130378fa1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Stratégie marketing et plan de contenu de MEC Finance</dc:title>
  <dc:subject>Étude concurrentielle et stratégie de contenu sur 90 jours</dc:subject>
  <dc:creator>MEC Finance</dc:creator>
  <cp:keywords>MEC Finance, marketing, social media, Morocco, Europe</cp:keywords>
  <dc:description>generated by python-docx</dc:description>
  <cp:lastModifiedBy/>
  <cp:revision>1</cp:revision>
  <dcterms:created xsi:type="dcterms:W3CDTF">2013-12-23T23:15:00Z</dcterms:created>
  <dcterms:modified xsi:type="dcterms:W3CDTF">2013-12-23T23:15:00Z</dcterms:modified>
  <cp:category/>
</cp:coreProperties>
</file>