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FD226" w14:textId="6D351A63" w:rsidR="00734588" w:rsidRDefault="00734588" w:rsidP="00734588">
      <w:pPr>
        <w:shd w:val="clear" w:color="auto" w:fill="FFFFFF"/>
        <w:spacing w:after="0" w:line="240" w:lineRule="auto"/>
        <w:rPr>
          <w:rFonts w:ascii="Arial" w:eastAsia="Times New Roman" w:hAnsi="Arial" w:cs="Arial"/>
          <w:b/>
          <w:bCs/>
          <w:color w:val="202124"/>
          <w:kern w:val="0"/>
          <w:sz w:val="35"/>
          <w:szCs w:val="35"/>
          <w:lang w:val="en-GB" w:eastAsia="fr-FR"/>
          <w14:ligatures w14:val="none"/>
        </w:rPr>
      </w:pPr>
      <w:r w:rsidRPr="00734588">
        <w:rPr>
          <w:rFonts w:ascii="Arial" w:eastAsia="Times New Roman" w:hAnsi="Arial" w:cs="Arial"/>
          <w:b/>
          <w:bCs/>
          <w:color w:val="202124"/>
          <w:kern w:val="0"/>
          <w:sz w:val="35"/>
          <w:szCs w:val="35"/>
          <w:lang w:val="en-GB" w:eastAsia="fr-FR"/>
          <w14:ligatures w14:val="none"/>
        </w:rPr>
        <w:t>1.2 Item-level acces</w:t>
      </w:r>
      <w:r w:rsidR="009C533E">
        <w:rPr>
          <w:rFonts w:ascii="Arial" w:eastAsia="Times New Roman" w:hAnsi="Arial" w:cs="Arial"/>
          <w:b/>
          <w:bCs/>
          <w:color w:val="202124"/>
          <w:kern w:val="0"/>
          <w:sz w:val="35"/>
          <w:szCs w:val="35"/>
          <w:lang w:val="en-GB" w:eastAsia="fr-FR"/>
          <w14:ligatures w14:val="none"/>
        </w:rPr>
        <w:t>s</w:t>
      </w:r>
      <w:r w:rsidR="00622C82">
        <w:rPr>
          <w:rFonts w:ascii="Arial" w:eastAsia="Times New Roman" w:hAnsi="Arial" w:cs="Arial"/>
          <w:b/>
          <w:bCs/>
          <w:color w:val="202124"/>
          <w:kern w:val="0"/>
          <w:sz w:val="35"/>
          <w:szCs w:val="35"/>
          <w:lang w:val="en-GB" w:eastAsia="fr-FR"/>
          <w14:ligatures w14:val="none"/>
        </w:rPr>
        <w:t xml:space="preserve"> (Warehouse, Lakehouse &amp; Notebook)</w:t>
      </w:r>
    </w:p>
    <w:p w14:paraId="0CE469F6" w14:textId="77777777" w:rsidR="001A74E3" w:rsidRPr="00734588" w:rsidRDefault="001A74E3" w:rsidP="00734588">
      <w:pPr>
        <w:shd w:val="clear" w:color="auto" w:fill="FFFFFF"/>
        <w:spacing w:after="0" w:line="240" w:lineRule="auto"/>
        <w:rPr>
          <w:rFonts w:ascii="Arial" w:eastAsia="Times New Roman" w:hAnsi="Arial" w:cs="Arial"/>
          <w:b/>
          <w:bCs/>
          <w:color w:val="202124"/>
          <w:kern w:val="0"/>
          <w:sz w:val="35"/>
          <w:szCs w:val="35"/>
          <w:lang w:val="en-GB" w:eastAsia="fr-FR"/>
          <w14:ligatures w14:val="none"/>
        </w:rPr>
      </w:pPr>
    </w:p>
    <w:p w14:paraId="1DBDF497" w14:textId="4735BE22" w:rsidR="00734588" w:rsidRPr="00734588" w:rsidRDefault="00734588" w:rsidP="00734588">
      <w:pPr>
        <w:shd w:val="clear" w:color="auto" w:fill="FFFFFF"/>
        <w:spacing w:after="100" w:afterAutospacing="1" w:line="240" w:lineRule="auto"/>
        <w:outlineLvl w:val="3"/>
        <w:rPr>
          <w:rFonts w:ascii="Arial" w:eastAsia="Times New Roman" w:hAnsi="Arial" w:cs="Arial"/>
          <w:color w:val="202124"/>
          <w:kern w:val="0"/>
          <w:sz w:val="27"/>
          <w:szCs w:val="27"/>
          <w:lang w:val="en-GB" w:eastAsia="fr-FR"/>
          <w14:ligatures w14:val="none"/>
        </w:rPr>
      </w:pPr>
      <w:r w:rsidRPr="00734588">
        <w:rPr>
          <w:rFonts w:ascii="Arial" w:eastAsia="Times New Roman" w:hAnsi="Arial" w:cs="Arial"/>
          <w:color w:val="202124"/>
          <w:kern w:val="0"/>
          <w:sz w:val="27"/>
          <w:szCs w:val="27"/>
          <w:lang w:val="en-GB" w:eastAsia="fr-FR"/>
          <w14:ligatures w14:val="none"/>
        </w:rPr>
        <w:t>Key points</w:t>
      </w:r>
    </w:p>
    <w:p w14:paraId="57C85B92" w14:textId="77777777" w:rsidR="00734588" w:rsidRDefault="00734588" w:rsidP="00734588">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734588">
        <w:rPr>
          <w:rFonts w:ascii="Arial" w:eastAsia="Times New Roman" w:hAnsi="Arial" w:cs="Arial"/>
          <w:color w:val="202124"/>
          <w:kern w:val="0"/>
          <w:sz w:val="24"/>
          <w:szCs w:val="24"/>
          <w:lang w:val="en-GB" w:eastAsia="fr-FR"/>
          <w14:ligatures w14:val="none"/>
        </w:rPr>
        <w:t>If you don't want to give people access to EVERYTHING in a workspace, you can give people more granular item-level access. This is available for nearly all Fabric items, apart from Data Pipelines, and Dataflows.</w:t>
      </w:r>
    </w:p>
    <w:p w14:paraId="5F531B74" w14:textId="77777777" w:rsidR="00734588" w:rsidRDefault="00734588" w:rsidP="00734588">
      <w:pPr>
        <w:pStyle w:val="ListParagraph"/>
        <w:shd w:val="clear" w:color="auto" w:fill="FFFFFF"/>
        <w:spacing w:before="100" w:beforeAutospacing="1" w:after="100" w:afterAutospacing="1" w:line="240" w:lineRule="auto"/>
        <w:ind w:left="502"/>
        <w:rPr>
          <w:rFonts w:ascii="Arial" w:eastAsia="Times New Roman" w:hAnsi="Arial" w:cs="Arial"/>
          <w:color w:val="202124"/>
          <w:kern w:val="0"/>
          <w:sz w:val="24"/>
          <w:szCs w:val="24"/>
          <w:lang w:val="en-GB" w:eastAsia="fr-FR"/>
          <w14:ligatures w14:val="none"/>
        </w:rPr>
      </w:pPr>
    </w:p>
    <w:p w14:paraId="131D5A94" w14:textId="7860D817" w:rsidR="00734588" w:rsidRDefault="00734588" w:rsidP="00734588">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734588">
        <w:rPr>
          <w:rFonts w:ascii="Arial" w:eastAsia="Times New Roman" w:hAnsi="Arial" w:cs="Arial"/>
          <w:color w:val="202124"/>
          <w:kern w:val="0"/>
          <w:sz w:val="24"/>
          <w:szCs w:val="24"/>
          <w:lang w:val="en-GB" w:eastAsia="fr-FR"/>
          <w14:ligatures w14:val="none"/>
        </w:rPr>
        <w:t>Each item has a slightly different set of sharing permissions.</w:t>
      </w:r>
    </w:p>
    <w:p w14:paraId="68289304" w14:textId="77D7E9D9" w:rsidR="00734588" w:rsidRPr="00734588" w:rsidRDefault="00734588" w:rsidP="00734588">
      <w:pPr>
        <w:pStyle w:val="ListParagraph"/>
        <w:rPr>
          <w:rFonts w:ascii="Arial" w:eastAsia="Times New Roman" w:hAnsi="Arial" w:cs="Arial"/>
          <w:color w:val="202124"/>
          <w:kern w:val="0"/>
          <w:sz w:val="24"/>
          <w:szCs w:val="24"/>
          <w:lang w:val="en-GB" w:eastAsia="fr-FR"/>
          <w14:ligatures w14:val="none"/>
        </w:rPr>
      </w:pPr>
    </w:p>
    <w:p w14:paraId="19F5EA54" w14:textId="10FA6441" w:rsidR="00734588" w:rsidRDefault="00734588" w:rsidP="00734588">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734588">
        <w:rPr>
          <w:rFonts w:ascii="Arial" w:eastAsia="Times New Roman" w:hAnsi="Arial" w:cs="Arial"/>
          <w:color w:val="202124"/>
          <w:kern w:val="0"/>
          <w:sz w:val="24"/>
          <w:szCs w:val="24"/>
          <w:lang w:val="en-GB" w:eastAsia="fr-FR"/>
          <w14:ligatures w14:val="none"/>
        </w:rPr>
        <w:t>The person (or group) you give item-level access will be able to access the item via the OneLake data hub.</w:t>
      </w:r>
    </w:p>
    <w:p w14:paraId="0A2B6997" w14:textId="185992E8" w:rsidR="00734588" w:rsidRPr="00734588" w:rsidRDefault="00734588" w:rsidP="00734588">
      <w:pPr>
        <w:pStyle w:val="ListParagraph"/>
        <w:rPr>
          <w:rFonts w:ascii="Arial" w:eastAsia="Times New Roman" w:hAnsi="Arial" w:cs="Arial"/>
          <w:color w:val="202124"/>
          <w:kern w:val="0"/>
          <w:sz w:val="24"/>
          <w:szCs w:val="24"/>
          <w:lang w:val="en-GB" w:eastAsia="fr-FR"/>
          <w14:ligatures w14:val="none"/>
        </w:rPr>
      </w:pPr>
    </w:p>
    <w:p w14:paraId="33606125" w14:textId="72514351" w:rsidR="009C533E" w:rsidRDefault="00734588" w:rsidP="005F3DEE">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734588">
        <w:rPr>
          <w:rFonts w:ascii="Arial" w:eastAsia="Times New Roman" w:hAnsi="Arial" w:cs="Arial"/>
          <w:color w:val="202124"/>
          <w:kern w:val="0"/>
          <w:sz w:val="24"/>
          <w:szCs w:val="24"/>
          <w:lang w:val="en-GB" w:eastAsia="fr-FR"/>
          <w14:ligatures w14:val="none"/>
        </w:rPr>
        <w:t>To use the Data Warehouse as an example, when you share a Warehouse, at the item-level, it looks like this:</w:t>
      </w:r>
    </w:p>
    <w:p w14:paraId="78C088D6" w14:textId="2C82AA32" w:rsidR="002A6B9E" w:rsidRPr="002A6B9E" w:rsidRDefault="002A6B9E" w:rsidP="002A6B9E">
      <w:pPr>
        <w:pStyle w:val="ListParagraph"/>
        <w:rPr>
          <w:rFonts w:ascii="Arial" w:eastAsia="Times New Roman" w:hAnsi="Arial" w:cs="Arial"/>
          <w:color w:val="202124"/>
          <w:kern w:val="0"/>
          <w:sz w:val="24"/>
          <w:szCs w:val="24"/>
          <w:lang w:val="en-GB" w:eastAsia="fr-FR"/>
          <w14:ligatures w14:val="none"/>
        </w:rPr>
      </w:pPr>
      <w:r>
        <w:rPr>
          <w:noProof/>
        </w:rPr>
        <w:drawing>
          <wp:anchor distT="0" distB="0" distL="114300" distR="114300" simplePos="0" relativeHeight="251659264" behindDoc="0" locked="0" layoutInCell="1" allowOverlap="1" wp14:anchorId="29F35955" wp14:editId="409C811A">
            <wp:simplePos x="0" y="0"/>
            <wp:positionH relativeFrom="column">
              <wp:posOffset>-747395</wp:posOffset>
            </wp:positionH>
            <wp:positionV relativeFrom="paragraph">
              <wp:posOffset>84455</wp:posOffset>
            </wp:positionV>
            <wp:extent cx="7006078" cy="3550920"/>
            <wp:effectExtent l="0" t="0" r="4445" b="0"/>
            <wp:wrapNone/>
            <wp:docPr id="22656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06078" cy="3550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C31503" w14:textId="2F1EAF88" w:rsidR="002A6B9E" w:rsidRPr="002A6B9E" w:rsidRDefault="002A6B9E" w:rsidP="002A6B9E">
      <w:pPr>
        <w:rPr>
          <w:rFonts w:ascii="Arial" w:eastAsia="Times New Roman" w:hAnsi="Arial" w:cs="Arial"/>
          <w:color w:val="202124"/>
          <w:kern w:val="0"/>
          <w:sz w:val="24"/>
          <w:szCs w:val="24"/>
          <w:lang w:val="en-GB" w:eastAsia="fr-FR"/>
          <w14:ligatures w14:val="none"/>
        </w:rPr>
      </w:pPr>
    </w:p>
    <w:p w14:paraId="28DE06FF" w14:textId="4D8407AB" w:rsidR="002A6B9E" w:rsidRPr="002A6B9E" w:rsidRDefault="002A6B9E" w:rsidP="002A6B9E">
      <w:pPr>
        <w:rPr>
          <w:rFonts w:ascii="Arial" w:eastAsia="Times New Roman" w:hAnsi="Arial" w:cs="Arial"/>
          <w:color w:val="202124"/>
          <w:kern w:val="0"/>
          <w:sz w:val="24"/>
          <w:szCs w:val="24"/>
          <w:lang w:val="en-GB" w:eastAsia="fr-FR"/>
          <w14:ligatures w14:val="none"/>
        </w:rPr>
      </w:pPr>
    </w:p>
    <w:p w14:paraId="06741592" w14:textId="6A423B2A" w:rsidR="00E96C5A" w:rsidRDefault="00E96C5A" w:rsidP="002A6B9E">
      <w:pPr>
        <w:rPr>
          <w:rFonts w:ascii="Arial" w:eastAsia="Times New Roman" w:hAnsi="Arial" w:cs="Arial"/>
          <w:color w:val="202124"/>
          <w:kern w:val="0"/>
          <w:sz w:val="24"/>
          <w:szCs w:val="24"/>
          <w:lang w:val="en-GB" w:eastAsia="fr-FR"/>
          <w14:ligatures w14:val="none"/>
        </w:rPr>
      </w:pPr>
    </w:p>
    <w:p w14:paraId="7F133D7B" w14:textId="77777777" w:rsidR="002A6B9E" w:rsidRDefault="002A6B9E" w:rsidP="002A6B9E">
      <w:pPr>
        <w:rPr>
          <w:rFonts w:ascii="Arial" w:eastAsia="Times New Roman" w:hAnsi="Arial" w:cs="Arial"/>
          <w:color w:val="202124"/>
          <w:kern w:val="0"/>
          <w:sz w:val="24"/>
          <w:szCs w:val="24"/>
          <w:lang w:val="en-GB" w:eastAsia="fr-FR"/>
          <w14:ligatures w14:val="none"/>
        </w:rPr>
      </w:pPr>
    </w:p>
    <w:p w14:paraId="1A03D464" w14:textId="77777777" w:rsidR="002A6B9E" w:rsidRDefault="002A6B9E" w:rsidP="002A6B9E">
      <w:pPr>
        <w:rPr>
          <w:rFonts w:ascii="Arial" w:eastAsia="Times New Roman" w:hAnsi="Arial" w:cs="Arial"/>
          <w:color w:val="202124"/>
          <w:kern w:val="0"/>
          <w:sz w:val="24"/>
          <w:szCs w:val="24"/>
          <w:lang w:val="en-GB" w:eastAsia="fr-FR"/>
          <w14:ligatures w14:val="none"/>
        </w:rPr>
      </w:pPr>
    </w:p>
    <w:p w14:paraId="57C9A2B2" w14:textId="77777777" w:rsidR="002A6B9E" w:rsidRPr="002A6B9E" w:rsidRDefault="002A6B9E" w:rsidP="002A6B9E">
      <w:pPr>
        <w:rPr>
          <w:rFonts w:ascii="Arial" w:eastAsia="Times New Roman" w:hAnsi="Arial" w:cs="Arial"/>
          <w:color w:val="202124"/>
          <w:kern w:val="0"/>
          <w:sz w:val="24"/>
          <w:szCs w:val="24"/>
          <w:lang w:val="en-GB" w:eastAsia="fr-FR"/>
          <w14:ligatures w14:val="none"/>
        </w:rPr>
      </w:pPr>
    </w:p>
    <w:p w14:paraId="400B2415" w14:textId="412880ED" w:rsidR="00E96C5A" w:rsidRPr="00E96C5A" w:rsidRDefault="00E96C5A" w:rsidP="005F3DEE">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694C68E1" w14:textId="55123AEF" w:rsidR="009C533E" w:rsidRDefault="009C533E" w:rsidP="002A6B9E">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5298C7F4" w14:textId="77777777" w:rsidR="002A6B9E" w:rsidRDefault="002A6B9E" w:rsidP="002A6B9E">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6F54E55D" w14:textId="77777777" w:rsidR="002A6B9E" w:rsidRDefault="002A6B9E" w:rsidP="002A6B9E">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222C4EA6" w14:textId="77777777" w:rsidR="005F3DEE" w:rsidRPr="009C533E" w:rsidRDefault="005F3DEE" w:rsidP="002A6B9E">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371FDB1F" w14:textId="7CD1CE8E" w:rsidR="00734588" w:rsidRPr="00734588" w:rsidRDefault="00734588" w:rsidP="005F3DEE">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734588">
        <w:rPr>
          <w:rFonts w:ascii="Arial" w:eastAsia="Times New Roman" w:hAnsi="Arial" w:cs="Arial"/>
          <w:color w:val="202124"/>
          <w:kern w:val="0"/>
          <w:sz w:val="24"/>
          <w:szCs w:val="24"/>
          <w:lang w:val="en-GB" w:eastAsia="fr-FR"/>
          <w14:ligatures w14:val="none"/>
        </w:rPr>
        <w:t>Different permissions levels, when sharing a Warehouse:</w:t>
      </w:r>
    </w:p>
    <w:p w14:paraId="5C25F539" w14:textId="3DE1EF48" w:rsidR="00734588" w:rsidRDefault="00734588" w:rsidP="00734588">
      <w:pPr>
        <w:pStyle w:val="ListParagraph"/>
        <w:numPr>
          <w:ilvl w:val="0"/>
          <w:numId w:val="4"/>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734588">
        <w:rPr>
          <w:rFonts w:ascii="Arial" w:eastAsia="Times New Roman" w:hAnsi="Arial" w:cs="Arial"/>
          <w:b/>
          <w:bCs/>
          <w:color w:val="202124"/>
          <w:kern w:val="0"/>
          <w:sz w:val="24"/>
          <w:szCs w:val="24"/>
          <w:lang w:val="en-GB" w:eastAsia="fr-FR"/>
          <w14:ligatures w14:val="none"/>
        </w:rPr>
        <w:t>Read permission</w:t>
      </w:r>
      <w:r w:rsidRPr="00734588">
        <w:rPr>
          <w:rFonts w:ascii="Arial" w:eastAsia="Times New Roman" w:hAnsi="Arial" w:cs="Arial"/>
          <w:color w:val="202124"/>
          <w:kern w:val="0"/>
          <w:sz w:val="24"/>
          <w:szCs w:val="24"/>
          <w:lang w:val="en-GB" w:eastAsia="fr-FR"/>
          <w14:ligatures w14:val="none"/>
        </w:rPr>
        <w:t>: If you don't tick any of the additional permissions boxes, you will give the user/ group READ access to the Warehouse. This means, they will be able to access the Warehouse via the OneLake data hub, but they will not be given any access to tables in the Warehouse. This is useful when you want to assign this user/group granular permissions, such as object-level security.</w:t>
      </w:r>
    </w:p>
    <w:p w14:paraId="248FFB2F" w14:textId="77777777" w:rsidR="00734588" w:rsidRPr="00734588" w:rsidRDefault="00734588" w:rsidP="00734588">
      <w:pPr>
        <w:pStyle w:val="ListParagraph"/>
        <w:shd w:val="clear" w:color="auto" w:fill="FFFFFF"/>
        <w:spacing w:before="100" w:beforeAutospacing="1" w:after="100" w:afterAutospacing="1" w:line="240" w:lineRule="auto"/>
        <w:ind w:left="502"/>
        <w:rPr>
          <w:rFonts w:ascii="Arial" w:eastAsia="Times New Roman" w:hAnsi="Arial" w:cs="Arial"/>
          <w:color w:val="202124"/>
          <w:kern w:val="0"/>
          <w:sz w:val="24"/>
          <w:szCs w:val="24"/>
          <w:lang w:val="en-GB" w:eastAsia="fr-FR"/>
          <w14:ligatures w14:val="none"/>
        </w:rPr>
      </w:pPr>
    </w:p>
    <w:p w14:paraId="1BE2A818" w14:textId="76301BC5" w:rsidR="00734588" w:rsidRPr="00734588" w:rsidRDefault="00734588" w:rsidP="00734588">
      <w:pPr>
        <w:pStyle w:val="ListParagraph"/>
        <w:numPr>
          <w:ilvl w:val="0"/>
          <w:numId w:val="4"/>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roofErr w:type="spellStart"/>
      <w:r w:rsidRPr="00734588">
        <w:rPr>
          <w:rFonts w:ascii="Arial" w:eastAsia="Times New Roman" w:hAnsi="Arial" w:cs="Arial"/>
          <w:b/>
          <w:bCs/>
          <w:color w:val="202124"/>
          <w:kern w:val="0"/>
          <w:sz w:val="24"/>
          <w:szCs w:val="24"/>
          <w:lang w:val="en-GB" w:eastAsia="fr-FR"/>
          <w14:ligatures w14:val="none"/>
        </w:rPr>
        <w:lastRenderedPageBreak/>
        <w:t>ReadData</w:t>
      </w:r>
      <w:proofErr w:type="spellEnd"/>
      <w:r w:rsidRPr="00734588">
        <w:rPr>
          <w:rFonts w:ascii="Arial" w:eastAsia="Times New Roman" w:hAnsi="Arial" w:cs="Arial"/>
          <w:b/>
          <w:bCs/>
          <w:color w:val="202124"/>
          <w:kern w:val="0"/>
          <w:sz w:val="24"/>
          <w:szCs w:val="24"/>
          <w:lang w:val="en-GB" w:eastAsia="fr-FR"/>
          <w14:ligatures w14:val="none"/>
        </w:rPr>
        <w:t xml:space="preserve"> permission</w:t>
      </w:r>
      <w:r w:rsidRPr="00734588">
        <w:rPr>
          <w:rFonts w:ascii="Arial" w:eastAsia="Times New Roman" w:hAnsi="Arial" w:cs="Arial"/>
          <w:color w:val="202124"/>
          <w:kern w:val="0"/>
          <w:sz w:val="24"/>
          <w:szCs w:val="24"/>
          <w:lang w:val="en-GB" w:eastAsia="fr-FR"/>
          <w14:ligatures w14:val="none"/>
        </w:rPr>
        <w:t>: if you tick the first permission box, you will give ReadData permission, this will give the user/ group read-access to all tables within the Warehouse (via the T-SQL endpoint).</w:t>
      </w:r>
    </w:p>
    <w:p w14:paraId="349038E0" w14:textId="77777777" w:rsidR="00734588" w:rsidRPr="00734588" w:rsidRDefault="00734588" w:rsidP="00734588">
      <w:pPr>
        <w:pStyle w:val="ListParagraph"/>
        <w:shd w:val="clear" w:color="auto" w:fill="FFFFFF"/>
        <w:spacing w:before="100" w:beforeAutospacing="1" w:after="100" w:afterAutospacing="1" w:line="240" w:lineRule="auto"/>
        <w:ind w:left="502"/>
        <w:rPr>
          <w:rFonts w:ascii="Arial" w:eastAsia="Times New Roman" w:hAnsi="Arial" w:cs="Arial"/>
          <w:color w:val="202124"/>
          <w:kern w:val="0"/>
          <w:sz w:val="24"/>
          <w:szCs w:val="24"/>
          <w:lang w:val="en-GB" w:eastAsia="fr-FR"/>
          <w14:ligatures w14:val="none"/>
        </w:rPr>
      </w:pPr>
    </w:p>
    <w:p w14:paraId="496671BF" w14:textId="1AD61C07" w:rsidR="00734588" w:rsidRPr="00734588" w:rsidRDefault="00734588" w:rsidP="00734588">
      <w:pPr>
        <w:pStyle w:val="ListParagraph"/>
        <w:numPr>
          <w:ilvl w:val="0"/>
          <w:numId w:val="4"/>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roofErr w:type="spellStart"/>
      <w:r w:rsidRPr="00734588">
        <w:rPr>
          <w:rFonts w:ascii="Arial" w:eastAsia="Times New Roman" w:hAnsi="Arial" w:cs="Arial"/>
          <w:b/>
          <w:bCs/>
          <w:color w:val="202124"/>
          <w:kern w:val="0"/>
          <w:sz w:val="24"/>
          <w:szCs w:val="24"/>
          <w:lang w:val="en-GB" w:eastAsia="fr-FR"/>
          <w14:ligatures w14:val="none"/>
        </w:rPr>
        <w:t>ReadAll</w:t>
      </w:r>
      <w:proofErr w:type="spellEnd"/>
      <w:r w:rsidRPr="00734588">
        <w:rPr>
          <w:rFonts w:ascii="Arial" w:eastAsia="Times New Roman" w:hAnsi="Arial" w:cs="Arial"/>
          <w:b/>
          <w:bCs/>
          <w:color w:val="202124"/>
          <w:kern w:val="0"/>
          <w:sz w:val="24"/>
          <w:szCs w:val="24"/>
          <w:lang w:val="en-GB" w:eastAsia="fr-FR"/>
          <w14:ligatures w14:val="none"/>
        </w:rPr>
        <w:t xml:space="preserve"> permission</w:t>
      </w:r>
      <w:r w:rsidRPr="00734588">
        <w:rPr>
          <w:rFonts w:ascii="Arial" w:eastAsia="Times New Roman" w:hAnsi="Arial" w:cs="Arial"/>
          <w:color w:val="202124"/>
          <w:kern w:val="0"/>
          <w:sz w:val="24"/>
          <w:szCs w:val="24"/>
          <w:lang w:val="en-GB" w:eastAsia="fr-FR"/>
          <w14:ligatures w14:val="none"/>
        </w:rPr>
        <w:t>: if you tick the second permission box, you will give ReadAll permission. This will allow the user/ group read permissions to the underlying OneLake files, meaning they can access the data from other engines (e.g. Spark)</w:t>
      </w:r>
    </w:p>
    <w:p w14:paraId="147AE316" w14:textId="77777777" w:rsidR="00734588" w:rsidRPr="00734588" w:rsidRDefault="00734588" w:rsidP="00734588">
      <w:pPr>
        <w:pStyle w:val="ListParagraph"/>
        <w:shd w:val="clear" w:color="auto" w:fill="FFFFFF"/>
        <w:spacing w:before="100" w:beforeAutospacing="1" w:after="100" w:afterAutospacing="1" w:line="240" w:lineRule="auto"/>
        <w:ind w:left="502"/>
        <w:rPr>
          <w:rFonts w:ascii="Arial" w:eastAsia="Times New Roman" w:hAnsi="Arial" w:cs="Arial"/>
          <w:color w:val="202124"/>
          <w:kern w:val="0"/>
          <w:sz w:val="24"/>
          <w:szCs w:val="24"/>
          <w:lang w:val="en-GB" w:eastAsia="fr-FR"/>
          <w14:ligatures w14:val="none"/>
        </w:rPr>
      </w:pPr>
    </w:p>
    <w:p w14:paraId="6736F162" w14:textId="3182B31B" w:rsidR="00570FF8" w:rsidRDefault="00734588" w:rsidP="00FF0510">
      <w:pPr>
        <w:pStyle w:val="ListParagraph"/>
        <w:numPr>
          <w:ilvl w:val="0"/>
          <w:numId w:val="4"/>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734588">
        <w:rPr>
          <w:rFonts w:ascii="Arial" w:eastAsia="Times New Roman" w:hAnsi="Arial" w:cs="Arial"/>
          <w:b/>
          <w:bCs/>
          <w:color w:val="202124"/>
          <w:kern w:val="0"/>
          <w:sz w:val="24"/>
          <w:szCs w:val="24"/>
          <w:lang w:val="en-GB" w:eastAsia="fr-FR"/>
          <w14:ligatures w14:val="none"/>
        </w:rPr>
        <w:t xml:space="preserve">Build </w:t>
      </w:r>
      <w:r w:rsidR="005C35E4" w:rsidRPr="00734588">
        <w:rPr>
          <w:rFonts w:ascii="Arial" w:eastAsia="Times New Roman" w:hAnsi="Arial" w:cs="Arial"/>
          <w:b/>
          <w:bCs/>
          <w:color w:val="202124"/>
          <w:kern w:val="0"/>
          <w:sz w:val="24"/>
          <w:szCs w:val="24"/>
          <w:lang w:val="en-GB" w:eastAsia="fr-FR"/>
          <w14:ligatures w14:val="none"/>
        </w:rPr>
        <w:t>permission</w:t>
      </w:r>
      <w:r w:rsidR="006C36EF">
        <w:rPr>
          <w:rFonts w:ascii="Arial" w:eastAsia="Times New Roman" w:hAnsi="Arial" w:cs="Arial"/>
          <w:b/>
          <w:bCs/>
          <w:color w:val="202124"/>
          <w:kern w:val="0"/>
          <w:sz w:val="24"/>
          <w:szCs w:val="24"/>
          <w:lang w:val="en-GB" w:eastAsia="fr-FR"/>
          <w14:ligatures w14:val="none"/>
        </w:rPr>
        <w:t>:</w:t>
      </w:r>
      <w:r w:rsidRPr="00734588">
        <w:rPr>
          <w:rFonts w:ascii="Arial" w:eastAsia="Times New Roman" w:hAnsi="Arial" w:cs="Arial"/>
          <w:b/>
          <w:bCs/>
          <w:color w:val="202124"/>
          <w:kern w:val="0"/>
          <w:sz w:val="24"/>
          <w:szCs w:val="24"/>
          <w:lang w:val="en-GB" w:eastAsia="fr-FR"/>
          <w14:ligatures w14:val="none"/>
        </w:rPr>
        <w:t xml:space="preserve"> </w:t>
      </w:r>
      <w:r w:rsidRPr="00734588">
        <w:rPr>
          <w:rFonts w:ascii="Arial" w:eastAsia="Times New Roman" w:hAnsi="Arial" w:cs="Arial"/>
          <w:color w:val="202124"/>
          <w:kern w:val="0"/>
          <w:sz w:val="24"/>
          <w:szCs w:val="24"/>
          <w:lang w:val="en-GB" w:eastAsia="fr-FR"/>
          <w14:ligatures w14:val="none"/>
        </w:rPr>
        <w:t>gives the user/group permission to build reports on top of the default semantic model.</w:t>
      </w:r>
    </w:p>
    <w:p w14:paraId="2DD03A4E" w14:textId="77777777" w:rsidR="00FF0510" w:rsidRPr="00FF0510" w:rsidRDefault="00FF0510" w:rsidP="00FF0510">
      <w:pPr>
        <w:pStyle w:val="ListParagraph"/>
        <w:rPr>
          <w:rFonts w:ascii="Arial" w:eastAsia="Times New Roman" w:hAnsi="Arial" w:cs="Arial"/>
          <w:color w:val="202124"/>
          <w:kern w:val="0"/>
          <w:sz w:val="24"/>
          <w:szCs w:val="24"/>
          <w:lang w:val="en-GB" w:eastAsia="fr-FR"/>
          <w14:ligatures w14:val="none"/>
        </w:rPr>
      </w:pPr>
    </w:p>
    <w:p w14:paraId="28CC59C3" w14:textId="0BD31244" w:rsidR="005F3DEE" w:rsidRDefault="003D06F8" w:rsidP="00FF0510">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Pr>
          <w:noProof/>
        </w:rPr>
        <w:drawing>
          <wp:anchor distT="0" distB="0" distL="114300" distR="114300" simplePos="0" relativeHeight="251658240" behindDoc="0" locked="0" layoutInCell="1" allowOverlap="1" wp14:anchorId="6195651F" wp14:editId="3B705F7E">
            <wp:simplePos x="0" y="0"/>
            <wp:positionH relativeFrom="margin">
              <wp:align>center</wp:align>
            </wp:positionH>
            <wp:positionV relativeFrom="paragraph">
              <wp:posOffset>423545</wp:posOffset>
            </wp:positionV>
            <wp:extent cx="7239000" cy="3536950"/>
            <wp:effectExtent l="0" t="0" r="0" b="6350"/>
            <wp:wrapNone/>
            <wp:docPr id="190954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39000" cy="3536950"/>
                    </a:xfrm>
                    <a:prstGeom prst="rect">
                      <a:avLst/>
                    </a:prstGeom>
                    <a:noFill/>
                    <a:ln>
                      <a:noFill/>
                    </a:ln>
                  </pic:spPr>
                </pic:pic>
              </a:graphicData>
            </a:graphic>
            <wp14:sizeRelH relativeFrom="page">
              <wp14:pctWidth>0</wp14:pctWidth>
            </wp14:sizeRelH>
            <wp14:sizeRelV relativeFrom="page">
              <wp14:pctHeight>0</wp14:pctHeight>
            </wp14:sizeRelV>
          </wp:anchor>
        </w:drawing>
      </w:r>
      <w:r w:rsidR="00FF0510">
        <w:rPr>
          <w:rFonts w:ascii="Arial" w:eastAsia="Times New Roman" w:hAnsi="Arial" w:cs="Arial"/>
          <w:color w:val="202124"/>
          <w:kern w:val="0"/>
          <w:sz w:val="24"/>
          <w:szCs w:val="24"/>
          <w:lang w:val="en-GB" w:eastAsia="fr-FR"/>
          <w14:ligatures w14:val="none"/>
        </w:rPr>
        <w:t>Lakehouse:</w:t>
      </w:r>
    </w:p>
    <w:p w14:paraId="6068C427" w14:textId="0C65CC7A" w:rsidR="005F3DEE" w:rsidRDefault="005F3DEE" w:rsidP="00FF0510">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1805F617" w14:textId="77777777" w:rsidR="005B6665" w:rsidRDefault="005B6665" w:rsidP="00FF0510">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743D4403" w14:textId="34145A25" w:rsidR="005B6665" w:rsidRDefault="005B6665" w:rsidP="00FF0510">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28304772" w14:textId="77777777" w:rsidR="005B6665" w:rsidRDefault="005B6665" w:rsidP="00FF0510">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0DFD4CBE" w14:textId="51F2BB84" w:rsidR="005B6665" w:rsidRDefault="005B6665" w:rsidP="00FF0510">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471262BD" w14:textId="77777777" w:rsidR="005B6665" w:rsidRDefault="005B6665" w:rsidP="00FF0510">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16234E9F" w14:textId="45207490" w:rsidR="005B6665" w:rsidRDefault="005B6665" w:rsidP="00FF0510">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066B8D94" w14:textId="7C81409F" w:rsidR="005B6665" w:rsidRDefault="005B6665" w:rsidP="00FF0510">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4A0B7EAD" w14:textId="77777777" w:rsidR="005B6665" w:rsidRDefault="005B6665" w:rsidP="00FF0510">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0ADCF4C9" w14:textId="77777777" w:rsidR="005B6665" w:rsidRDefault="005B6665" w:rsidP="00D03B6F">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2EDBF26C" w14:textId="021AD43A" w:rsidR="003D06F8" w:rsidRDefault="003D06F8" w:rsidP="00D03B6F">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360A5417" w14:textId="5A4C5C7B" w:rsidR="00DF3026" w:rsidRDefault="00DF3026" w:rsidP="00D03B6F">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Pr>
          <w:noProof/>
        </w:rPr>
        <w:drawing>
          <wp:anchor distT="0" distB="0" distL="114300" distR="114300" simplePos="0" relativeHeight="251660288" behindDoc="0" locked="0" layoutInCell="1" allowOverlap="1" wp14:anchorId="153BF288" wp14:editId="63E2A537">
            <wp:simplePos x="0" y="0"/>
            <wp:positionH relativeFrom="margin">
              <wp:posOffset>-338667</wp:posOffset>
            </wp:positionH>
            <wp:positionV relativeFrom="paragraph">
              <wp:posOffset>217170</wp:posOffset>
            </wp:positionV>
            <wp:extent cx="6062133" cy="2801866"/>
            <wp:effectExtent l="0" t="0" r="0" b="0"/>
            <wp:wrapNone/>
            <wp:docPr id="20316923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92389" name="Picture 1" descr="A screenshot of a computer pro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2133" cy="280186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Times New Roman" w:hAnsi="Arial" w:cs="Arial"/>
          <w:color w:val="202124"/>
          <w:kern w:val="0"/>
          <w:sz w:val="24"/>
          <w:szCs w:val="24"/>
          <w:lang w:val="en-GB" w:eastAsia="fr-FR"/>
          <w14:ligatures w14:val="none"/>
        </w:rPr>
        <w:t>Note:</w:t>
      </w:r>
    </w:p>
    <w:p w14:paraId="786F01EC" w14:textId="04F5C06C" w:rsidR="00DF3026" w:rsidRPr="00D03B6F" w:rsidRDefault="00DF3026" w:rsidP="00D03B6F">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sectPr w:rsidR="00DF3026" w:rsidRPr="00D03B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D53D7"/>
    <w:multiLevelType w:val="hybridMultilevel"/>
    <w:tmpl w:val="2910D95E"/>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 w15:restartNumberingAfterBreak="0">
    <w:nsid w:val="54285C9C"/>
    <w:multiLevelType w:val="multilevel"/>
    <w:tmpl w:val="1548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3D72C8"/>
    <w:multiLevelType w:val="hybridMultilevel"/>
    <w:tmpl w:val="1DD60A26"/>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 w15:restartNumberingAfterBreak="0">
    <w:nsid w:val="7FA65C3A"/>
    <w:multiLevelType w:val="multilevel"/>
    <w:tmpl w:val="CA98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703096">
    <w:abstractNumId w:val="1"/>
  </w:num>
  <w:num w:numId="2" w16cid:durableId="53551672">
    <w:abstractNumId w:val="3"/>
  </w:num>
  <w:num w:numId="3" w16cid:durableId="569265749">
    <w:abstractNumId w:val="0"/>
  </w:num>
  <w:num w:numId="4" w16cid:durableId="1483959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7B6"/>
    <w:rsid w:val="000A6F1E"/>
    <w:rsid w:val="000C35B4"/>
    <w:rsid w:val="001A74E3"/>
    <w:rsid w:val="002A6B9E"/>
    <w:rsid w:val="00380A7C"/>
    <w:rsid w:val="003D06F8"/>
    <w:rsid w:val="00470DFA"/>
    <w:rsid w:val="00570FF8"/>
    <w:rsid w:val="005B07FB"/>
    <w:rsid w:val="005B6665"/>
    <w:rsid w:val="005C35E4"/>
    <w:rsid w:val="005F3DEE"/>
    <w:rsid w:val="00622C82"/>
    <w:rsid w:val="00671386"/>
    <w:rsid w:val="006C36EF"/>
    <w:rsid w:val="00734588"/>
    <w:rsid w:val="009C533E"/>
    <w:rsid w:val="00CE47E2"/>
    <w:rsid w:val="00D03B6F"/>
    <w:rsid w:val="00D677B6"/>
    <w:rsid w:val="00DF3026"/>
    <w:rsid w:val="00E00132"/>
    <w:rsid w:val="00E51816"/>
    <w:rsid w:val="00E96C5A"/>
    <w:rsid w:val="00EB3E42"/>
    <w:rsid w:val="00F75266"/>
    <w:rsid w:val="00F91118"/>
    <w:rsid w:val="00FA0CE6"/>
    <w:rsid w:val="00FF05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2E2F"/>
  <w15:chartTrackingRefBased/>
  <w15:docId w15:val="{58F0C5EC-38E4-4B76-AA08-49517EB34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7B6"/>
    <w:rPr>
      <w:rFonts w:eastAsiaTheme="majorEastAsia" w:cstheme="majorBidi"/>
      <w:color w:val="272727" w:themeColor="text1" w:themeTint="D8"/>
    </w:rPr>
  </w:style>
  <w:style w:type="paragraph" w:styleId="Title">
    <w:name w:val="Title"/>
    <w:basedOn w:val="Normal"/>
    <w:next w:val="Normal"/>
    <w:link w:val="TitleChar"/>
    <w:uiPriority w:val="10"/>
    <w:qFormat/>
    <w:rsid w:val="00D67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7B6"/>
    <w:pPr>
      <w:spacing w:before="160"/>
      <w:jc w:val="center"/>
    </w:pPr>
    <w:rPr>
      <w:i/>
      <w:iCs/>
      <w:color w:val="404040" w:themeColor="text1" w:themeTint="BF"/>
    </w:rPr>
  </w:style>
  <w:style w:type="character" w:customStyle="1" w:styleId="QuoteChar">
    <w:name w:val="Quote Char"/>
    <w:basedOn w:val="DefaultParagraphFont"/>
    <w:link w:val="Quote"/>
    <w:uiPriority w:val="29"/>
    <w:rsid w:val="00D677B6"/>
    <w:rPr>
      <w:i/>
      <w:iCs/>
      <w:color w:val="404040" w:themeColor="text1" w:themeTint="BF"/>
    </w:rPr>
  </w:style>
  <w:style w:type="paragraph" w:styleId="ListParagraph">
    <w:name w:val="List Paragraph"/>
    <w:basedOn w:val="Normal"/>
    <w:uiPriority w:val="34"/>
    <w:qFormat/>
    <w:rsid w:val="00D677B6"/>
    <w:pPr>
      <w:ind w:left="720"/>
      <w:contextualSpacing/>
    </w:pPr>
  </w:style>
  <w:style w:type="character" w:styleId="IntenseEmphasis">
    <w:name w:val="Intense Emphasis"/>
    <w:basedOn w:val="DefaultParagraphFont"/>
    <w:uiPriority w:val="21"/>
    <w:qFormat/>
    <w:rsid w:val="00D677B6"/>
    <w:rPr>
      <w:i/>
      <w:iCs/>
      <w:color w:val="0F4761" w:themeColor="accent1" w:themeShade="BF"/>
    </w:rPr>
  </w:style>
  <w:style w:type="paragraph" w:styleId="IntenseQuote">
    <w:name w:val="Intense Quote"/>
    <w:basedOn w:val="Normal"/>
    <w:next w:val="Normal"/>
    <w:link w:val="IntenseQuoteChar"/>
    <w:uiPriority w:val="30"/>
    <w:qFormat/>
    <w:rsid w:val="00D67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7B6"/>
    <w:rPr>
      <w:i/>
      <w:iCs/>
      <w:color w:val="0F4761" w:themeColor="accent1" w:themeShade="BF"/>
    </w:rPr>
  </w:style>
  <w:style w:type="character" w:styleId="IntenseReference">
    <w:name w:val="Intense Reference"/>
    <w:basedOn w:val="DefaultParagraphFont"/>
    <w:uiPriority w:val="32"/>
    <w:qFormat/>
    <w:rsid w:val="00D677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245</Words>
  <Characters>1353</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Nadir Zamouche</dc:creator>
  <cp:keywords/>
  <dc:description/>
  <cp:lastModifiedBy>Nadir Zamouche</cp:lastModifiedBy>
  <cp:revision>19</cp:revision>
  <dcterms:created xsi:type="dcterms:W3CDTF">2025-11-27T14:18:00Z</dcterms:created>
  <dcterms:modified xsi:type="dcterms:W3CDTF">2025-11-30T16:09:00Z</dcterms:modified>
</cp:coreProperties>
</file>