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אסינכרונית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4900" cy="419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האסינכרונית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אסינכרוניות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תתערב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כארגומנט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כארגומנט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4900" cy="2463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resolve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reject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מבצעות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נצטרך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4900" cy="3175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בהרצתן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64000" cy="5359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שכזכור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האסינכרונית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חוששים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שפעולת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שהרצנו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26- 27)?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יתרוקן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שיפורים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ולשרשר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לשרשור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651500" cy="70993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Promise Tutorial</w:t>
      <w:br w:type="textWrapping"/>
      <w:t xml:space="preserve">By Yossi Arye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6DF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7289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289C"/>
  </w:style>
  <w:style w:type="paragraph" w:styleId="Footer">
    <w:name w:val="footer"/>
    <w:basedOn w:val="Normal"/>
    <w:link w:val="FooterChar"/>
    <w:uiPriority w:val="99"/>
    <w:unhideWhenUsed w:val="1"/>
    <w:rsid w:val="00F728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7289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Nxs0MRnPcUggnVonUYkyfvs2w==">AMUW2mXsOXEMsTeeCqCZnDlsdRIRy0ixZExoccZtlzHu68gUMB5s0W3764yjvdof8zhCqcqG73WwwstPLQAlzy3QK77YrxW8KhNXkzpzoMCn+rUO6gtdygg=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2022-07-09T14:24:00Z</dcterms:created>
  <dc:creator>יוסי אריה</dc:creator>
</cp:coreProperties>
</file>