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after="240" w:before="0" w:line="276"/>
        <w:jc w:val="center"/>
      </w:pPr>
      <w:r>
        <w:rPr>
          <w:rFonts w:ascii="Times New Roman" w:cs="Times New Roman" w:eastAsia="Times New Roman" w:hAnsi="Times New Roman"/>
          <w:b/>
          <w:bCs/>
          <w:sz w:val="28"/>
          <w:szCs w:val="28"/>
        </w:rPr>
        <w:t xml:space="preserve">На міський конкурс авторських програм практичних психологів і соціальних педагогів «Нові технології у новій школі»</w:t>
      </w:r>
    </w:p>
    <w:p>
      <w:pPr>
        <w:spacing w:after="480" w:before="0" w:line="276"/>
        <w:jc w:val="center"/>
      </w:pPr>
      <w:r>
        <w:rPr>
          <w:rFonts w:ascii="Times New Roman" w:cs="Times New Roman" w:eastAsia="Times New Roman" w:hAnsi="Times New Roman"/>
          <w:sz w:val="28"/>
          <w:szCs w:val="28"/>
        </w:rPr>
        <w:t xml:space="preserve">Номінація: </w:t>
      </w:r>
      <w:r>
        <w:rPr>
          <w:rFonts w:ascii="Times New Roman" w:cs="Times New Roman" w:eastAsia="Times New Roman" w:hAnsi="Times New Roman"/>
          <w:b/>
          <w:bCs/>
          <w:sz w:val="28"/>
          <w:szCs w:val="28"/>
        </w:rPr>
        <w:t xml:space="preserve">«Профілактичні програми»</w:t>
      </w:r>
    </w:p>
    <w:p>
      <w:pPr>
        <w:spacing w:after="120" w:before="0" w:line="276"/>
        <w:jc w:val="center"/>
      </w:pPr>
      <w:r>
        <w:rPr>
          <w:rFonts w:ascii="Times New Roman" w:cs="Times New Roman" w:eastAsia="Times New Roman" w:hAnsi="Times New Roman"/>
          <w:b/>
          <w:bCs/>
          <w:sz w:val="36"/>
          <w:szCs w:val="36"/>
        </w:rPr>
        <w:t xml:space="preserve">«МОЇ ОПОРИ»</w:t>
      </w:r>
    </w:p>
    <w:p>
      <w:pPr>
        <w:spacing w:after="600" w:before="0" w:line="276"/>
        <w:jc w:val="center"/>
      </w:pPr>
      <w:r>
        <w:rPr>
          <w:rFonts w:ascii="Times New Roman" w:cs="Times New Roman" w:eastAsia="Times New Roman" w:hAnsi="Times New Roman"/>
          <w:sz w:val="28"/>
          <w:szCs w:val="28"/>
        </w:rPr>
        <w:t xml:space="preserve">річна профілактична програма емоційного благополуччя та психологічної стійкості учнів 5–11 класів і їхніх батьків</w:t>
      </w:r>
    </w:p>
    <w:p>
      <w:pPr>
        <w:spacing w:after="80" w:before="0" w:line="276"/>
        <w:jc w:val="left"/>
      </w:pPr>
      <w:r>
        <w:rPr>
          <w:rFonts w:ascii="Times New Roman" w:cs="Times New Roman" w:eastAsia="Times New Roman" w:hAnsi="Times New Roman"/>
          <w:b/>
          <w:bCs/>
          <w:sz w:val="28"/>
          <w:szCs w:val="28"/>
        </w:rPr>
        <w:t xml:space="preserve">Автор:</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highlight w:val="yellow"/>
          <w:highlightCs w:val="yellow"/>
        </w:rPr>
        <w:t xml:space="preserve">[Прізвище, ім’я, по батькові]</w:t>
      </w:r>
    </w:p>
    <w:p>
      <w:pPr>
        <w:spacing w:after="80" w:before="0" w:line="276"/>
        <w:jc w:val="left"/>
      </w:pPr>
      <w:r>
        <w:rPr>
          <w:rFonts w:ascii="Times New Roman" w:cs="Times New Roman" w:eastAsia="Times New Roman" w:hAnsi="Times New Roman"/>
          <w:b/>
          <w:bCs/>
          <w:sz w:val="28"/>
          <w:szCs w:val="28"/>
        </w:rPr>
        <w:t xml:space="preserve">Посада:</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highlight w:val="yellow"/>
          <w:highlightCs w:val="yellow"/>
        </w:rPr>
        <w:t xml:space="preserve">[практичний психолог / соціальний педагог]</w:t>
      </w:r>
    </w:p>
    <w:p>
      <w:pPr>
        <w:spacing w:after="80" w:before="0" w:line="276"/>
        <w:jc w:val="left"/>
      </w:pPr>
      <w:r>
        <w:rPr>
          <w:rFonts w:ascii="Times New Roman" w:cs="Times New Roman" w:eastAsia="Times New Roman" w:hAnsi="Times New Roman"/>
          <w:b/>
          <w:bCs/>
          <w:sz w:val="28"/>
          <w:szCs w:val="28"/>
        </w:rPr>
        <w:t xml:space="preserve">Заклад освіти:</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highlight w:val="yellow"/>
          <w:highlightCs w:val="yellow"/>
        </w:rPr>
        <w:t xml:space="preserve">[повна назва]</w:t>
      </w:r>
    </w:p>
    <w:p>
      <w:pPr>
        <w:spacing w:after="80" w:before="0" w:line="276"/>
        <w:jc w:val="left"/>
      </w:pPr>
      <w:r>
        <w:rPr>
          <w:rFonts w:ascii="Times New Roman" w:cs="Times New Roman" w:eastAsia="Times New Roman" w:hAnsi="Times New Roman"/>
          <w:b/>
          <w:bCs/>
          <w:sz w:val="28"/>
          <w:szCs w:val="28"/>
        </w:rPr>
        <w:t xml:space="preserve">Телефон:</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highlight w:val="yellow"/>
          <w:highlightCs w:val="yellow"/>
        </w:rPr>
        <w:t xml:space="preserve">[+380 __ ___ __ __]</w:t>
      </w:r>
    </w:p>
    <w:p>
      <w:pPr>
        <w:spacing w:after="80" w:before="0" w:line="276"/>
        <w:jc w:val="left"/>
      </w:pPr>
      <w:r>
        <w:rPr>
          <w:rFonts w:ascii="Times New Roman" w:cs="Times New Roman" w:eastAsia="Times New Roman" w:hAnsi="Times New Roman"/>
          <w:b/>
          <w:bCs/>
          <w:sz w:val="28"/>
          <w:szCs w:val="28"/>
        </w:rPr>
        <w:t xml:space="preserve">E-mail:</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highlight w:val="yellow"/>
          <w:highlightCs w:val="yellow"/>
        </w:rPr>
        <w:t xml:space="preserve">[адреса електронної пошти]</w:t>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after="80" w:before="600" w:line="276"/>
        <w:jc w:val="center"/>
      </w:pPr>
      <w:r>
        <w:rPr>
          <w:rFonts w:ascii="Times New Roman" w:cs="Times New Roman" w:eastAsia="Times New Roman" w:hAnsi="Times New Roman"/>
          <w:sz w:val="28"/>
          <w:szCs w:val="28"/>
        </w:rPr>
        <w:t xml:space="preserve">м. Житомир, 2026</w:t>
      </w:r>
    </w:p>
    <w:p>
      <w:pPr>
        <w:pStyle w:val="Heading1"/>
        <w:pageBreakBefore/>
      </w:pPr>
      <w:r>
        <w:rPr>
          <w:rFonts w:ascii="Times New Roman" w:cs="Times New Roman" w:eastAsia="Times New Roman" w:hAnsi="Times New Roman"/>
          <w:b/>
          <w:bCs/>
          <w:sz w:val="28"/>
          <w:szCs w:val="28"/>
        </w:rPr>
        <w:t xml:space="preserve">ЗМІСТ</w:t>
      </w:r>
    </w:p>
    <w:p>
      <w:pPr>
        <w:spacing w:after="40" w:before="0" w:line="276"/>
        <w:jc w:val="left"/>
      </w:pPr>
      <w:r>
        <w:rPr>
          <w:rFonts w:ascii="Times New Roman" w:cs="Times New Roman" w:eastAsia="Times New Roman" w:hAnsi="Times New Roman"/>
          <w:sz w:val="28"/>
          <w:szCs w:val="28"/>
        </w:rPr>
        <w:t xml:space="preserve">Вступ</w:t>
      </w:r>
    </w:p>
    <w:p>
      <w:pPr>
        <w:spacing w:after="40" w:before="0" w:line="276"/>
        <w:jc w:val="left"/>
      </w:pPr>
      <w:r>
        <w:rPr>
          <w:rFonts w:ascii="Times New Roman" w:cs="Times New Roman" w:eastAsia="Times New Roman" w:hAnsi="Times New Roman"/>
          <w:sz w:val="28"/>
          <w:szCs w:val="28"/>
        </w:rPr>
        <w:t xml:space="preserve">1. Теоретичні основи програми</w:t>
      </w:r>
    </w:p>
    <w:p>
      <w:pPr>
        <w:spacing w:after="40" w:before="0" w:line="276"/>
        <w:jc w:val="left"/>
      </w:pPr>
      <w:r>
        <w:rPr>
          <w:rFonts w:ascii="Times New Roman" w:cs="Times New Roman" w:eastAsia="Times New Roman" w:hAnsi="Times New Roman"/>
          <w:sz w:val="28"/>
          <w:szCs w:val="28"/>
        </w:rPr>
        <w:t xml:space="preserve">2. Науково-методичне обґрунтування програми</w:t>
      </w:r>
    </w:p>
    <w:p>
      <w:pPr>
        <w:spacing w:after="40" w:before="0" w:line="276"/>
        <w:jc w:val="left"/>
      </w:pPr>
      <w:r>
        <w:rPr>
          <w:rFonts w:ascii="Times New Roman" w:cs="Times New Roman" w:eastAsia="Times New Roman" w:hAnsi="Times New Roman"/>
          <w:sz w:val="28"/>
          <w:szCs w:val="28"/>
        </w:rPr>
        <w:t xml:space="preserve">3. Структура та зміст програми</w:t>
      </w:r>
    </w:p>
    <w:p>
      <w:pPr>
        <w:spacing w:after="40" w:before="0" w:line="276"/>
        <w:jc w:val="left"/>
      </w:pPr>
      <w:r>
        <w:rPr>
          <w:rFonts w:ascii="Times New Roman" w:cs="Times New Roman" w:eastAsia="Times New Roman" w:hAnsi="Times New Roman"/>
          <w:sz w:val="28"/>
          <w:szCs w:val="28"/>
        </w:rPr>
        <w:t xml:space="preserve">4. Опис використаних методик і технологій із зазначенням джерел</w:t>
      </w:r>
    </w:p>
    <w:p>
      <w:pPr>
        <w:spacing w:after="40" w:before="0" w:line="276"/>
        <w:jc w:val="left"/>
      </w:pPr>
      <w:r>
        <w:rPr>
          <w:rFonts w:ascii="Times New Roman" w:cs="Times New Roman" w:eastAsia="Times New Roman" w:hAnsi="Times New Roman"/>
          <w:sz w:val="28"/>
          <w:szCs w:val="28"/>
        </w:rPr>
        <w:t xml:space="preserve">5. Перелік необхідних матеріалів та обладнання. Вимоги до фахівця</w:t>
      </w:r>
    </w:p>
    <w:p>
      <w:pPr>
        <w:spacing w:after="40" w:before="0" w:line="276"/>
        <w:jc w:val="left"/>
      </w:pPr>
      <w:r>
        <w:rPr>
          <w:rFonts w:ascii="Times New Roman" w:cs="Times New Roman" w:eastAsia="Times New Roman" w:hAnsi="Times New Roman"/>
          <w:sz w:val="28"/>
          <w:szCs w:val="28"/>
        </w:rPr>
        <w:t xml:space="preserve">6. Строки та етапи реалізації програми</w:t>
      </w:r>
    </w:p>
    <w:p>
      <w:pPr>
        <w:spacing w:after="40" w:before="0" w:line="276"/>
        <w:jc w:val="left"/>
      </w:pPr>
      <w:r>
        <w:rPr>
          <w:rFonts w:ascii="Times New Roman" w:cs="Times New Roman" w:eastAsia="Times New Roman" w:hAnsi="Times New Roman"/>
          <w:sz w:val="28"/>
          <w:szCs w:val="28"/>
        </w:rPr>
        <w:t xml:space="preserve">7. Очікувані результати</w:t>
      </w:r>
    </w:p>
    <w:p>
      <w:pPr>
        <w:spacing w:after="40" w:before="0" w:line="276"/>
        <w:jc w:val="left"/>
      </w:pPr>
      <w:r>
        <w:rPr>
          <w:rFonts w:ascii="Times New Roman" w:cs="Times New Roman" w:eastAsia="Times New Roman" w:hAnsi="Times New Roman"/>
          <w:sz w:val="28"/>
          <w:szCs w:val="28"/>
        </w:rPr>
        <w:t xml:space="preserve">8. Опис проведення апробації</w:t>
      </w:r>
    </w:p>
    <w:p>
      <w:pPr>
        <w:spacing w:after="40" w:before="0" w:line="276"/>
        <w:jc w:val="left"/>
      </w:pPr>
      <w:r>
        <w:rPr>
          <w:rFonts w:ascii="Times New Roman" w:cs="Times New Roman" w:eastAsia="Times New Roman" w:hAnsi="Times New Roman"/>
          <w:sz w:val="28"/>
          <w:szCs w:val="28"/>
        </w:rPr>
        <w:t xml:space="preserve">Висновки</w:t>
      </w:r>
    </w:p>
    <w:p>
      <w:pPr>
        <w:spacing w:after="40" w:before="0" w:line="276"/>
        <w:jc w:val="left"/>
      </w:pPr>
      <w:r>
        <w:rPr>
          <w:rFonts w:ascii="Times New Roman" w:cs="Times New Roman" w:eastAsia="Times New Roman" w:hAnsi="Times New Roman"/>
          <w:sz w:val="28"/>
          <w:szCs w:val="28"/>
        </w:rPr>
        <w:t xml:space="preserve">Список використаних джерел</w:t>
      </w:r>
    </w:p>
    <w:p>
      <w:pPr>
        <w:spacing w:after="40" w:before="0" w:line="276"/>
        <w:jc w:val="left"/>
      </w:pPr>
      <w:r>
        <w:rPr>
          <w:rFonts w:ascii="Times New Roman" w:cs="Times New Roman" w:eastAsia="Times New Roman" w:hAnsi="Times New Roman"/>
          <w:sz w:val="28"/>
          <w:szCs w:val="28"/>
        </w:rPr>
        <w:t xml:space="preserve">Додатки</w:t>
      </w:r>
    </w:p>
    <w:p>
      <w:pPr>
        <w:pStyle w:val="Heading1"/>
        <w:pageBreakBefore/>
      </w:pPr>
      <w:r>
        <w:rPr>
          <w:rFonts w:ascii="Times New Roman" w:cs="Times New Roman" w:eastAsia="Times New Roman" w:hAnsi="Times New Roman"/>
          <w:b/>
          <w:bCs/>
          <w:sz w:val="28"/>
          <w:szCs w:val="28"/>
        </w:rPr>
        <w:t xml:space="preserve">ВСТУП</w:t>
      </w:r>
    </w:p>
    <w:p>
      <w:pPr>
        <w:spacing w:after="80" w:before="0" w:line="276"/>
        <w:ind w:firstLine="709"/>
        <w:jc w:val="both"/>
      </w:pPr>
      <w:r>
        <w:rPr>
          <w:rFonts w:ascii="Times New Roman" w:cs="Times New Roman" w:eastAsia="Times New Roman" w:hAnsi="Times New Roman"/>
          <w:sz w:val="28"/>
          <w:szCs w:val="28"/>
        </w:rPr>
        <w:t xml:space="preserve">Програма </w:t>
      </w:r>
      <w:r>
        <w:rPr>
          <w:rFonts w:ascii="Times New Roman" w:cs="Times New Roman" w:eastAsia="Times New Roman" w:hAnsi="Times New Roman"/>
          <w:b/>
          <w:bCs/>
          <w:sz w:val="28"/>
          <w:szCs w:val="28"/>
        </w:rPr>
        <w:t xml:space="preserve">«Мої опори»</w:t>
      </w:r>
      <w:r>
        <w:rPr>
          <w:rFonts w:ascii="Times New Roman" w:cs="Times New Roman" w:eastAsia="Times New Roman" w:hAnsi="Times New Roman"/>
          <w:sz w:val="28"/>
          <w:szCs w:val="28"/>
        </w:rPr>
        <w:t xml:space="preserve"> призначена для практичних психологів і соціальних педагогів закладів загальної середньої освіти. Вона є комплексом заходів, спрямованих на профілактику емоційних труднощів, зниження ризиків, пов’язаних зі стресом, тривогою, виснаженням, цькуванням і небезпечною поведінкою, та на розвиток навичок саморегуляції, стійкості й готовності звертатися по допомогу. Реалізація програми обмежена конкретними часовими рамками: один навчальний рік (вересень — травень).</w:t>
      </w:r>
    </w:p>
    <w:p>
      <w:pPr>
        <w:spacing w:after="80" w:before="0" w:line="276"/>
        <w:ind w:firstLine="709"/>
        <w:jc w:val="both"/>
      </w:pPr>
      <w:r>
        <w:rPr>
          <w:rFonts w:ascii="Times New Roman" w:cs="Times New Roman" w:eastAsia="Times New Roman" w:hAnsi="Times New Roman"/>
          <w:sz w:val="28"/>
          <w:szCs w:val="28"/>
        </w:rPr>
        <w:t xml:space="preserve">Програму побудовано як систему універсальної (первинної) профілактики: вона адресована всім учням класу, а не лише тим, у кого вже є труднощі. Робота ведеться на трьох вікових рівнях (5–6, 7–8, 9–11 класи) і доповнюється компонентом для батьків. Програма не є терапією й не замінює індивідуальної допомоги, а допомагає вчасно помічати ризики й спрямовувати до відповідних фахівців.</w:t>
      </w:r>
    </w:p>
    <w:p>
      <w:pPr>
        <w:pStyle w:val="Heading1"/>
      </w:pPr>
      <w:r>
        <w:rPr>
          <w:rFonts w:ascii="Times New Roman" w:cs="Times New Roman" w:eastAsia="Times New Roman" w:hAnsi="Times New Roman"/>
          <w:b/>
          <w:bCs/>
          <w:sz w:val="28"/>
          <w:szCs w:val="28"/>
        </w:rPr>
        <w:t xml:space="preserve">1. ТЕОРЕТИЧНІ ОСНОВИ ПРОГРАМИ</w:t>
      </w:r>
    </w:p>
    <w:p>
      <w:pPr>
        <w:pStyle w:val="Heading2"/>
        <w:keepNext/>
      </w:pPr>
      <w:r>
        <w:rPr>
          <w:rFonts w:ascii="Times New Roman" w:cs="Times New Roman" w:eastAsia="Times New Roman" w:hAnsi="Times New Roman"/>
          <w:b/>
          <w:bCs/>
          <w:sz w:val="28"/>
          <w:szCs w:val="28"/>
        </w:rPr>
        <w:t xml:space="preserve">1.1. Психологічна проблематика</w:t>
      </w:r>
    </w:p>
    <w:p>
      <w:pPr>
        <w:spacing w:after="80" w:before="0" w:line="276"/>
        <w:ind w:firstLine="709"/>
        <w:jc w:val="both"/>
      </w:pPr>
      <w:r>
        <w:rPr>
          <w:rFonts w:ascii="Times New Roman" w:cs="Times New Roman" w:eastAsia="Times New Roman" w:hAnsi="Times New Roman"/>
          <w:sz w:val="28"/>
          <w:szCs w:val="28"/>
        </w:rPr>
        <w:t xml:space="preserve">Період від 10 до 17 років характеризується швидкими змінами: перебудовою тіла, зростанням значущості думки однолітків, розвитком ідентичності, підвищеною чутливістю до оцінювання. Дослідження показують, що в ранньому підлітковому віці самооцінка в середньому знижується (Robins та ін., 2002; Orth та ін., 2018), а накопичення навчального навантаження за браку відновлення пов’язане зі шкільним вигоранням (Salmela-Aro та ін., 2009). Біологічний годинник підлітків зсувається на пізніше, тоді як шкільні розклади лишаються ранніми, що сприяє недосипу (Carskadon, 2011). Цифрове середовище додає ризиків (кіберцькування, порівняння, нічне користування екранами), хоча дані про зв’язок екранного часу з благополуччям у середньому неоднозначні й малі (Orben &amp; Przybylski, 2019).</w:t>
      </w:r>
    </w:p>
    <w:p>
      <w:pPr>
        <w:spacing w:after="80" w:before="0" w:line="276"/>
        <w:ind w:firstLine="709"/>
        <w:jc w:val="both"/>
      </w:pPr>
      <w:r>
        <w:rPr>
          <w:rFonts w:ascii="Times New Roman" w:cs="Times New Roman" w:eastAsia="Times New Roman" w:hAnsi="Times New Roman"/>
          <w:sz w:val="28"/>
          <w:szCs w:val="28"/>
        </w:rPr>
        <w:t xml:space="preserve">В Україні ці чинники поєднуються з наслідками воєнних подій: втратами, переміщеннями, тривалою невизначеністю й стресом. За таких умов особливо важливо, щоб діти й дорослі мали прості, доступні навички: заспокоїти тіло, назвати емоцію, попросити про допомогу, підтримати одне одного. Системні шкільні програми соціально-емоційного навчання в середньому дають помірні позитивні ефекти щодо навичок, ставлень і поведінки (Durlak та ін., 2011), хоча результат залежить від якості впровадження.</w:t>
      </w:r>
    </w:p>
    <w:p>
      <w:pPr>
        <w:pStyle w:val="Heading2"/>
        <w:keepNext/>
      </w:pPr>
      <w:r>
        <w:rPr>
          <w:rFonts w:ascii="Times New Roman" w:cs="Times New Roman" w:eastAsia="Times New Roman" w:hAnsi="Times New Roman"/>
          <w:b/>
          <w:bCs/>
          <w:sz w:val="28"/>
          <w:szCs w:val="28"/>
        </w:rPr>
        <w:t xml:space="preserve">1.2. Профілактика та рівні допомоги</w:t>
      </w:r>
    </w:p>
    <w:p>
      <w:pPr>
        <w:spacing w:after="80" w:before="0" w:line="276"/>
        <w:ind w:firstLine="709"/>
        <w:jc w:val="both"/>
      </w:pPr>
      <w:r>
        <w:rPr>
          <w:rFonts w:ascii="Times New Roman" w:cs="Times New Roman" w:eastAsia="Times New Roman" w:hAnsi="Times New Roman"/>
          <w:sz w:val="28"/>
          <w:szCs w:val="28"/>
        </w:rPr>
        <w:t xml:space="preserve">Під профілактикою в програмі розуміється сукупність заходів, спрямованих на запобігання виникненню труднощів у навчанні, вихованні, соціалізації та поведінці. Програма працює на </w:t>
      </w:r>
      <w:r>
        <w:rPr>
          <w:rFonts w:ascii="Times New Roman" w:cs="Times New Roman" w:eastAsia="Times New Roman" w:hAnsi="Times New Roman"/>
          <w:b/>
          <w:bCs/>
          <w:sz w:val="28"/>
          <w:szCs w:val="28"/>
        </w:rPr>
        <w:t xml:space="preserve">універсальному рівні</w:t>
      </w:r>
      <w:r>
        <w:rPr>
          <w:rFonts w:ascii="Times New Roman" w:cs="Times New Roman" w:eastAsia="Times New Roman" w:hAnsi="Times New Roman"/>
          <w:sz w:val="28"/>
          <w:szCs w:val="28"/>
        </w:rPr>
        <w:t xml:space="preserve"> й узгоджується з пірамідою втручань для психічного здоров’я та психосоціальної підтримки (IASC, 2007): базова безпека й підтримка для всіх, сімейна та громадська підтримка, а за потреби — направлення до спеціалізованої допомоги. Класні заняття не призначені для лікування; їхня мета — просвіта, навички, нормалізація та шлях до допомоги.</w:t>
      </w:r>
    </w:p>
    <w:p>
      <w:pPr>
        <w:pStyle w:val="Heading2"/>
        <w:keepNext/>
      </w:pPr>
      <w:r>
        <w:rPr>
          <w:rFonts w:ascii="Times New Roman" w:cs="Times New Roman" w:eastAsia="Times New Roman" w:hAnsi="Times New Roman"/>
          <w:b/>
          <w:bCs/>
          <w:sz w:val="28"/>
          <w:szCs w:val="28"/>
        </w:rPr>
        <w:t xml:space="preserve">1.3. Теоретичні підходи, на яких побудовано програму</w:t>
      </w:r>
    </w:p>
    <w:p>
      <w:pPr>
        <w:pStyle w:val="ListParagraph"/>
        <w:numPr>
          <w:ilvl w:val="0"/>
          <w:numId w:val="2"/>
        </w:numPr>
        <w:spacing w:after="40" w:line="276"/>
        <w:jc w:val="both"/>
      </w:pPr>
      <w:r>
        <w:rPr>
          <w:rFonts w:ascii="Times New Roman" w:cs="Times New Roman" w:eastAsia="Times New Roman" w:hAnsi="Times New Roman"/>
          <w:b/>
          <w:bCs/>
          <w:sz w:val="28"/>
          <w:szCs w:val="28"/>
        </w:rPr>
        <w:t xml:space="preserve">Соціально-емоційне навчання (SEL)</w:t>
      </w:r>
      <w:r>
        <w:rPr>
          <w:rFonts w:ascii="Times New Roman" w:cs="Times New Roman" w:eastAsia="Times New Roman" w:hAnsi="Times New Roman"/>
          <w:sz w:val="28"/>
          <w:szCs w:val="28"/>
        </w:rPr>
        <w:t xml:space="preserve"> — розвиток самосвідомості, саморегуляції, соціальної свідомості, навичок стосунків і відповідальних рішень (CASEL; Durlak та ін., 2011).</w:t>
      </w:r>
    </w:p>
    <w:p>
      <w:pPr>
        <w:pStyle w:val="ListParagraph"/>
        <w:numPr>
          <w:ilvl w:val="0"/>
          <w:numId w:val="2"/>
        </w:numPr>
        <w:spacing w:after="40" w:line="276"/>
        <w:jc w:val="both"/>
      </w:pPr>
      <w:r>
        <w:rPr>
          <w:rFonts w:ascii="Times New Roman" w:cs="Times New Roman" w:eastAsia="Times New Roman" w:hAnsi="Times New Roman"/>
          <w:b/>
          <w:bCs/>
          <w:sz w:val="28"/>
          <w:szCs w:val="28"/>
        </w:rPr>
        <w:t xml:space="preserve">Когнітивно-поведінковий підхід</w:t>
      </w:r>
      <w:r>
        <w:rPr>
          <w:rFonts w:ascii="Times New Roman" w:cs="Times New Roman" w:eastAsia="Times New Roman" w:hAnsi="Times New Roman"/>
          <w:sz w:val="28"/>
          <w:szCs w:val="28"/>
        </w:rPr>
        <w:t xml:space="preserve"> — зв’язок думок, емоцій і поведінки; перевірка автоматичних думок, поступове подолання уникання (Beck та ін., 1979; Hofmann та ін., 2012). Елементи </w:t>
      </w:r>
      <w:r>
        <w:rPr>
          <w:rFonts w:ascii="Times New Roman" w:cs="Times New Roman" w:eastAsia="Times New Roman" w:hAnsi="Times New Roman"/>
          <w:b/>
          <w:bCs/>
          <w:sz w:val="28"/>
          <w:szCs w:val="28"/>
        </w:rPr>
        <w:t xml:space="preserve">ACT</w:t>
      </w:r>
      <w:r>
        <w:rPr>
          <w:rFonts w:ascii="Times New Roman" w:cs="Times New Roman" w:eastAsia="Times New Roman" w:hAnsi="Times New Roman"/>
          <w:sz w:val="28"/>
          <w:szCs w:val="28"/>
        </w:rPr>
        <w:t xml:space="preserve"> — прийняття, дефузія, робота з цінностями (Hayes та ін., 1999).</w:t>
      </w:r>
    </w:p>
    <w:p>
      <w:pPr>
        <w:pStyle w:val="ListParagraph"/>
        <w:numPr>
          <w:ilvl w:val="0"/>
          <w:numId w:val="2"/>
        </w:numPr>
        <w:spacing w:after="40" w:line="276"/>
        <w:jc w:val="both"/>
      </w:pPr>
      <w:r>
        <w:rPr>
          <w:rFonts w:ascii="Times New Roman" w:cs="Times New Roman" w:eastAsia="Times New Roman" w:hAnsi="Times New Roman"/>
          <w:b/>
          <w:bCs/>
          <w:sz w:val="28"/>
          <w:szCs w:val="28"/>
        </w:rPr>
        <w:t xml:space="preserve">Модель регуляції емоцій</w:t>
      </w:r>
      <w:r>
        <w:rPr>
          <w:rFonts w:ascii="Times New Roman" w:cs="Times New Roman" w:eastAsia="Times New Roman" w:hAnsi="Times New Roman"/>
          <w:sz w:val="28"/>
          <w:szCs w:val="28"/>
        </w:rPr>
        <w:t xml:space="preserve"> — вибір ситуації, переключення уваги, переоцінка, модуляція реакції (Gross, 1998; Gross &amp; John, 2003); </w:t>
      </w:r>
      <w:r>
        <w:rPr>
          <w:rFonts w:ascii="Times New Roman" w:cs="Times New Roman" w:eastAsia="Times New Roman" w:hAnsi="Times New Roman"/>
          <w:b/>
          <w:bCs/>
          <w:sz w:val="28"/>
          <w:szCs w:val="28"/>
        </w:rPr>
        <w:t xml:space="preserve">самоспівчуття</w:t>
      </w:r>
      <w:r>
        <w:rPr>
          <w:rFonts w:ascii="Times New Roman" w:cs="Times New Roman" w:eastAsia="Times New Roman" w:hAnsi="Times New Roman"/>
          <w:sz w:val="28"/>
          <w:szCs w:val="28"/>
        </w:rPr>
        <w:t xml:space="preserve"> (Neff, 2003).</w:t>
      </w:r>
    </w:p>
    <w:p>
      <w:pPr>
        <w:pStyle w:val="ListParagraph"/>
        <w:numPr>
          <w:ilvl w:val="0"/>
          <w:numId w:val="2"/>
        </w:numPr>
        <w:spacing w:after="40" w:line="276"/>
        <w:jc w:val="both"/>
      </w:pPr>
      <w:r>
        <w:rPr>
          <w:rFonts w:ascii="Times New Roman" w:cs="Times New Roman" w:eastAsia="Times New Roman" w:hAnsi="Times New Roman"/>
          <w:b/>
          <w:bCs/>
          <w:sz w:val="28"/>
          <w:szCs w:val="28"/>
        </w:rPr>
        <w:t xml:space="preserve">Моделі стресу й ресурсів</w:t>
      </w:r>
      <w:r>
        <w:rPr>
          <w:rFonts w:ascii="Times New Roman" w:cs="Times New Roman" w:eastAsia="Times New Roman" w:hAnsi="Times New Roman"/>
          <w:sz w:val="28"/>
          <w:szCs w:val="28"/>
        </w:rPr>
        <w:t xml:space="preserve"> — алостатичне навантаження (McEwen, 1998), теорія збереження ресурсів (Hobfoll, 1989), модель вимог і ресурсів (Bakker &amp; Demerouti, 2007).</w:t>
      </w:r>
    </w:p>
    <w:p>
      <w:pPr>
        <w:pStyle w:val="ListParagraph"/>
        <w:numPr>
          <w:ilvl w:val="0"/>
          <w:numId w:val="2"/>
        </w:numPr>
        <w:spacing w:after="40" w:line="276"/>
        <w:jc w:val="both"/>
      </w:pPr>
      <w:r>
        <w:rPr>
          <w:rFonts w:ascii="Times New Roman" w:cs="Times New Roman" w:eastAsia="Times New Roman" w:hAnsi="Times New Roman"/>
          <w:b/>
          <w:bCs/>
          <w:sz w:val="28"/>
          <w:szCs w:val="28"/>
        </w:rPr>
        <w:t xml:space="preserve">Стійкість як процес і взаємодія з контекстом</w:t>
      </w:r>
      <w:r>
        <w:rPr>
          <w:rFonts w:ascii="Times New Roman" w:cs="Times New Roman" w:eastAsia="Times New Roman" w:hAnsi="Times New Roman"/>
          <w:sz w:val="28"/>
          <w:szCs w:val="28"/>
        </w:rPr>
        <w:t xml:space="preserve"> (Masten, 2001; Ungar, 2011; Bonanno, 2004).</w:t>
      </w:r>
    </w:p>
    <w:p>
      <w:pPr>
        <w:pStyle w:val="ListParagraph"/>
        <w:numPr>
          <w:ilvl w:val="0"/>
          <w:numId w:val="2"/>
        </w:numPr>
        <w:spacing w:after="40" w:line="276"/>
        <w:jc w:val="both"/>
      </w:pPr>
      <w:r>
        <w:rPr>
          <w:rFonts w:ascii="Times New Roman" w:cs="Times New Roman" w:eastAsia="Times New Roman" w:hAnsi="Times New Roman"/>
          <w:b/>
          <w:bCs/>
          <w:sz w:val="28"/>
          <w:szCs w:val="28"/>
        </w:rPr>
        <w:t xml:space="preserve">Підхід, чутливий до травми, та психологічна перша допомога</w:t>
      </w:r>
      <w:r>
        <w:rPr>
          <w:rFonts w:ascii="Times New Roman" w:cs="Times New Roman" w:eastAsia="Times New Roman" w:hAnsi="Times New Roman"/>
          <w:sz w:val="28"/>
          <w:szCs w:val="28"/>
        </w:rPr>
        <w:t xml:space="preserve"> — безпека, передбачуваність, вибір, відсутність примусу до розкриття (SAMHSA, 2014; ВООЗ, 2011).</w:t>
      </w:r>
    </w:p>
    <w:p>
      <w:pPr>
        <w:pStyle w:val="ListParagraph"/>
        <w:numPr>
          <w:ilvl w:val="0"/>
          <w:numId w:val="2"/>
        </w:numPr>
        <w:spacing w:after="40" w:line="276"/>
        <w:jc w:val="both"/>
      </w:pPr>
      <w:r>
        <w:rPr>
          <w:rFonts w:ascii="Times New Roman" w:cs="Times New Roman" w:eastAsia="Times New Roman" w:hAnsi="Times New Roman"/>
          <w:b/>
          <w:bCs/>
          <w:sz w:val="28"/>
          <w:szCs w:val="28"/>
        </w:rPr>
        <w:t xml:space="preserve">Робота з батьками</w:t>
      </w:r>
      <w:r>
        <w:rPr>
          <w:rFonts w:ascii="Times New Roman" w:cs="Times New Roman" w:eastAsia="Times New Roman" w:hAnsi="Times New Roman"/>
          <w:sz w:val="28"/>
          <w:szCs w:val="28"/>
        </w:rPr>
        <w:t xml:space="preserve"> — емоційне коучинг-спілкування (Gottman та ін., 1996), стилі виховання (Baumrind, 1991), підтримка автономії (Ryan &amp; Deci, 2000).</w:t>
      </w:r>
    </w:p>
    <w:p>
      <w:pPr>
        <w:pStyle w:val="Heading2"/>
        <w:keepNext/>
      </w:pPr>
      <w:r>
        <w:rPr>
          <w:rFonts w:ascii="Times New Roman" w:cs="Times New Roman" w:eastAsia="Times New Roman" w:hAnsi="Times New Roman"/>
          <w:b/>
          <w:bCs/>
          <w:sz w:val="28"/>
          <w:szCs w:val="28"/>
        </w:rPr>
        <w:t xml:space="preserve">1.4. Ключові поняття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500"/>
        <w:gridCol w:w="6855"/>
      </w:tblGrid>
      <w:tr>
        <w:trPr>
          <w:tblHeader/>
        </w:trPr>
        <w:tc>
          <w:tcPr>
            <w:tcW w:type="dxa" w:w="2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Поняття</w:t>
            </w:r>
          </w:p>
        </w:tc>
        <w:tc>
          <w:tcPr>
            <w:tcW w:type="dxa" w:w="68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Значення в межах програми</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Профілактика (універсальна)</w:t>
            </w:r>
          </w:p>
        </w:tc>
        <w:tc>
          <w:tcPr>
            <w:tcW w:type="dxa" w:w="6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Заходи для всіх учнів, що запобігають виникненню труднощів і формують захисні чинники</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Психологічна просвіта</w:t>
            </w:r>
          </w:p>
        </w:tc>
        <w:tc>
          <w:tcPr>
            <w:tcW w:type="dxa" w:w="6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Передача знань і навичок про психічне здоров’я в доступній формі без діагностування учасників</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Саморегуляція емоцій</w:t>
            </w:r>
          </w:p>
        </w:tc>
        <w:tc>
          <w:tcPr>
            <w:tcW w:type="dxa" w:w="6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Здатність помічати емоції й обирати способи впливу на них</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Психологічна стійкість (резильєнтність)</w:t>
            </w:r>
          </w:p>
        </w:tc>
        <w:tc>
          <w:tcPr>
            <w:tcW w:type="dxa" w:w="6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Процес відновлення та адаптації за підтримки людей, навичок і середовища</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Захисні чинники / ресурси</w:t>
            </w:r>
          </w:p>
        </w:tc>
        <w:tc>
          <w:tcPr>
            <w:tcW w:type="dxa" w:w="6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Люди, навички, режим, цінності, середовище, що знижують ризики й підтримують благополуччя</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Психологічна безпека групи</w:t>
            </w:r>
          </w:p>
        </w:tc>
        <w:tc>
          <w:tcPr>
            <w:tcW w:type="dxa" w:w="6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Умови, за яких учасник може помилятись і висловлюватись без осуду; право на «пас»</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Скринінг</w:t>
            </w:r>
          </w:p>
        </w:tc>
        <w:tc>
          <w:tcPr>
            <w:tcW w:type="dxa" w:w="6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Короткий інструмент, що виявляє потребу в подальшій оцінці; не діагноз</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Арт-техніка</w:t>
            </w:r>
          </w:p>
        </w:tc>
        <w:tc>
          <w:tcPr>
            <w:tcW w:type="dxa" w:w="6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Творча вправа для рефлексії; результат не інтерпретується як діагноз</w:t>
            </w:r>
          </w:p>
        </w:tc>
      </w:tr>
    </w:tbl>
    <w:p>
      <w:pPr>
        <w:spacing w:after="100"/>
      </w:pPr>
      <w:r>
        <w:rPr>
          <w:rFonts w:ascii="Times New Roman" w:cs="Times New Roman" w:eastAsia="Times New Roman" w:hAnsi="Times New Roman"/>
          <w:sz w:val="28"/>
          <w:szCs w:val="28"/>
        </w:rPr>
        <w:t xml:space="preserve"/>
      </w:r>
    </w:p>
    <w:p>
      <w:pPr>
        <w:pStyle w:val="Heading2"/>
        <w:keepNext/>
      </w:pPr>
      <w:r>
        <w:rPr>
          <w:rFonts w:ascii="Times New Roman" w:cs="Times New Roman" w:eastAsia="Times New Roman" w:hAnsi="Times New Roman"/>
          <w:b/>
          <w:bCs/>
          <w:sz w:val="28"/>
          <w:szCs w:val="28"/>
        </w:rPr>
        <w:t xml:space="preserve">1.5. Нормативно-правова база</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Закон України «Про освіту» від 05.09.2017 № 2145-VIII.</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Положення про психологічну службу у системі освіти України (наказ МОН України від 22.05.2018 № 509) </w:t>
      </w:r>
      <w:r>
        <w:rPr>
          <w:rFonts w:ascii="Times New Roman" w:cs="Times New Roman" w:eastAsia="Times New Roman" w:hAnsi="Times New Roman"/>
          <w:sz w:val="28"/>
          <w:szCs w:val="28"/>
          <w:highlight w:val="yellow"/>
          <w:highlightCs w:val="yellow"/>
        </w:rPr>
        <w:t xml:space="preserve">[звірити реквізити й чинну редакцію]</w:t>
      </w:r>
      <w:r>
        <w:rPr>
          <w:rFonts w:ascii="Times New Roman" w:cs="Times New Roman" w:eastAsia="Times New Roman" w:hAnsi="Times New Roman"/>
          <w:sz w:val="28"/>
          <w:szCs w:val="28"/>
        </w:rPr>
        <w:t xml:space="preserve">.</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Закон України щодо протидії булінгу (цькуванню) від 18.12.2018 № 2657-VIII </w:t>
      </w:r>
      <w:r>
        <w:rPr>
          <w:rFonts w:ascii="Times New Roman" w:cs="Times New Roman" w:eastAsia="Times New Roman" w:hAnsi="Times New Roman"/>
          <w:sz w:val="28"/>
          <w:szCs w:val="28"/>
          <w:highlight w:val="yellow"/>
          <w:highlightCs w:val="yellow"/>
        </w:rPr>
        <w:t xml:space="preserve">[звірити назву й чинну редакцію]</w:t>
      </w:r>
      <w:r>
        <w:rPr>
          <w:rFonts w:ascii="Times New Roman" w:cs="Times New Roman" w:eastAsia="Times New Roman" w:hAnsi="Times New Roman"/>
          <w:sz w:val="28"/>
          <w:szCs w:val="28"/>
        </w:rPr>
        <w:t xml:space="preserve">.</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Положення про Всеукраїнський конкурс авторських програм практичних психологів і соціальних педагогів «Нові технології у новій школі» (наказ МОН України від 31.05.2018 № 555) та наказ про проведення міського конкурсу </w:t>
      </w:r>
      <w:r>
        <w:rPr>
          <w:rFonts w:ascii="Times New Roman" w:cs="Times New Roman" w:eastAsia="Times New Roman" w:hAnsi="Times New Roman"/>
          <w:sz w:val="28"/>
          <w:szCs w:val="28"/>
          <w:highlight w:val="yellow"/>
          <w:highlightCs w:val="yellow"/>
        </w:rPr>
        <w:t xml:space="preserve">[номер і дата наказу]</w:t>
      </w:r>
      <w:r>
        <w:rPr>
          <w:rFonts w:ascii="Times New Roman" w:cs="Times New Roman" w:eastAsia="Times New Roman" w:hAnsi="Times New Roman"/>
          <w:sz w:val="28"/>
          <w:szCs w:val="28"/>
        </w:rPr>
        <w:t xml:space="preserve">.</w:t>
      </w:r>
    </w:p>
    <w:p>
      <w:pPr>
        <w:pStyle w:val="Heading1"/>
        <w:pageBreakBefore/>
      </w:pPr>
      <w:r>
        <w:rPr>
          <w:rFonts w:ascii="Times New Roman" w:cs="Times New Roman" w:eastAsia="Times New Roman" w:hAnsi="Times New Roman"/>
          <w:b/>
          <w:bCs/>
          <w:sz w:val="28"/>
          <w:szCs w:val="28"/>
        </w:rPr>
        <w:t xml:space="preserve">2. НАУКОВО-МЕТОДИЧНЕ ОБҐРУНТУВАННЯ ПРОГРАМИ</w:t>
      </w:r>
    </w:p>
    <w:p>
      <w:pPr>
        <w:pStyle w:val="Heading2"/>
        <w:keepNext/>
      </w:pPr>
      <w:r>
        <w:rPr>
          <w:rFonts w:ascii="Times New Roman" w:cs="Times New Roman" w:eastAsia="Times New Roman" w:hAnsi="Times New Roman"/>
          <w:b/>
          <w:bCs/>
          <w:sz w:val="28"/>
          <w:szCs w:val="28"/>
        </w:rPr>
        <w:t xml:space="preserve">2.1. Актуальність</w:t>
      </w:r>
    </w:p>
    <w:p>
      <w:pPr>
        <w:spacing w:after="80" w:before="0" w:line="276"/>
        <w:ind w:firstLine="709"/>
        <w:jc w:val="both"/>
      </w:pPr>
      <w:r>
        <w:rPr>
          <w:rFonts w:ascii="Times New Roman" w:cs="Times New Roman" w:eastAsia="Times New Roman" w:hAnsi="Times New Roman"/>
          <w:sz w:val="28"/>
          <w:szCs w:val="28"/>
        </w:rPr>
        <w:t xml:space="preserve">Заклади освіти потребують системного, а не епізодичного підходу до психологічної профілактики. Окремі лекції й кризові втручання не формують стійких навичок. Практичним психологам бракує готових, доказово обґрунтованих, вікові диференційованих матеріалів, що поєднують просвіту для учнів, роботу з батьками, безпечні протоколи реагування й прозорий перелік джерел. Програма пропонує такий комплект, придатний для використання в очному, змішаному й дистанційному форматі.</w:t>
      </w:r>
    </w:p>
    <w:p>
      <w:pPr>
        <w:pStyle w:val="Heading2"/>
        <w:keepNext/>
      </w:pPr>
      <w:r>
        <w:rPr>
          <w:rFonts w:ascii="Times New Roman" w:cs="Times New Roman" w:eastAsia="Times New Roman" w:hAnsi="Times New Roman"/>
          <w:b/>
          <w:bCs/>
          <w:sz w:val="28"/>
          <w:szCs w:val="28"/>
        </w:rPr>
        <w:t xml:space="preserve">2.2. Мета</w:t>
      </w:r>
    </w:p>
    <w:p>
      <w:pPr>
        <w:spacing w:after="80" w:before="0" w:line="276"/>
        <w:ind w:firstLine="709"/>
        <w:jc w:val="both"/>
      </w:pPr>
      <w:r>
        <w:rPr>
          <w:rFonts w:ascii="Times New Roman" w:cs="Times New Roman" w:eastAsia="Times New Roman" w:hAnsi="Times New Roman"/>
          <w:sz w:val="28"/>
          <w:szCs w:val="28"/>
        </w:rPr>
        <w:t xml:space="preserve">Сприяти емоційному благополуччю й розвитку психологічної стійкості учнів 5–11 класів, а також підвищенню компетентності батьків у підтримці дітей шляхом системної психологічної просвіти, відпрацювання практичних навичок і формування готовності звертатися по допомогу.</w:t>
      </w:r>
    </w:p>
    <w:p>
      <w:pPr>
        <w:pStyle w:val="Heading2"/>
        <w:keepNext/>
      </w:pPr>
      <w:r>
        <w:rPr>
          <w:rFonts w:ascii="Times New Roman" w:cs="Times New Roman" w:eastAsia="Times New Roman" w:hAnsi="Times New Roman"/>
          <w:b/>
          <w:bCs/>
          <w:sz w:val="28"/>
          <w:szCs w:val="28"/>
        </w:rPr>
        <w:t xml:space="preserve">2.3. Завдання</w:t>
      </w:r>
    </w:p>
    <w:p>
      <w:pPr>
        <w:pStyle w:val="ListParagraph"/>
        <w:numPr>
          <w:ilvl w:val="0"/>
          <w:numId w:val="3"/>
        </w:numPr>
        <w:spacing w:after="40" w:line="276"/>
        <w:jc w:val="both"/>
      </w:pPr>
      <w:r>
        <w:rPr>
          <w:rFonts w:ascii="Times New Roman" w:cs="Times New Roman" w:eastAsia="Times New Roman" w:hAnsi="Times New Roman"/>
          <w:sz w:val="28"/>
          <w:szCs w:val="28"/>
        </w:rPr>
        <w:t xml:space="preserve">Сформувати в учнів знання й спільну мову про емоції, стрес, тривогу, самооцінку, кордони, конфлікти, стійкість, сон і відпочинок, цінності.</w:t>
      </w:r>
    </w:p>
    <w:p>
      <w:pPr>
        <w:pStyle w:val="ListParagraph"/>
        <w:numPr>
          <w:ilvl w:val="0"/>
          <w:numId w:val="3"/>
        </w:numPr>
        <w:spacing w:after="40" w:line="276"/>
        <w:jc w:val="both"/>
      </w:pPr>
      <w:r>
        <w:rPr>
          <w:rFonts w:ascii="Times New Roman" w:cs="Times New Roman" w:eastAsia="Times New Roman" w:hAnsi="Times New Roman"/>
          <w:sz w:val="28"/>
          <w:szCs w:val="28"/>
        </w:rPr>
        <w:t xml:space="preserve">Розвинути практичні навички: дихання й заземлення, називання емоцій, переоцінка думок, Я-повідомлення, активне слухання, планування відновлення.</w:t>
      </w:r>
    </w:p>
    <w:p>
      <w:pPr>
        <w:pStyle w:val="ListParagraph"/>
        <w:numPr>
          <w:ilvl w:val="0"/>
          <w:numId w:val="3"/>
        </w:numPr>
        <w:spacing w:after="40" w:line="276"/>
        <w:jc w:val="both"/>
      </w:pPr>
      <w:r>
        <w:rPr>
          <w:rFonts w:ascii="Times New Roman" w:cs="Times New Roman" w:eastAsia="Times New Roman" w:hAnsi="Times New Roman"/>
          <w:sz w:val="28"/>
          <w:szCs w:val="28"/>
        </w:rPr>
        <w:t xml:space="preserve">Зміцнити ресурси та підтримувальні стосунки: «коло довіри», емпатія з межами, підтримка однолітків.</w:t>
      </w:r>
    </w:p>
    <w:p>
      <w:pPr>
        <w:pStyle w:val="ListParagraph"/>
        <w:numPr>
          <w:ilvl w:val="0"/>
          <w:numId w:val="3"/>
        </w:numPr>
        <w:spacing w:after="40" w:line="276"/>
        <w:jc w:val="both"/>
      </w:pPr>
      <w:r>
        <w:rPr>
          <w:rFonts w:ascii="Times New Roman" w:cs="Times New Roman" w:eastAsia="Times New Roman" w:hAnsi="Times New Roman"/>
          <w:sz w:val="28"/>
          <w:szCs w:val="28"/>
        </w:rPr>
        <w:t xml:space="preserve">Сформувати готовність звертатися по допомогу: знання контактів (116 111, 0 800 500 335), довіра до дорослих і фахівців.</w:t>
      </w:r>
    </w:p>
    <w:p>
      <w:pPr>
        <w:pStyle w:val="ListParagraph"/>
        <w:numPr>
          <w:ilvl w:val="0"/>
          <w:numId w:val="3"/>
        </w:numPr>
        <w:spacing w:after="40" w:line="276"/>
        <w:jc w:val="both"/>
      </w:pPr>
      <w:r>
        <w:rPr>
          <w:rFonts w:ascii="Times New Roman" w:cs="Times New Roman" w:eastAsia="Times New Roman" w:hAnsi="Times New Roman"/>
          <w:sz w:val="28"/>
          <w:szCs w:val="28"/>
        </w:rPr>
        <w:t xml:space="preserve">Залучити батьків до профілактичної роботи через інтерактивні уроки та зустрічі.</w:t>
      </w:r>
    </w:p>
    <w:p>
      <w:pPr>
        <w:pStyle w:val="ListParagraph"/>
        <w:numPr>
          <w:ilvl w:val="0"/>
          <w:numId w:val="3"/>
        </w:numPr>
        <w:spacing w:after="40" w:line="276"/>
        <w:jc w:val="both"/>
      </w:pPr>
      <w:r>
        <w:rPr>
          <w:rFonts w:ascii="Times New Roman" w:cs="Times New Roman" w:eastAsia="Times New Roman" w:hAnsi="Times New Roman"/>
          <w:sz w:val="28"/>
          <w:szCs w:val="28"/>
        </w:rPr>
        <w:t xml:space="preserve">Забезпечити безпечний формат роботи: етика, конфіденційність, право на «пас», кризові протоколи.</w:t>
      </w:r>
    </w:p>
    <w:p>
      <w:pPr>
        <w:pStyle w:val="ListParagraph"/>
        <w:numPr>
          <w:ilvl w:val="0"/>
          <w:numId w:val="3"/>
        </w:numPr>
        <w:spacing w:after="40" w:line="276"/>
        <w:jc w:val="both"/>
      </w:pPr>
      <w:r>
        <w:rPr>
          <w:rFonts w:ascii="Times New Roman" w:cs="Times New Roman" w:eastAsia="Times New Roman" w:hAnsi="Times New Roman"/>
          <w:sz w:val="28"/>
          <w:szCs w:val="28"/>
        </w:rPr>
        <w:t xml:space="preserve">Створити умови для раннього виявлення ризиків і своєчасного направлення до фахівців.</w:t>
      </w:r>
    </w:p>
    <w:p>
      <w:pPr>
        <w:pStyle w:val="Heading2"/>
        <w:keepNext/>
      </w:pPr>
      <w:r>
        <w:rPr>
          <w:rFonts w:ascii="Times New Roman" w:cs="Times New Roman" w:eastAsia="Times New Roman" w:hAnsi="Times New Roman"/>
          <w:b/>
          <w:bCs/>
          <w:sz w:val="28"/>
          <w:szCs w:val="28"/>
        </w:rPr>
        <w:t xml:space="preserve">2.4. Учасники та аудиторія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3300"/>
        <w:gridCol w:w="2355"/>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Група</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Вік</w:t>
            </w:r>
          </w:p>
        </w:tc>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Формат</w:t>
            </w:r>
          </w:p>
        </w:tc>
        <w:tc>
          <w:tcPr>
            <w:tcW w:type="dxa" w:w="23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Орієнтовна кількість</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Учні 5–6 класів</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10–12 років</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Класне заняття 40 хв</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[__ класів / __ учнів]</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Учні 7–8 класів</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12–14 років</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Класне заняття 45 хв</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[__ класів / __ учнів]</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Учні 9–11 класів</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14–17 років</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Класне заняття 45 хв</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[__ класів / __ учнів]</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Батьки</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дорослі</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Інтерактивний онлайн-урок (самостійно, 50 хв) і зустріч психолога (75 хв), 4 рази на рік</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[__ осіб]</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Педагоги (за потреби)</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дорослі</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Участь класних керівників, обмін досвідом</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[__ осіб]</w:t>
            </w:r>
          </w:p>
        </w:tc>
      </w:tr>
    </w:tbl>
    <w:p>
      <w:pPr>
        <w:spacing w:after="100"/>
      </w:pPr>
      <w:r>
        <w:rPr>
          <w:rFonts w:ascii="Times New Roman" w:cs="Times New Roman" w:eastAsia="Times New Roman" w:hAnsi="Times New Roman"/>
          <w:sz w:val="28"/>
          <w:szCs w:val="28"/>
        </w:rPr>
        <w:t xml:space="preserve"/>
      </w:r>
    </w:p>
    <w:p>
      <w:pPr>
        <w:spacing w:after="80" w:before="0" w:line="276"/>
        <w:ind w:firstLine="709"/>
        <w:jc w:val="both"/>
      </w:pPr>
      <w:r>
        <w:rPr>
          <w:rFonts w:ascii="Times New Roman" w:cs="Times New Roman" w:eastAsia="Times New Roman" w:hAnsi="Times New Roman"/>
          <w:sz w:val="28"/>
          <w:szCs w:val="28"/>
        </w:rPr>
        <w:t xml:space="preserve">Заняття проводяться з цілим класом (до 30 учнів). Участь у вправах добровільна; результати не оцінюються балами й не пов’язуються з успішністю. Для чутливих тем (самоушкоджувальна поведінка, втрата) передбачено окремий формат: обов’язкова присутність психолога, інформування батьків, можливість вийти й поговорити після заняття.</w:t>
      </w:r>
    </w:p>
    <w:p>
      <w:pPr>
        <w:pStyle w:val="Heading2"/>
        <w:keepNext/>
      </w:pPr>
      <w:r>
        <w:rPr>
          <w:rFonts w:ascii="Times New Roman" w:cs="Times New Roman" w:eastAsia="Times New Roman" w:hAnsi="Times New Roman"/>
          <w:b/>
          <w:bCs/>
          <w:sz w:val="28"/>
          <w:szCs w:val="28"/>
        </w:rPr>
        <w:t xml:space="preserve">2.5. Хто впроваджує</w:t>
      </w:r>
    </w:p>
    <w:p>
      <w:pPr>
        <w:spacing w:after="80" w:before="0" w:line="276"/>
        <w:ind w:firstLine="709"/>
        <w:jc w:val="both"/>
      </w:pPr>
      <w:r>
        <w:rPr>
          <w:rFonts w:ascii="Times New Roman" w:cs="Times New Roman" w:eastAsia="Times New Roman" w:hAnsi="Times New Roman"/>
          <w:sz w:val="28"/>
          <w:szCs w:val="28"/>
        </w:rPr>
        <w:t xml:space="preserve">Програму впроваджує практичний психолог закладу (за потреби — соціальний педагог) у взаємодії з класними керівниками та адміністрацією. Класний керівник може підтримувати практичні вправи («пульс», щоденник батарейки, вечірній ритуал), але ведення чутливих тем і використання діагностичних методик залишається за психологом.</w:t>
      </w:r>
    </w:p>
    <w:p>
      <w:pPr>
        <w:pStyle w:val="Heading2"/>
        <w:keepNext/>
      </w:pPr>
      <w:r>
        <w:rPr>
          <w:rFonts w:ascii="Times New Roman" w:cs="Times New Roman" w:eastAsia="Times New Roman" w:hAnsi="Times New Roman"/>
          <w:b/>
          <w:bCs/>
          <w:sz w:val="28"/>
          <w:szCs w:val="28"/>
        </w:rPr>
        <w:t xml:space="preserve">2.6. Принципи реалізації</w:t>
      </w:r>
    </w:p>
    <w:p>
      <w:pPr>
        <w:pStyle w:val="ListParagraph"/>
        <w:numPr>
          <w:ilvl w:val="0"/>
          <w:numId w:val="2"/>
        </w:numPr>
        <w:spacing w:after="40" w:line="276"/>
        <w:jc w:val="both"/>
      </w:pPr>
      <w:r>
        <w:rPr>
          <w:rFonts w:ascii="Times New Roman" w:cs="Times New Roman" w:eastAsia="Times New Roman" w:hAnsi="Times New Roman"/>
          <w:b/>
          <w:bCs/>
          <w:sz w:val="28"/>
          <w:szCs w:val="28"/>
        </w:rPr>
        <w:t xml:space="preserve">Добровільність</w:t>
      </w:r>
      <w:r>
        <w:rPr>
          <w:rFonts w:ascii="Times New Roman" w:cs="Times New Roman" w:eastAsia="Times New Roman" w:hAnsi="Times New Roman"/>
          <w:sz w:val="28"/>
          <w:szCs w:val="28"/>
        </w:rPr>
        <w:t xml:space="preserve"> — право на «пас» без пояснень.</w:t>
      </w:r>
    </w:p>
    <w:p>
      <w:pPr>
        <w:pStyle w:val="ListParagraph"/>
        <w:numPr>
          <w:ilvl w:val="0"/>
          <w:numId w:val="2"/>
        </w:numPr>
        <w:spacing w:after="40" w:line="276"/>
        <w:jc w:val="both"/>
      </w:pPr>
      <w:r>
        <w:rPr>
          <w:rFonts w:ascii="Times New Roman" w:cs="Times New Roman" w:eastAsia="Times New Roman" w:hAnsi="Times New Roman"/>
          <w:b/>
          <w:bCs/>
          <w:sz w:val="28"/>
          <w:szCs w:val="28"/>
        </w:rPr>
        <w:t xml:space="preserve">Безпека</w:t>
      </w:r>
      <w:r>
        <w:rPr>
          <w:rFonts w:ascii="Times New Roman" w:cs="Times New Roman" w:eastAsia="Times New Roman" w:hAnsi="Times New Roman"/>
          <w:sz w:val="28"/>
          <w:szCs w:val="28"/>
        </w:rPr>
        <w:t xml:space="preserve"> — відсутність примусу до розкриття травматичного досвіду; завершення вправ заземленням.</w:t>
      </w:r>
    </w:p>
    <w:p>
      <w:pPr>
        <w:pStyle w:val="ListParagraph"/>
        <w:numPr>
          <w:ilvl w:val="0"/>
          <w:numId w:val="2"/>
        </w:numPr>
        <w:spacing w:after="40" w:line="276"/>
        <w:jc w:val="both"/>
      </w:pPr>
      <w:r>
        <w:rPr>
          <w:rFonts w:ascii="Times New Roman" w:cs="Times New Roman" w:eastAsia="Times New Roman" w:hAnsi="Times New Roman"/>
          <w:b/>
          <w:bCs/>
          <w:sz w:val="28"/>
          <w:szCs w:val="28"/>
        </w:rPr>
        <w:t xml:space="preserve">Конфіденційність із межами</w:t>
      </w:r>
      <w:r>
        <w:rPr>
          <w:rFonts w:ascii="Times New Roman" w:cs="Times New Roman" w:eastAsia="Times New Roman" w:hAnsi="Times New Roman"/>
          <w:sz w:val="28"/>
          <w:szCs w:val="28"/>
        </w:rPr>
        <w:t xml:space="preserve"> — загроза життю й безпеці не залишається таємницею.</w:t>
      </w:r>
    </w:p>
    <w:p>
      <w:pPr>
        <w:pStyle w:val="ListParagraph"/>
        <w:numPr>
          <w:ilvl w:val="0"/>
          <w:numId w:val="2"/>
        </w:numPr>
        <w:spacing w:after="40" w:line="276"/>
        <w:jc w:val="both"/>
      </w:pPr>
      <w:r>
        <w:rPr>
          <w:rFonts w:ascii="Times New Roman" w:cs="Times New Roman" w:eastAsia="Times New Roman" w:hAnsi="Times New Roman"/>
          <w:b/>
          <w:bCs/>
          <w:sz w:val="28"/>
          <w:szCs w:val="28"/>
        </w:rPr>
        <w:t xml:space="preserve">Доказовість і чесність щодо обмежень</w:t>
      </w:r>
      <w:r>
        <w:rPr>
          <w:rFonts w:ascii="Times New Roman" w:cs="Times New Roman" w:eastAsia="Times New Roman" w:hAnsi="Times New Roman"/>
          <w:sz w:val="28"/>
          <w:szCs w:val="28"/>
        </w:rPr>
        <w:t xml:space="preserve"> — положення подано з джерелами, а обмеження досліджень зазначено.</w:t>
      </w:r>
    </w:p>
    <w:p>
      <w:pPr>
        <w:pStyle w:val="ListParagraph"/>
        <w:numPr>
          <w:ilvl w:val="0"/>
          <w:numId w:val="2"/>
        </w:numPr>
        <w:spacing w:after="40" w:line="276"/>
        <w:jc w:val="both"/>
      </w:pPr>
      <w:r>
        <w:rPr>
          <w:rFonts w:ascii="Times New Roman" w:cs="Times New Roman" w:eastAsia="Times New Roman" w:hAnsi="Times New Roman"/>
          <w:b/>
          <w:bCs/>
          <w:sz w:val="28"/>
          <w:szCs w:val="28"/>
        </w:rPr>
        <w:t xml:space="preserve">Ресурсність</w:t>
      </w:r>
      <w:r>
        <w:rPr>
          <w:rFonts w:ascii="Times New Roman" w:cs="Times New Roman" w:eastAsia="Times New Roman" w:hAnsi="Times New Roman"/>
          <w:sz w:val="28"/>
          <w:szCs w:val="28"/>
        </w:rPr>
        <w:t xml:space="preserve"> — акцент на опорах і навичках, а не на «проблемах» учня.</w:t>
      </w:r>
    </w:p>
    <w:p>
      <w:pPr>
        <w:pStyle w:val="ListParagraph"/>
        <w:numPr>
          <w:ilvl w:val="0"/>
          <w:numId w:val="2"/>
        </w:numPr>
        <w:spacing w:after="40" w:line="276"/>
        <w:jc w:val="both"/>
      </w:pPr>
      <w:r>
        <w:rPr>
          <w:rFonts w:ascii="Times New Roman" w:cs="Times New Roman" w:eastAsia="Times New Roman" w:hAnsi="Times New Roman"/>
          <w:b/>
          <w:bCs/>
          <w:sz w:val="28"/>
          <w:szCs w:val="28"/>
        </w:rPr>
        <w:t xml:space="preserve">Повага до різноманіття</w:t>
      </w:r>
      <w:r>
        <w:rPr>
          <w:rFonts w:ascii="Times New Roman" w:cs="Times New Roman" w:eastAsia="Times New Roman" w:hAnsi="Times New Roman"/>
          <w:sz w:val="28"/>
          <w:szCs w:val="28"/>
        </w:rPr>
        <w:t xml:space="preserve"> — різні досвіди, цінності й родинні норми.</w:t>
      </w:r>
    </w:p>
    <w:p>
      <w:pPr>
        <w:pStyle w:val="ListParagraph"/>
        <w:numPr>
          <w:ilvl w:val="0"/>
          <w:numId w:val="2"/>
        </w:numPr>
        <w:spacing w:after="40" w:line="276"/>
        <w:jc w:val="both"/>
      </w:pPr>
      <w:r>
        <w:rPr>
          <w:rFonts w:ascii="Times New Roman" w:cs="Times New Roman" w:eastAsia="Times New Roman" w:hAnsi="Times New Roman"/>
          <w:b/>
          <w:bCs/>
          <w:sz w:val="28"/>
          <w:szCs w:val="28"/>
        </w:rPr>
        <w:t xml:space="preserve">Відсутність діагностування в групі</w:t>
      </w:r>
      <w:r>
        <w:rPr>
          <w:rFonts w:ascii="Times New Roman" w:cs="Times New Roman" w:eastAsia="Times New Roman" w:hAnsi="Times New Roman"/>
          <w:sz w:val="28"/>
          <w:szCs w:val="28"/>
        </w:rPr>
        <w:t xml:space="preserve"> — скринінги й методики лише індивідуально, за згодою.</w:t>
      </w:r>
    </w:p>
    <w:p>
      <w:pPr>
        <w:pStyle w:val="ListParagraph"/>
        <w:numPr>
          <w:ilvl w:val="0"/>
          <w:numId w:val="2"/>
        </w:numPr>
        <w:spacing w:after="40" w:line="276"/>
        <w:jc w:val="both"/>
      </w:pPr>
      <w:r>
        <w:rPr>
          <w:rFonts w:ascii="Times New Roman" w:cs="Times New Roman" w:eastAsia="Times New Roman" w:hAnsi="Times New Roman"/>
          <w:b/>
          <w:bCs/>
          <w:sz w:val="28"/>
          <w:szCs w:val="28"/>
        </w:rPr>
        <w:t xml:space="preserve">Доступність</w:t>
      </w:r>
      <w:r>
        <w:rPr>
          <w:rFonts w:ascii="Times New Roman" w:cs="Times New Roman" w:eastAsia="Times New Roman" w:hAnsi="Times New Roman"/>
          <w:sz w:val="28"/>
          <w:szCs w:val="28"/>
        </w:rPr>
        <w:t xml:space="preserve"> — матеріали придатні для мобільних пристроїв і друку.</w:t>
      </w:r>
    </w:p>
    <w:p>
      <w:pPr>
        <w:pStyle w:val="Heading1"/>
        <w:pageBreakBefore/>
      </w:pPr>
      <w:r>
        <w:rPr>
          <w:rFonts w:ascii="Times New Roman" w:cs="Times New Roman" w:eastAsia="Times New Roman" w:hAnsi="Times New Roman"/>
          <w:b/>
          <w:bCs/>
          <w:sz w:val="28"/>
          <w:szCs w:val="28"/>
        </w:rPr>
        <w:t xml:space="preserve">3. СТРУКТУРА ТА ЗМІСТ ПРОГРАМИ</w:t>
      </w:r>
    </w:p>
    <w:p>
      <w:pPr>
        <w:pStyle w:val="Heading2"/>
        <w:keepNext/>
      </w:pPr>
      <w:r>
        <w:rPr>
          <w:rFonts w:ascii="Times New Roman" w:cs="Times New Roman" w:eastAsia="Times New Roman" w:hAnsi="Times New Roman"/>
          <w:b/>
          <w:bCs/>
          <w:sz w:val="28"/>
          <w:szCs w:val="28"/>
        </w:rPr>
        <w:t xml:space="preserve">3.1. Модулі</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5055"/>
      </w:tblGrid>
      <w:tr>
        <w:trPr>
          <w:tblHeader/>
        </w:trPr>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Модуль</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Теми</w:t>
            </w:r>
          </w:p>
        </w:tc>
        <w:tc>
          <w:tcPr>
            <w:tcW w:type="dxa" w:w="50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Акцент</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1. Фундамент</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1–4</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Група, ресурси, емоції, безпека, кордони</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2. Регуляція</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5–8</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Стрес, тривога, кризові події, конфлікти</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3. Ресурси</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9–14</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Самооцінка, стійкість, емпатія, сон і гаджети, втома, цінності</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4. Підсумки</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15, 16, 24</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Рефлексія семестру й року, повернення до ритму</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5. Чутливі теми</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17, 20</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Самоушкоджувальна поведінка, втрата; лише за участі психолога</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6. Навчання й цифрове середовище</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18, 19, 21, 22, 23</w:t>
            </w:r>
          </w:p>
        </w:tc>
        <w:tc>
          <w:tcPr>
            <w:tcW w:type="dxa" w:w="5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Цифрова стійкість, страх помилки, іспити, час, сильні сторони</w:t>
            </w:r>
          </w:p>
        </w:tc>
      </w:tr>
    </w:tbl>
    <w:p>
      <w:pPr>
        <w:spacing w:after="100"/>
      </w:pPr>
      <w:r>
        <w:rPr>
          <w:rFonts w:ascii="Times New Roman" w:cs="Times New Roman" w:eastAsia="Times New Roman" w:hAnsi="Times New Roman"/>
          <w:sz w:val="28"/>
          <w:szCs w:val="28"/>
        </w:rPr>
        <w:t xml:space="preserve"/>
      </w:r>
    </w:p>
    <w:p>
      <w:pPr>
        <w:pStyle w:val="Heading2"/>
        <w:keepNext/>
      </w:pPr>
      <w:r>
        <w:rPr>
          <w:rFonts w:ascii="Times New Roman" w:cs="Times New Roman" w:eastAsia="Times New Roman" w:hAnsi="Times New Roman"/>
          <w:b/>
          <w:bCs/>
          <w:sz w:val="28"/>
          <w:szCs w:val="28"/>
        </w:rPr>
        <w:t xml:space="preserve">3.2. Тематичний план</w:t>
      </w:r>
    </w:p>
    <w:p>
      <w:pPr>
        <w:spacing w:after="80" w:before="0" w:line="276"/>
        <w:ind w:firstLine="709"/>
        <w:jc w:val="both"/>
      </w:pPr>
      <w:r>
        <w:rPr>
          <w:rFonts w:ascii="Times New Roman" w:cs="Times New Roman" w:eastAsia="Times New Roman" w:hAnsi="Times New Roman"/>
          <w:sz w:val="26"/>
          <w:szCs w:val="26"/>
        </w:rPr>
        <w:t xml:space="preserve">Кожна тема має три вікові варіанти змісту (5–6, 7–8, 9–11 класи) і компонент для батьків. Для всіх 24 тем розроблено матеріали (уроки для учнів трьох віків, кейси психолога, уроки й кейси для батьків). </w:t>
      </w:r>
      <w:r>
        <w:rPr>
          <w:rFonts w:ascii="Times New Roman" w:cs="Times New Roman" w:eastAsia="Times New Roman" w:hAnsi="Times New Roman"/>
          <w:sz w:val="26"/>
          <w:szCs w:val="26"/>
          <w:highlight w:val="yellow"/>
          <w:highlightCs w:val="yellow"/>
        </w:rPr>
        <w:t xml:space="preserve">[Вкажіть, які теми й коли апробовано; не вказуйте того, чого не було]</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50"/>
        <w:gridCol w:w="2900"/>
        <w:gridCol w:w="3000"/>
        <w:gridCol w:w="2905"/>
      </w:tblGrid>
      <w:tr>
        <w:trPr>
          <w:tblHeader/>
        </w:trPr>
        <w:tc>
          <w:tcPr>
            <w:tcW w:type="dxa" w:w="5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2"/>
                <w:szCs w:val="22"/>
              </w:rPr>
              <w:t xml:space="preserve">№</w:t>
            </w:r>
          </w:p>
        </w:tc>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2"/>
                <w:szCs w:val="22"/>
              </w:rPr>
              <w:t xml:space="preserve">Тема</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2"/>
                <w:szCs w:val="22"/>
              </w:rPr>
              <w:t xml:space="preserve">Основний фокус</w:t>
            </w:r>
          </w:p>
        </w:tc>
        <w:tc>
          <w:tcPr>
            <w:tcW w:type="dxa" w:w="290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2"/>
                <w:szCs w:val="22"/>
              </w:rPr>
              <w:t xml:space="preserve">Стан матеріалів</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Знайомство та мої ресурси</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Ресурси, безпека групи, договір групи</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2</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Емоційний компас: що я відчуваю?</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Розпізнавання емоцій, сигнали тіла, способи регуляції</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3</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Психологічна безпека та коло довіри</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Безпека, довіра, звернення по допомогу</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4</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Наші кордони: повага до себе та інших</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Особисті межі, «ні», безпека тіла, повага до меж інших</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5</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Стрес і тіло: як зняти напруження</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Реакція на стрес, дихання, відновлення</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6</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Сила моєї думки: долаємо тривогу</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Тривога, когнітивні спотворення, поступові кроки</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7</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Як зберегти спокій під час кризових подій</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Реакції на кризу, заземлення, план безпеки</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8</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Конфлікт чи непорозуміння: шукаємо вихід</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Конфлікт і булінг, Я-повідомлення, переговори</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9</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Самооцінка та впевненість у собі</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Самоспівчуття, помилки, докази власної компетентності</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10</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Психологічна резильєнтність: мої опори</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Захисні чинники, кроки відновлення</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11</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Емпатія: підтримуємо тих, хто поруч</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Активне слухання, межі підтримки</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12</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Сон, відпочинок і гаджети: відновлюємо баланс</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Режим, вечірній ритуал, екрани</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13</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Протидія ментальній втомі та виснаженню</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Вимоги й ресурси, перфекціонізм, баланс</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14</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Цінності та мої життєві орієнтири</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Цінності, цілі, план «Коли…, я…»</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15</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Психологічний підсумок семестру: мої перемоги</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Рефлексія, досягнення, план на другий семестр</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16</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Повернення до ритму: відновлення ресурсів</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Повернення до режиму після канікул</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17</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Самоушкоджувальна поведінка: як зупинити біль</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18</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Психологічна стійкість у цифровому світі</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Цифрова безпека, кіберцькування, інформаційна гігієна</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19</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Страх помилки та досягнення успіху</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Перфекціонізм, установка на зростання</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20</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Як працювати з втратою та сумом</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Горе, підтримка, ресурси (добровільно, за участі психолога)</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21</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Академічний стрес та іспити/тестування</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Підготовка, тривога, відновлення</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22</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Тайм-менеджмент для ментального здоров’я</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Планування, пріоритети, відпочинок</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23</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Мої сильні сторони та власна унікальність</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Сильні сторони, різноманіття</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повний комплект</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24</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Рефлексія року: чому я навчився/навчилася</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Підсумки року, плани</w:t>
            </w:r>
          </w:p>
        </w:tc>
        <w:tc>
          <w:tcPr>
            <w:tcW w:type="dxa" w:w="29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заплановано</w:t>
            </w:r>
          </w:p>
        </w:tc>
      </w:tr>
    </w:tbl>
    <w:p>
      <w:pPr>
        <w:spacing w:after="100"/>
      </w:pPr>
      <w:r>
        <w:rPr>
          <w:rFonts w:ascii="Times New Roman" w:cs="Times New Roman" w:eastAsia="Times New Roman" w:hAnsi="Times New Roman"/>
          <w:sz w:val="28"/>
          <w:szCs w:val="28"/>
        </w:rPr>
        <w:t xml:space="preserve"/>
      </w:r>
    </w:p>
    <w:p>
      <w:pPr>
        <w:pStyle w:val="Heading2"/>
        <w:keepNext/>
      </w:pPr>
      <w:r>
        <w:rPr>
          <w:rFonts w:ascii="Times New Roman" w:cs="Times New Roman" w:eastAsia="Times New Roman" w:hAnsi="Times New Roman"/>
          <w:b/>
          <w:bCs/>
          <w:sz w:val="28"/>
          <w:szCs w:val="28"/>
        </w:rPr>
        <w:t xml:space="preserve">3.3. Структура заняття (45 хвилин)</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5455"/>
      </w:tblGrid>
      <w:tr>
        <w:trPr>
          <w:tblHeader/>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Етап</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Час</w:t>
            </w:r>
          </w:p>
        </w:tc>
        <w:tc>
          <w:tcPr>
            <w:tcW w:type="dxa" w:w="54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Зміст</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Ритуал входу</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5 хв</w:t>
            </w:r>
          </w:p>
        </w:tc>
        <w:tc>
          <w:tcPr>
            <w:tcW w:type="dxa" w:w="54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Анонімний «пульс» 1–5, дихальна пауза, нагадування правил і права на «пас»</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Просвіта</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10 хв</w:t>
            </w:r>
          </w:p>
        </w:tc>
        <w:tc>
          <w:tcPr>
            <w:tcW w:type="dxa" w:w="54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Коротке пояснення, нормалізація, міфи й факти, порада психолога</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Інтерактив</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12 хв</w:t>
            </w:r>
          </w:p>
        </w:tc>
        <w:tc>
          <w:tcPr>
            <w:tcW w:type="dxa" w:w="54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Ситуації вибору, гра, парна чи групова вправа</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Арт-техніка</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10 хв</w:t>
            </w:r>
          </w:p>
        </w:tc>
        <w:tc>
          <w:tcPr>
            <w:tcW w:type="dxa" w:w="54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Індивідуальна творча вправа; показ лише добровільно; без оцінки й інтерпретації</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Рефлексія та особистий план</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5 хв</w:t>
            </w:r>
          </w:p>
        </w:tc>
        <w:tc>
          <w:tcPr>
            <w:tcW w:type="dxa" w:w="54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Один крок на тиждень, вікторина чи exit ticket, анонімна записка «потрібна розмова»</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Ритуал виходу</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3 хв</w:t>
            </w:r>
          </w:p>
        </w:tc>
        <w:tc>
          <w:tcPr>
            <w:tcW w:type="dxa" w:w="54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«Пульс» 1–5, контакти допомоги (116 111), ресурс-фраза</w:t>
            </w:r>
          </w:p>
        </w:tc>
      </w:tr>
    </w:tbl>
    <w:p>
      <w:pPr>
        <w:spacing w:after="100"/>
      </w:pPr>
      <w:r>
        <w:rPr>
          <w:rFonts w:ascii="Times New Roman" w:cs="Times New Roman" w:eastAsia="Times New Roman" w:hAnsi="Times New Roman"/>
          <w:sz w:val="28"/>
          <w:szCs w:val="28"/>
        </w:rPr>
        <w:t xml:space="preserve"/>
      </w:r>
    </w:p>
    <w:p>
      <w:pPr>
        <w:pStyle w:val="Heading2"/>
        <w:keepNext/>
      </w:pPr>
      <w:r>
        <w:rPr>
          <w:rFonts w:ascii="Times New Roman" w:cs="Times New Roman" w:eastAsia="Times New Roman" w:hAnsi="Times New Roman"/>
          <w:b/>
          <w:bCs/>
          <w:sz w:val="28"/>
          <w:szCs w:val="28"/>
        </w:rPr>
        <w:t xml:space="preserve">3.4. Форми й методи роботи</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психоедукація з нормалізацією (міфи й факти, пояснення механізмів);</w:t>
      </w:r>
    </w:p>
    <w:p>
      <w:pPr>
        <w:pStyle w:val="ListParagraph"/>
        <w:numPr>
          <w:ilvl w:val="0"/>
          <w:numId w:val="2"/>
        </w:numPr>
        <w:spacing w:after="40" w:line="276"/>
        <w:jc w:val="both"/>
      </w:pPr>
      <w:r>
        <w:rPr>
          <w:rFonts w:ascii="Times New Roman" w:cs="Times New Roman" w:eastAsia="Times New Roman" w:hAnsi="Times New Roman"/>
          <w:sz w:val="28"/>
          <w:szCs w:val="28"/>
        </w:rPr>
        <w:t xml:space="preserve">ситуації вибору та дилеми з аргументованим зворотним зв’язком;</w:t>
      </w:r>
    </w:p>
    <w:p>
      <w:pPr>
        <w:pStyle w:val="ListParagraph"/>
        <w:numPr>
          <w:ilvl w:val="0"/>
          <w:numId w:val="2"/>
        </w:numPr>
        <w:spacing w:after="40" w:line="276"/>
        <w:jc w:val="both"/>
      </w:pPr>
      <w:r>
        <w:rPr>
          <w:rFonts w:ascii="Times New Roman" w:cs="Times New Roman" w:eastAsia="Times New Roman" w:hAnsi="Times New Roman"/>
          <w:sz w:val="28"/>
          <w:szCs w:val="28"/>
        </w:rPr>
        <w:t xml:space="preserve">рольові вправи й практика навичок у парах (за правилом добровільності);</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арт-техніки (каталог із 20 технік і правилами безпеки);</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вікторини, особисті плани й протоколи («мій компас цінностей», «мій протокол опор»);</w:t>
      </w:r>
    </w:p>
    <w:p>
      <w:pPr>
        <w:pStyle w:val="ListParagraph"/>
        <w:numPr>
          <w:ilvl w:val="0"/>
          <w:numId w:val="2"/>
        </w:numPr>
        <w:spacing w:after="40" w:line="276"/>
        <w:jc w:val="both"/>
      </w:pPr>
      <w:r>
        <w:rPr>
          <w:rFonts w:ascii="Times New Roman" w:cs="Times New Roman" w:eastAsia="Times New Roman" w:hAnsi="Times New Roman"/>
          <w:sz w:val="28"/>
          <w:szCs w:val="28"/>
        </w:rPr>
        <w:t xml:space="preserve">peer-teaching: старші учні готують міні-лекції для молодших;</w:t>
      </w:r>
    </w:p>
    <w:p>
      <w:pPr>
        <w:pStyle w:val="ListParagraph"/>
        <w:numPr>
          <w:ilvl w:val="0"/>
          <w:numId w:val="2"/>
        </w:numPr>
        <w:spacing w:after="40" w:line="276"/>
        <w:jc w:val="both"/>
      </w:pPr>
      <w:r>
        <w:rPr>
          <w:rFonts w:ascii="Times New Roman" w:cs="Times New Roman" w:eastAsia="Times New Roman" w:hAnsi="Times New Roman"/>
          <w:sz w:val="28"/>
          <w:szCs w:val="28"/>
        </w:rPr>
        <w:t xml:space="preserve">інтерактивні цифрові уроки та друковані робочі зошити;</w:t>
      </w:r>
    </w:p>
    <w:p>
      <w:pPr>
        <w:pStyle w:val="ListParagraph"/>
        <w:numPr>
          <w:ilvl w:val="0"/>
          <w:numId w:val="2"/>
        </w:numPr>
        <w:spacing w:after="40" w:line="276"/>
        <w:jc w:val="both"/>
      </w:pPr>
      <w:r>
        <w:rPr>
          <w:rFonts w:ascii="Times New Roman" w:cs="Times New Roman" w:eastAsia="Times New Roman" w:hAnsi="Times New Roman"/>
          <w:sz w:val="28"/>
          <w:szCs w:val="28"/>
        </w:rPr>
        <w:t xml:space="preserve">інтерактивні уроки й зустрічі для батьків.</w:t>
      </w:r>
    </w:p>
    <w:p>
      <w:pPr>
        <w:pStyle w:val="Heading2"/>
        <w:keepNext/>
      </w:pPr>
      <w:r>
        <w:rPr>
          <w:rFonts w:ascii="Times New Roman" w:cs="Times New Roman" w:eastAsia="Times New Roman" w:hAnsi="Times New Roman"/>
          <w:b/>
          <w:bCs/>
          <w:sz w:val="28"/>
          <w:szCs w:val="28"/>
        </w:rPr>
        <w:t xml:space="preserve">3.5. Склад навчально-методичного комплекту</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00"/>
        <w:gridCol w:w="6355"/>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Компонент</w:t>
            </w:r>
          </w:p>
        </w:tc>
        <w:tc>
          <w:tcPr>
            <w:tcW w:type="dxa" w:w="63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Опис</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Інтерактивні уроки для учнів</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Онлайн-уроки (HTML) на трьох вікових рівнях: просвіта, ситуації, вікторини, арт-техніка, особистий план, джерела й рекомендації. Працюють на комп’ютері та мобільному пристрої</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Методичні кейси психолога</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Хронометраж, скрипти, наукова база з обмеженнями, активності, діагностика, диференціація, кризові протоколи, джерела</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Матеріали для батьків</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Інтерактивні уроки й кейси зустрічі психолога на 75 хвилин із відповідями на типові запитання</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Посібники психолога</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Три посібники DOCX (5–6, 7–8, 9–11 класи): спільні засади, 24 картки занять, додатки</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Робочі зошити для друку</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DOCX, формат А4, чорно-білі; по одному на кожен віковий рівень</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Каталог арт-технік</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20 технік із віком, темами, ходом, питаннями для розмови й застереженнями</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Каталог діагностик</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16 інструментів із зазначенням віку, доступу, обмежень та умов використання</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Реєстр джерел</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Зведений перелік літератури й рекомендацій до кожної теми</w:t>
            </w:r>
          </w:p>
        </w:tc>
      </w:tr>
    </w:tbl>
    <w:p>
      <w:pPr>
        <w:spacing w:after="100"/>
      </w:pPr>
      <w:r>
        <w:rPr>
          <w:rFonts w:ascii="Times New Roman" w:cs="Times New Roman" w:eastAsia="Times New Roman" w:hAnsi="Times New Roman"/>
          <w:sz w:val="28"/>
          <w:szCs w:val="28"/>
        </w:rPr>
        <w:t xml:space="preserve"/>
      </w:r>
    </w:p>
    <w:p>
      <w:pPr>
        <w:pStyle w:val="Heading2"/>
        <w:keepNext/>
      </w:pPr>
      <w:r>
        <w:rPr>
          <w:rFonts w:ascii="Times New Roman" w:cs="Times New Roman" w:eastAsia="Times New Roman" w:hAnsi="Times New Roman"/>
          <w:b/>
          <w:bCs/>
          <w:sz w:val="28"/>
          <w:szCs w:val="28"/>
        </w:rPr>
        <w:t xml:space="preserve">3.6. Приклад заняття (тема 10, 7–8 клас)</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00"/>
        <w:gridCol w:w="7055"/>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Параметр</w:t>
            </w:r>
          </w:p>
        </w:tc>
        <w:tc>
          <w:tcPr>
            <w:tcW w:type="dxa" w:w="70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Опис</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Тема</w:t>
            </w:r>
          </w:p>
        </w:tc>
        <w:tc>
          <w:tcPr>
            <w:tcW w:type="dxa" w:w="7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«Психологічна резильєнтність: мої опори», 45 хв</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Мета</w:t>
            </w:r>
          </w:p>
        </w:tc>
        <w:tc>
          <w:tcPr>
            <w:tcW w:type="dxa" w:w="7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Сформувати розуміння стійкості як процесу; допомогти виявити особисті захисні чинники; відпрацювати «чотири кроки відновлення»</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Очікувані результати</w:t>
            </w:r>
          </w:p>
        </w:tc>
        <w:tc>
          <w:tcPr>
            <w:tcW w:type="dxa" w:w="7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Учень називає щонайменше три захисні чинники; застосовує чотири кроки до вигаданої ситуації; знає контакти допомоги</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Матеріали</w:t>
            </w:r>
          </w:p>
        </w:tc>
        <w:tc>
          <w:tcPr>
            <w:tcW w:type="dxa" w:w="7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Інтерактивний онлайн-урок, друкований аркуш, аркуші А4, ручки</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Хід заняття</w:t>
            </w:r>
          </w:p>
        </w:tc>
        <w:tc>
          <w:tcPr>
            <w:tcW w:type="dxa" w:w="7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00–05 — ритуал входу («пульс» 1–5, правила, право на «пас»)</w:t>
            </w:r>
          </w:p>
          <w:p>
            <w:pPr>
              <w:spacing w:after="20" w:line="252"/>
              <w:jc w:val="left"/>
            </w:pPr>
            <w:r>
              <w:rPr>
                <w:rFonts w:ascii="Times New Roman" w:cs="Times New Roman" w:eastAsia="Times New Roman" w:hAnsi="Times New Roman"/>
                <w:b w:val="false"/>
                <w:bCs w:val="false"/>
                <w:sz w:val="24"/>
                <w:szCs w:val="24"/>
              </w:rPr>
              <w:t xml:space="preserve">05–12 — «Стійкість — це процес»: три картки (захисні чинники, ризики, контекст), чотири міфи й факти, порада психолога</w:t>
            </w:r>
          </w:p>
          <w:p>
            <w:pPr>
              <w:spacing w:after="20" w:line="252"/>
              <w:jc w:val="left"/>
            </w:pPr>
            <w:r>
              <w:rPr>
                <w:rFonts w:ascii="Times New Roman" w:cs="Times New Roman" w:eastAsia="Times New Roman" w:hAnsi="Times New Roman"/>
                <w:b w:val="false"/>
                <w:bCs w:val="false"/>
                <w:sz w:val="24"/>
                <w:szCs w:val="24"/>
              </w:rPr>
              <w:t xml:space="preserve">12–20 — «Мої захисні чинники»: вибір із 12 чинників, парне обговорення</w:t>
            </w:r>
          </w:p>
          <w:p>
            <w:pPr>
              <w:spacing w:after="20" w:line="252"/>
              <w:jc w:val="left"/>
            </w:pPr>
            <w:r>
              <w:rPr>
                <w:rFonts w:ascii="Times New Roman" w:cs="Times New Roman" w:eastAsia="Times New Roman" w:hAnsi="Times New Roman"/>
                <w:b w:val="false"/>
                <w:bCs w:val="false"/>
                <w:sz w:val="24"/>
                <w:szCs w:val="24"/>
              </w:rPr>
              <w:t xml:space="preserve">20–28 — п’ять ситуацій вибору й схема «прийняти — опертись — діяти — вчитись»</w:t>
            </w:r>
          </w:p>
          <w:p>
            <w:pPr>
              <w:spacing w:after="20" w:line="252"/>
              <w:jc w:val="left"/>
            </w:pPr>
            <w:r>
              <w:rPr>
                <w:rFonts w:ascii="Times New Roman" w:cs="Times New Roman" w:eastAsia="Times New Roman" w:hAnsi="Times New Roman"/>
                <w:b w:val="false"/>
                <w:bCs w:val="false"/>
                <w:sz w:val="24"/>
                <w:szCs w:val="24"/>
              </w:rPr>
              <w:t xml:space="preserve">28–38 — арт-техніка «Сходи з помилок»</w:t>
            </w:r>
          </w:p>
          <w:p>
            <w:pPr>
              <w:spacing w:after="20" w:line="252"/>
              <w:jc w:val="left"/>
            </w:pPr>
            <w:r>
              <w:rPr>
                <w:rFonts w:ascii="Times New Roman" w:cs="Times New Roman" w:eastAsia="Times New Roman" w:hAnsi="Times New Roman"/>
                <w:b w:val="false"/>
                <w:bCs w:val="false"/>
                <w:sz w:val="24"/>
                <w:szCs w:val="24"/>
              </w:rPr>
              <w:t xml:space="preserve">38–45 — вікторина з 7 питань, особистий план, «пульс» 1–5, контакти допомоги</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Діагностика / оцінювання</w:t>
            </w:r>
          </w:p>
        </w:tc>
        <w:tc>
          <w:tcPr>
            <w:tcW w:type="dxa" w:w="7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Анонімний «пульс»; спостереження; exit ticket «Моя найміцніша опора»</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Диференціація</w:t>
            </w:r>
          </w:p>
        </w:tc>
        <w:tc>
          <w:tcPr>
            <w:tcW w:type="dxa" w:w="7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Підтримка: не вимагати розкриття; базова група: повний формат; лідери: peer-teaching для 5–6 класів</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Кризові примітки</w:t>
            </w:r>
          </w:p>
        </w:tc>
        <w:tc>
          <w:tcPr>
            <w:tcW w:type="dxa" w:w="7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Самознецінення, цькування, безнадія: відповідні протоколи; нагадування про 116 111</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Джерела</w:t>
            </w:r>
          </w:p>
        </w:tc>
        <w:tc>
          <w:tcPr>
            <w:tcW w:type="dxa" w:w="7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Masten (2001); Luthar та ін. (2000); Ungar (2011); Bonanno (2004); Brunwasser та ін. (2009)</w:t>
            </w:r>
          </w:p>
        </w:tc>
      </w:tr>
    </w:tbl>
    <w:p>
      <w:pPr>
        <w:spacing w:after="100"/>
      </w:pPr>
      <w:r>
        <w:rPr>
          <w:rFonts w:ascii="Times New Roman" w:cs="Times New Roman" w:eastAsia="Times New Roman" w:hAnsi="Times New Roman"/>
          <w:sz w:val="28"/>
          <w:szCs w:val="28"/>
        </w:rPr>
        <w:t xml:space="preserve"/>
      </w:r>
    </w:p>
    <w:p>
      <w:pPr>
        <w:pStyle w:val="Heading1"/>
        <w:pageBreakBefore/>
      </w:pPr>
      <w:r>
        <w:rPr>
          <w:rFonts w:ascii="Times New Roman" w:cs="Times New Roman" w:eastAsia="Times New Roman" w:hAnsi="Times New Roman"/>
          <w:b/>
          <w:bCs/>
          <w:sz w:val="28"/>
          <w:szCs w:val="28"/>
        </w:rPr>
        <w:t xml:space="preserve">4. ОПИС ВИКОРИСТАНИХ МЕТОДИК І ТЕХНОЛОГІЙ ІЗ ЗАЗНАЧЕННЯМ ДЖЕРЕЛ</w:t>
      </w:r>
    </w:p>
    <w:p>
      <w:pPr>
        <w:pStyle w:val="Heading2"/>
        <w:keepNext/>
      </w:pPr>
      <w:r>
        <w:rPr>
          <w:rFonts w:ascii="Times New Roman" w:cs="Times New Roman" w:eastAsia="Times New Roman" w:hAnsi="Times New Roman"/>
          <w:b/>
          <w:bCs/>
          <w:sz w:val="28"/>
          <w:szCs w:val="28"/>
        </w:rPr>
        <w:t xml:space="preserve">4.1. Методики й технології</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155"/>
        <w:gridCol w:w="2300"/>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2"/>
                <w:szCs w:val="22"/>
              </w:rPr>
              <w:t xml:space="preserve">Методика / технологія</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2"/>
                <w:szCs w:val="22"/>
              </w:rPr>
              <w:t xml:space="preserve">Застосування в програмі</w:t>
            </w:r>
          </w:p>
        </w:tc>
        <w:tc>
          <w:tcPr>
            <w:tcW w:type="dxa" w:w="21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2"/>
                <w:szCs w:val="22"/>
              </w:rPr>
              <w:t xml:space="preserve">Джерела</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2"/>
                <w:szCs w:val="22"/>
              </w:rPr>
              <w:t xml:space="preserve">Обмеження</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Психоедукація й нормалізація</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Міфи й факти; пояснення реакцій організму; нормалізація емоцій</w:t>
            </w:r>
          </w:p>
        </w:tc>
        <w:tc>
          <w:tcPr>
            <w:tcW w:type="dxa" w:w="21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Durlak та ін. (2011); CASEL</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Просвіта не змінює складних станів без додаткової допомоги</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Елементи КПТ</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Thought Record, когнітивні спотворення, градуйовані кроки замість уникання</w:t>
            </w:r>
          </w:p>
        </w:tc>
        <w:tc>
          <w:tcPr>
            <w:tcW w:type="dxa" w:w="21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Beck та ін. (1979); Hofmann та ін. (2012); Greenberger &amp; Padesky (1995); Craske та ін. (2008)</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Класна форма не є терапією; застосування обмежене</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Елементи ACT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Дефузія думок, цінності, прийняття</w:t>
            </w:r>
          </w:p>
        </w:tc>
        <w:tc>
          <w:tcPr>
            <w:tcW w:type="dxa" w:w="21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Hayes та ін. (1999); Wegner та ін. (1987)</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Потребує підготовки фахівця</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Модель регуляції емоцій</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Вибір ситуації, переключення уваги, переоцінка, модуляція реакції</w:t>
            </w:r>
          </w:p>
        </w:tc>
        <w:tc>
          <w:tcPr>
            <w:tcW w:type="dxa" w:w="21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Gross (1998); Gross &amp; John (2003)</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Ефективність стратегій залежить від контексту</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Самоспівчуття</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«Правило друга», пауза самоспівчуття</w:t>
            </w:r>
          </w:p>
        </w:tc>
        <w:tc>
          <w:tcPr>
            <w:tcW w:type="dxa" w:w="21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Neff (2003); Neff &amp; Vonk (2009)</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Не замінює допомоги при депресії чи тривозі</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Моделі вимог і ресурсів</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Баланс вимог і ресурсів, відновлення, мікроперерви</w:t>
            </w:r>
          </w:p>
        </w:tc>
        <w:tc>
          <w:tcPr>
            <w:tcW w:type="dxa" w:w="21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Hobfoll (1989); Bakker &amp; Demerouti (2007); Salmela-Aro та ін. (2009)</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Переважно кореляційні дані; «вигорання» не діагноз</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Підхід до стійкості</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Захисні чинники, «чотири кроки відновлення»</w:t>
            </w:r>
          </w:p>
        </w:tc>
        <w:tc>
          <w:tcPr>
            <w:tcW w:type="dxa" w:w="21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Masten (2001); Ungar (2011); Bonanno (2004)</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Не зводити стійкість до «сили волі»</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Асертивність і переговори</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Я-повідомлення, DESC, принципи Fisher &amp; Ury, розрізнення конфлікту й булінгу</w:t>
            </w:r>
          </w:p>
        </w:tc>
        <w:tc>
          <w:tcPr>
            <w:tcW w:type="dxa" w:w="21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Fisher &amp; Ury (1981); Olweus (1993); Johnson &amp; Johnson (1996)</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Не застосовувати до булінгу як «примирення»</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Емоційне коучинг-спілкування (для батьків)</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Чотири кроки розмови з дитиною</w:t>
            </w:r>
          </w:p>
        </w:tc>
        <w:tc>
          <w:tcPr>
            <w:tcW w:type="dxa" w:w="21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Gottman та ін. (1996); Baumrind (1991)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Дані кореляційні; залежать від культури й контексту</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Підхід, чутливий до травми; ПДД</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Передбачуваність, вибір, заземлення, дивись — слухай — з’єднуй</w:t>
            </w:r>
          </w:p>
        </w:tc>
        <w:tc>
          <w:tcPr>
            <w:tcW w:type="dxa" w:w="21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SAMHSA (2014); ВООЗ (2011); Hobfoll та ін. (2007)</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Не є лікуванням</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Арт-техніки</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Каталог із 20 технік для рефлексії</w:t>
            </w:r>
          </w:p>
        </w:tc>
        <w:tc>
          <w:tcPr>
            <w:tcW w:type="dxa" w:w="21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Slayton та ін. (2010); Lilienfeld та ін. (2000) — обмеження проєктивних методів</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Малюнок не інтерпретується як діагноз; доказова база обмежена</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Peer-teaching</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Старші навчають молодших</w:t>
            </w:r>
          </w:p>
        </w:tc>
        <w:tc>
          <w:tcPr>
            <w:tcW w:type="dxa" w:w="21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Ryan &amp; Deci (2000): автономія й компетентність як базові потреби</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Потребує супроводу педагога</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Цифрові інтерактивні уроки</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Ситуації вибору, вікторини, плани, мобільний доступ</w:t>
            </w:r>
          </w:p>
        </w:tc>
        <w:tc>
          <w:tcPr>
            <w:tcW w:type="dxa" w:w="21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Власна розробка автора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Потребує пристроїв та інтернету; альтернатива — друковані матеріали</w:t>
            </w:r>
          </w:p>
        </w:tc>
      </w:tr>
    </w:tbl>
    <w:p>
      <w:pPr>
        <w:spacing w:after="100"/>
      </w:pPr>
      <w:r>
        <w:rPr>
          <w:rFonts w:ascii="Times New Roman" w:cs="Times New Roman" w:eastAsia="Times New Roman" w:hAnsi="Times New Roman"/>
          <w:sz w:val="28"/>
          <w:szCs w:val="28"/>
        </w:rPr>
        <w:t xml:space="preserve"/>
      </w:r>
    </w:p>
    <w:p>
      <w:pPr>
        <w:pStyle w:val="Heading2"/>
        <w:keepNext/>
      </w:pPr>
      <w:r>
        <w:rPr>
          <w:rFonts w:ascii="Times New Roman" w:cs="Times New Roman" w:eastAsia="Times New Roman" w:hAnsi="Times New Roman"/>
          <w:b/>
          <w:bCs/>
          <w:sz w:val="28"/>
          <w:szCs w:val="28"/>
        </w:rPr>
        <w:t xml:space="preserve">4.2. Діагностичний та оцінювальний інструментарій</w:t>
      </w:r>
    </w:p>
    <w:p>
      <w:pPr>
        <w:spacing w:after="80" w:before="0" w:line="276"/>
        <w:ind w:firstLine="709"/>
        <w:jc w:val="both"/>
      </w:pPr>
      <w:r>
        <w:rPr>
          <w:rFonts w:ascii="Times New Roman" w:cs="Times New Roman" w:eastAsia="Times New Roman" w:hAnsi="Times New Roman"/>
          <w:sz w:val="28"/>
          <w:szCs w:val="28"/>
        </w:rPr>
        <w:t xml:space="preserve">На рівні класу використовуються лише </w:t>
      </w:r>
      <w:r>
        <w:rPr>
          <w:rFonts w:ascii="Times New Roman" w:cs="Times New Roman" w:eastAsia="Times New Roman" w:hAnsi="Times New Roman"/>
          <w:b/>
          <w:bCs/>
          <w:sz w:val="28"/>
          <w:szCs w:val="28"/>
        </w:rPr>
        <w:t xml:space="preserve">неклінічні</w:t>
      </w:r>
      <w:r>
        <w:rPr>
          <w:rFonts w:ascii="Times New Roman" w:cs="Times New Roman" w:eastAsia="Times New Roman" w:hAnsi="Times New Roman"/>
          <w:sz w:val="28"/>
          <w:szCs w:val="28"/>
        </w:rPr>
        <w:t xml:space="preserve"> способи оцінювання: анонімний «пульс» 1–5, вікторини, exit ticket, спостереження. Скринінгові інструменти (наприклад, WHO-5, SDQ) застосовує психолог індивідуально за згодою батьків і результатів не озвучує групі (Goodman, 1997; Topp та ін., 2015). Клінічні шкали (PHQ-A, GAD-7, C-SSRS) використовуються лише підготовленим фахівцем за протоколом; їх не відтворено в матеріалах. Повний перелік із зазначенням обмежень подано в додатку В.</w:t>
      </w:r>
    </w:p>
    <w:p>
      <w:pPr>
        <w:pStyle w:val="Heading2"/>
        <w:keepNext/>
      </w:pPr>
      <w:r>
        <w:rPr>
          <w:rFonts w:ascii="Times New Roman" w:cs="Times New Roman" w:eastAsia="Times New Roman" w:hAnsi="Times New Roman"/>
          <w:b/>
          <w:bCs/>
          <w:sz w:val="28"/>
          <w:szCs w:val="28"/>
        </w:rPr>
        <w:t xml:space="preserve">4.3. Етика, безпека, протоколи реагування</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письмове інформування батьків про теми та формат занять; для чутливих тем — обов’язкове інформування;</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право на «пас», можливість вийти за домовленим знаком;</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анонімна форма «Мені потрібна розмова» та контакти допомоги (116 111 — безкоштовно, анонімно, цілодобово; 0 800 500 335; 102/103);</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протоколи: гостра тривога, розкриття небезпеки (булінг, насильство), думки про смерть чи самоушкодження, горе й воєнна травма (додаток Д);</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не обіцяти абсолютної таємниці; фіксувати розкриття дослівно; діяти за процедурами закладу й законодавством;</w:t>
      </w:r>
    </w:p>
    <w:p>
      <w:pPr>
        <w:pStyle w:val="ListParagraph"/>
        <w:numPr>
          <w:ilvl w:val="0"/>
          <w:numId w:val="2"/>
        </w:numPr>
        <w:spacing w:after="40" w:line="276"/>
        <w:jc w:val="both"/>
      </w:pPr>
      <w:r>
        <w:rPr>
          <w:rFonts w:ascii="Times New Roman" w:cs="Times New Roman" w:eastAsia="Times New Roman" w:hAnsi="Times New Roman"/>
          <w:sz w:val="28"/>
          <w:szCs w:val="28"/>
        </w:rPr>
        <w:t xml:space="preserve">супервізія й підтримка фахівця.</w:t>
      </w:r>
    </w:p>
    <w:p>
      <w:pPr>
        <w:pStyle w:val="Heading1"/>
        <w:pageBreakBefore/>
      </w:pPr>
      <w:r>
        <w:rPr>
          <w:rFonts w:ascii="Times New Roman" w:cs="Times New Roman" w:eastAsia="Times New Roman" w:hAnsi="Times New Roman"/>
          <w:b/>
          <w:bCs/>
          <w:sz w:val="28"/>
          <w:szCs w:val="28"/>
        </w:rPr>
        <w:t xml:space="preserve">5. ПЕРЕЛІК НЕОБХІДНИХ МАТЕРІАЛІВ ТА ОБЛАДНАННЯ. ВИМОГИ ДО ФАХІВЦЯ</w:t>
      </w:r>
    </w:p>
    <w:p>
      <w:pPr>
        <w:pStyle w:val="Heading2"/>
        <w:keepNext/>
      </w:pPr>
      <w:r>
        <w:rPr>
          <w:rFonts w:ascii="Times New Roman" w:cs="Times New Roman" w:eastAsia="Times New Roman" w:hAnsi="Times New Roman"/>
          <w:b/>
          <w:bCs/>
          <w:sz w:val="28"/>
          <w:szCs w:val="28"/>
        </w:rPr>
        <w:t xml:space="preserve">5.1. Навчально-методичні матеріали</w:t>
      </w:r>
    </w:p>
    <w:p>
      <w:pPr>
        <w:pStyle w:val="ListParagraph"/>
        <w:numPr>
          <w:ilvl w:val="0"/>
          <w:numId w:val="2"/>
        </w:numPr>
        <w:spacing w:after="40" w:line="276"/>
        <w:jc w:val="both"/>
      </w:pPr>
      <w:r>
        <w:rPr>
          <w:rFonts w:ascii="Times New Roman" w:cs="Times New Roman" w:eastAsia="Times New Roman" w:hAnsi="Times New Roman"/>
          <w:sz w:val="28"/>
          <w:szCs w:val="28"/>
        </w:rPr>
        <w:t xml:space="preserve">інтерактивні уроки для учнів (HTML) відповідно до теми й віку;</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методичні кейси психолога для кожної теми та віку;</w:t>
      </w:r>
    </w:p>
    <w:p>
      <w:pPr>
        <w:pStyle w:val="ListParagraph"/>
        <w:numPr>
          <w:ilvl w:val="0"/>
          <w:numId w:val="2"/>
        </w:numPr>
        <w:spacing w:after="40" w:line="276"/>
        <w:jc w:val="both"/>
      </w:pPr>
      <w:r>
        <w:rPr>
          <w:rFonts w:ascii="Times New Roman" w:cs="Times New Roman" w:eastAsia="Times New Roman" w:hAnsi="Times New Roman"/>
          <w:sz w:val="28"/>
          <w:szCs w:val="28"/>
        </w:rPr>
        <w:t xml:space="preserve">інтерактивні уроки й кейси зустрічей для батьків;</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друковані робочі зошити (А4);</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каталог арт-технік, каталог діагностик, реєстр джерел;</w:t>
      </w:r>
    </w:p>
    <w:p>
      <w:pPr>
        <w:pStyle w:val="ListParagraph"/>
        <w:numPr>
          <w:ilvl w:val="0"/>
          <w:numId w:val="2"/>
        </w:numPr>
        <w:spacing w:after="40" w:line="276"/>
        <w:jc w:val="both"/>
      </w:pPr>
      <w:r>
        <w:rPr>
          <w:rFonts w:ascii="Times New Roman" w:cs="Times New Roman" w:eastAsia="Times New Roman" w:hAnsi="Times New Roman"/>
          <w:sz w:val="28"/>
          <w:szCs w:val="28"/>
        </w:rPr>
        <w:t xml:space="preserve">форма анонімного зворотного зв’язку та перелік контактів допомоги (додатки Г, Д).</w:t>
      </w:r>
    </w:p>
    <w:p>
      <w:pPr>
        <w:pStyle w:val="Heading2"/>
        <w:keepNext/>
      </w:pPr>
      <w:r>
        <w:rPr>
          <w:rFonts w:ascii="Times New Roman" w:cs="Times New Roman" w:eastAsia="Times New Roman" w:hAnsi="Times New Roman"/>
          <w:b/>
          <w:bCs/>
          <w:sz w:val="28"/>
          <w:szCs w:val="28"/>
        </w:rPr>
        <w:t xml:space="preserve">5.2. Вимоги до матеріально-технічного оснащення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0"/>
        <w:gridCol w:w="6555"/>
      </w:tblGrid>
      <w:tr>
        <w:trPr>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Ресурс</w:t>
            </w:r>
          </w:p>
        </w:tc>
        <w:tc>
          <w:tcPr>
            <w:tcW w:type="dxa" w:w="65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Вимога</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Приміщення</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Клас або кабінет психолога, де можна розмістити учнів півколом і працювати індивідуально; можливість приватної розмови після заняття</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Технічні засоби</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Проєктор чи екран, комп’ютер; інтернет; за можливості смартфони чи планшети для учнів (за відсутності — друковані матеріали)</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Друк</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Принтер для друку робочих зошитів і форм (А4, чорно-білий друк достатній)</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Витратні матеріали</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Папір А4, кольорові олівці чи фломастери, прості олівці, клей, ножиці (безпечні), журнали для колажів, кольорові стікери</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Організаційні ресурси</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Година класного керівника чи окремий слот у розкладі; поштова скринька чи електронна форма для анонімних запитів</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Безпека</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Перелік контактів допомоги на видному місці; доступ до шкільного медика й адміністрації за потреби</w:t>
            </w:r>
          </w:p>
        </w:tc>
      </w:tr>
    </w:tbl>
    <w:p>
      <w:pPr>
        <w:spacing w:after="100"/>
      </w:pPr>
      <w:r>
        <w:rPr>
          <w:rFonts w:ascii="Times New Roman" w:cs="Times New Roman" w:eastAsia="Times New Roman" w:hAnsi="Times New Roman"/>
          <w:sz w:val="28"/>
          <w:szCs w:val="28"/>
        </w:rPr>
        <w:t xml:space="preserve"/>
      </w:r>
    </w:p>
    <w:p>
      <w:pPr>
        <w:pStyle w:val="Heading2"/>
        <w:keepNext/>
      </w:pPr>
      <w:r>
        <w:rPr>
          <w:rFonts w:ascii="Times New Roman" w:cs="Times New Roman" w:eastAsia="Times New Roman" w:hAnsi="Times New Roman"/>
          <w:b/>
          <w:bCs/>
          <w:sz w:val="28"/>
          <w:szCs w:val="28"/>
        </w:rPr>
        <w:t xml:space="preserve">5.3. Вимоги до спеціаліста, який впроваджує програму</w:t>
      </w:r>
    </w:p>
    <w:p>
      <w:pPr>
        <w:pStyle w:val="ListParagraph"/>
        <w:numPr>
          <w:ilvl w:val="0"/>
          <w:numId w:val="2"/>
        </w:numPr>
        <w:spacing w:after="40" w:line="276"/>
        <w:jc w:val="both"/>
      </w:pPr>
      <w:r>
        <w:rPr>
          <w:rFonts w:ascii="Times New Roman" w:cs="Times New Roman" w:eastAsia="Times New Roman" w:hAnsi="Times New Roman"/>
          <w:sz w:val="28"/>
          <w:szCs w:val="28"/>
        </w:rPr>
        <w:t xml:space="preserve">фахова освіта практичного психолога чи соціального педагога;</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знання вікової психології та основ психологічної першої допомоги;</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навички групової роботи, ведення чутливих тем, реагування на кризові ситуації;</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дотримання професійної етики, конфіденційності та законодавства;</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готовність до супервізії й до співпраці з медиками, батьками, адміністрацією;</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для використання клінічних методик — відповідна підготовка й дозвіл закладу.</w:t>
      </w:r>
    </w:p>
    <w:p>
      <w:pPr>
        <w:pStyle w:val="Heading1"/>
        <w:pageBreakBefore/>
      </w:pPr>
      <w:r>
        <w:rPr>
          <w:rFonts w:ascii="Times New Roman" w:cs="Times New Roman" w:eastAsia="Times New Roman" w:hAnsi="Times New Roman"/>
          <w:b/>
          <w:bCs/>
          <w:sz w:val="28"/>
          <w:szCs w:val="28"/>
        </w:rPr>
        <w:t xml:space="preserve">6. СТРОКИ ТА ЕТАПИ РЕАЛІЗАЦІЇ ПРОГРАМИ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700"/>
        <w:gridCol w:w="2055"/>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Етап</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Строки</w:t>
            </w:r>
          </w:p>
        </w:tc>
        <w:tc>
          <w:tcPr>
            <w:tcW w:type="dxa" w:w="3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Зміст</w:t>
            </w:r>
          </w:p>
        </w:tc>
        <w:tc>
          <w:tcPr>
            <w:tcW w:type="dxa" w:w="20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Результат</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Підготовчий</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серпень — вересень</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Узгодження плану з адміністрацією, інформування батьків, формування розкладу, налаштування анонімної форми</w:t>
            </w:r>
          </w:p>
        </w:tc>
        <w:tc>
          <w:tcPr>
            <w:tcW w:type="dxa" w:w="2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Затверджений календарний план, інформована спільнота</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Основний, 1-й семестр</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вересень — грудень</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Теми 1–15; 1 заняття на тиждень у кожній віковій групі; батьківські зустрічі у жовтні й грудні</w:t>
            </w:r>
          </w:p>
        </w:tc>
        <w:tc>
          <w:tcPr>
            <w:tcW w:type="dxa" w:w="2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Опрацьовані модулі 1–3 та підсумок семестру</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Основний, 2-й семестр</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січень — травень</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Теми 16–24; 1 заняття на 1–2 тижні; батьківські зустрічі у лютому й квітні</w:t>
            </w:r>
          </w:p>
        </w:tc>
        <w:tc>
          <w:tcPr>
            <w:tcW w:type="dxa" w:w="2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Опрацьовані модулі 4–6</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Підсумковий</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травень</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Тема 24, аналіз «пульсу» й зворотного зв’язку, звіт, планування наступного року</w:t>
            </w:r>
          </w:p>
        </w:tc>
        <w:tc>
          <w:tcPr>
            <w:tcW w:type="dxa" w:w="2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Звіт про результати, пропозиції щодо корекції програми</w:t>
            </w:r>
          </w:p>
        </w:tc>
      </w:tr>
    </w:tbl>
    <w:p>
      <w:pPr>
        <w:spacing w:after="100"/>
      </w:pPr>
      <w:r>
        <w:rPr>
          <w:rFonts w:ascii="Times New Roman" w:cs="Times New Roman" w:eastAsia="Times New Roman" w:hAnsi="Times New Roman"/>
          <w:sz w:val="28"/>
          <w:szCs w:val="28"/>
        </w:rPr>
        <w:t xml:space="preserve"/>
      </w:r>
    </w:p>
    <w:p>
      <w:pPr>
        <w:pStyle w:val="Heading2"/>
        <w:keepNext/>
      </w:pPr>
      <w:r>
        <w:rPr>
          <w:rFonts w:ascii="Times New Roman" w:cs="Times New Roman" w:eastAsia="Times New Roman" w:hAnsi="Times New Roman"/>
          <w:b/>
          <w:bCs/>
          <w:sz w:val="28"/>
          <w:szCs w:val="28"/>
        </w:rPr>
        <w:t xml:space="preserve">6.1. Орієнтовний календарний графік</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55"/>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Місяць</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Теми</w:t>
            </w:r>
          </w:p>
        </w:tc>
        <w:tc>
          <w:tcPr>
            <w:tcW w:type="dxa" w:w="43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Батьківський компонент</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Вересень</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1, 2, 3</w:t>
            </w:r>
          </w:p>
        </w:tc>
        <w:tc>
          <w:tcPr>
            <w:tcW w:type="dxa" w:w="4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Інформування батьків; підготовка до зустрічі</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Жовтень</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4, 5, 6, 7</w:t>
            </w:r>
          </w:p>
        </w:tc>
        <w:tc>
          <w:tcPr>
            <w:tcW w:type="dxa" w:w="4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Батьківська зустріч 1 (дата: </w:t>
            </w:r>
            <w:r>
              <w:rPr>
                <w:rFonts w:ascii="Times New Roman" w:cs="Times New Roman" w:eastAsia="Times New Roman" w:hAnsi="Times New Roman"/>
                <w:sz w:val="24"/>
                <w:szCs w:val="24"/>
                <w:highlight w:val="yellow"/>
                <w:highlightCs w:val="yellow"/>
              </w:rPr>
              <w:t xml:space="preserve">[__.__]</w:t>
            </w:r>
            <w:r>
              <w:rPr>
                <w:rFonts w:ascii="Times New Roman" w:cs="Times New Roman" w:eastAsia="Times New Roman" w:hAnsi="Times New Roman"/>
                <w:sz w:val="24"/>
                <w:szCs w:val="24"/>
              </w:rPr>
              <w:t xml:space="preserv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Листопад</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8, 9, 10, 11</w:t>
            </w:r>
          </w:p>
        </w:tc>
        <w:tc>
          <w:tcPr>
            <w:tcW w:type="dxa" w:w="4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Інтерактивні уроки для батьків (самостійно)</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Грудень</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12, 13, 14, 15</w:t>
            </w:r>
          </w:p>
        </w:tc>
        <w:tc>
          <w:tcPr>
            <w:tcW w:type="dxa" w:w="4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Батьківська зустріч 2 (дата: </w:t>
            </w:r>
            <w:r>
              <w:rPr>
                <w:rFonts w:ascii="Times New Roman" w:cs="Times New Roman" w:eastAsia="Times New Roman" w:hAnsi="Times New Roman"/>
                <w:sz w:val="24"/>
                <w:szCs w:val="24"/>
                <w:highlight w:val="yellow"/>
                <w:highlightCs w:val="yellow"/>
              </w:rPr>
              <w:t xml:space="preserve">[__.__]</w:t>
            </w:r>
            <w:r>
              <w:rPr>
                <w:rFonts w:ascii="Times New Roman" w:cs="Times New Roman" w:eastAsia="Times New Roman" w:hAnsi="Times New Roman"/>
                <w:sz w:val="24"/>
                <w:szCs w:val="24"/>
              </w:rPr>
              <w:t xml:space="preserv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Січень</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16, 17</w:t>
            </w:r>
          </w:p>
        </w:tc>
        <w:tc>
          <w:tcPr>
            <w:tcW w:type="dxa" w:w="4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Лютий</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18, 19</w:t>
            </w:r>
          </w:p>
        </w:tc>
        <w:tc>
          <w:tcPr>
            <w:tcW w:type="dxa" w:w="4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Батьківська зустріч 3 (дата: </w:t>
            </w:r>
            <w:r>
              <w:rPr>
                <w:rFonts w:ascii="Times New Roman" w:cs="Times New Roman" w:eastAsia="Times New Roman" w:hAnsi="Times New Roman"/>
                <w:sz w:val="24"/>
                <w:szCs w:val="24"/>
                <w:highlight w:val="yellow"/>
                <w:highlightCs w:val="yellow"/>
              </w:rPr>
              <w:t xml:space="preserve">[__.__]</w:t>
            </w:r>
            <w:r>
              <w:rPr>
                <w:rFonts w:ascii="Times New Roman" w:cs="Times New Roman" w:eastAsia="Times New Roman" w:hAnsi="Times New Roman"/>
                <w:sz w:val="24"/>
                <w:szCs w:val="24"/>
              </w:rPr>
              <w:t xml:space="preserv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Березень</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20, 21</w:t>
            </w:r>
          </w:p>
        </w:tc>
        <w:tc>
          <w:tcPr>
            <w:tcW w:type="dxa" w:w="4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Квітень</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22, 23</w:t>
            </w:r>
          </w:p>
        </w:tc>
        <w:tc>
          <w:tcPr>
            <w:tcW w:type="dxa" w:w="4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Батьківська зустріч 4 (дата: </w:t>
            </w:r>
            <w:r>
              <w:rPr>
                <w:rFonts w:ascii="Times New Roman" w:cs="Times New Roman" w:eastAsia="Times New Roman" w:hAnsi="Times New Roman"/>
                <w:sz w:val="24"/>
                <w:szCs w:val="24"/>
                <w:highlight w:val="yellow"/>
                <w:highlightCs w:val="yellow"/>
              </w:rPr>
              <w:t xml:space="preserve">[__.__]</w:t>
            </w:r>
            <w:r>
              <w:rPr>
                <w:rFonts w:ascii="Times New Roman" w:cs="Times New Roman" w:eastAsia="Times New Roman" w:hAnsi="Times New Roman"/>
                <w:sz w:val="24"/>
                <w:szCs w:val="24"/>
              </w:rPr>
              <w:t xml:space="preserv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Травень</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24, підсумки</w:t>
            </w:r>
          </w:p>
        </w:tc>
        <w:tc>
          <w:tcPr>
            <w:tcW w:type="dxa" w:w="4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Анонімне опитування батьків</w:t>
            </w:r>
          </w:p>
        </w:tc>
      </w:tr>
    </w:tbl>
    <w:p>
      <w:pPr>
        <w:spacing w:after="100"/>
      </w:pPr>
      <w:r>
        <w:rPr>
          <w:rFonts w:ascii="Times New Roman" w:cs="Times New Roman" w:eastAsia="Times New Roman" w:hAnsi="Times New Roman"/>
          <w:sz w:val="28"/>
          <w:szCs w:val="28"/>
        </w:rPr>
        <w:t xml:space="preserve"/>
      </w:r>
    </w:p>
    <w:p>
      <w:pPr>
        <w:spacing w:after="80" w:before="0" w:line="276"/>
        <w:ind w:firstLine="709"/>
        <w:jc w:val="both"/>
      </w:pPr>
      <w:r>
        <w:rPr>
          <w:rFonts w:ascii="Times New Roman" w:cs="Times New Roman" w:eastAsia="Times New Roman" w:hAnsi="Times New Roman"/>
          <w:sz w:val="26"/>
          <w:szCs w:val="26"/>
        </w:rPr>
        <w:t xml:space="preserve">Графік орієнтовний: його коригують за розкладом закладу, кількістю класів і наявністю часу в годинах класного керівника.</w:t>
      </w:r>
    </w:p>
    <w:p>
      <w:pPr>
        <w:pStyle w:val="Heading1"/>
        <w:pageBreakBefore/>
      </w:pPr>
      <w:r>
        <w:rPr>
          <w:rFonts w:ascii="Times New Roman" w:cs="Times New Roman" w:eastAsia="Times New Roman" w:hAnsi="Times New Roman"/>
          <w:b/>
          <w:bCs/>
          <w:sz w:val="28"/>
          <w:szCs w:val="28"/>
        </w:rPr>
        <w:t xml:space="preserve">7. ОЧІКУВАНІ РЕЗУЛЬТАТИ</w:t>
      </w:r>
    </w:p>
    <w:p>
      <w:pPr>
        <w:pStyle w:val="Heading2"/>
        <w:keepNext/>
      </w:pPr>
      <w:r>
        <w:rPr>
          <w:rFonts w:ascii="Times New Roman" w:cs="Times New Roman" w:eastAsia="Times New Roman" w:hAnsi="Times New Roman"/>
          <w:b/>
          <w:bCs/>
          <w:sz w:val="28"/>
          <w:szCs w:val="28"/>
        </w:rPr>
        <w:t xml:space="preserve">7.1. Результати для учнів</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знають і розрізняють емоції, сигнали тіла, поняття стресу, тривоги, конфлікту й булінгу, стійкості;</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застосовують щонайменше три способи саморегуляції (дихання, заземлення, переоцінка, перерви);</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використовують Я-повідомлення та активне слухання у вигаданих і реальних ситуаціях;</w:t>
      </w:r>
    </w:p>
    <w:p>
      <w:pPr>
        <w:pStyle w:val="ListParagraph"/>
        <w:numPr>
          <w:ilvl w:val="0"/>
          <w:numId w:val="2"/>
        </w:numPr>
        <w:spacing w:after="40" w:line="276"/>
        <w:jc w:val="both"/>
      </w:pPr>
      <w:r>
        <w:rPr>
          <w:rFonts w:ascii="Times New Roman" w:cs="Times New Roman" w:eastAsia="Times New Roman" w:hAnsi="Times New Roman"/>
          <w:sz w:val="28"/>
          <w:szCs w:val="28"/>
        </w:rPr>
        <w:t xml:space="preserve">складають особисті плани: опори, вечірній ритуал, баланс вимог і ресурсів, цінності;</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знають контакти допомоги й готові звертатися до дорослих і фахівців.</w:t>
      </w:r>
    </w:p>
    <w:p>
      <w:pPr>
        <w:pStyle w:val="Heading2"/>
        <w:keepNext/>
      </w:pPr>
      <w:r>
        <w:rPr>
          <w:rFonts w:ascii="Times New Roman" w:cs="Times New Roman" w:eastAsia="Times New Roman" w:hAnsi="Times New Roman"/>
          <w:b/>
          <w:bCs/>
          <w:sz w:val="28"/>
          <w:szCs w:val="28"/>
        </w:rPr>
        <w:t xml:space="preserve">7.2. Результати для батьків і закладу</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батьки знають ознаки, за яких потрібна допомога, мають практичні фрази й кроки підтримки;</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заклад отримує систему профілактичної роботи, узгоджену з кризовими протоколами;</w:t>
      </w:r>
    </w:p>
    <w:p>
      <w:pPr>
        <w:pStyle w:val="ListParagraph"/>
        <w:numPr>
          <w:ilvl w:val="0"/>
          <w:numId w:val="2"/>
        </w:numPr>
        <w:spacing w:after="40" w:line="276"/>
        <w:jc w:val="both"/>
      </w:pPr>
      <w:r>
        <w:rPr>
          <w:rFonts w:ascii="Times New Roman" w:cs="Times New Roman" w:eastAsia="Times New Roman" w:hAnsi="Times New Roman"/>
          <w:sz w:val="28"/>
          <w:szCs w:val="28"/>
        </w:rPr>
        <w:t xml:space="preserve">фахівець має єдиний комплект матеріалів із джерелами для планування й звітності.</w:t>
      </w:r>
    </w:p>
    <w:p>
      <w:pPr>
        <w:pStyle w:val="Heading2"/>
        <w:keepNext/>
      </w:pPr>
      <w:r>
        <w:rPr>
          <w:rFonts w:ascii="Times New Roman" w:cs="Times New Roman" w:eastAsia="Times New Roman" w:hAnsi="Times New Roman"/>
          <w:b/>
          <w:bCs/>
          <w:sz w:val="28"/>
          <w:szCs w:val="28"/>
        </w:rPr>
        <w:t xml:space="preserve">7.3. Показники та способи оцінювання</w:t>
      </w:r>
    </w:p>
    <w:p>
      <w:pPr>
        <w:spacing w:after="80" w:before="0" w:line="276"/>
        <w:ind w:firstLine="709"/>
        <w:jc w:val="both"/>
      </w:pPr>
      <w:r>
        <w:rPr>
          <w:rFonts w:ascii="Times New Roman" w:cs="Times New Roman" w:eastAsia="Times New Roman" w:hAnsi="Times New Roman"/>
          <w:sz w:val="26"/>
          <w:szCs w:val="26"/>
        </w:rPr>
        <w:t xml:space="preserve">Цільові рівні орієнтовні й уточнюються за результатами апробації. Вони вимірюються анонімно й узагальнено, без оцінювання окремих учнів.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755"/>
      </w:tblGrid>
      <w:tr>
        <w:trPr>
          <w:tblHeader/>
        </w:trPr>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2"/>
                <w:szCs w:val="22"/>
              </w:rPr>
              <w:t xml:space="preserve">Показник</w:t>
            </w:r>
          </w:p>
        </w:tc>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2"/>
                <w:szCs w:val="22"/>
              </w:rPr>
              <w:t xml:space="preserve">Як вимірюється</w:t>
            </w:r>
          </w:p>
        </w:tc>
        <w:tc>
          <w:tcPr>
            <w:tcW w:type="dxa" w:w="27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2"/>
                <w:szCs w:val="22"/>
              </w:rPr>
              <w:t xml:space="preserve">Орієнтовний цільовий рівень</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Учні називають ≥ 3 способи саморегуляції</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Вікторина / exit ticket в кінці модуля</w:t>
            </w:r>
          </w:p>
        </w:tc>
        <w:tc>
          <w:tcPr>
            <w:tcW w:type="dxa" w:w="27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не менше 70% учнів групи</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Учні знають контакти допомоги</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Питання в кінці заняття / анонімна анкета</w:t>
            </w:r>
          </w:p>
        </w:tc>
        <w:tc>
          <w:tcPr>
            <w:tcW w:type="dxa" w:w="27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не менше 90% учнів</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Учні розрізняють конфлікт і булінг</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Ситуаційні питання в темі 8</w:t>
            </w:r>
          </w:p>
        </w:tc>
        <w:tc>
          <w:tcPr>
            <w:tcW w:type="dxa" w:w="27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не менше 70% правильних відповідей</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Зміна самопочуття протягом заняття</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Анонімний «пульс» 1–5 на вході й виході</w:t>
            </w:r>
          </w:p>
        </w:tc>
        <w:tc>
          <w:tcPr>
            <w:tcW w:type="dxa" w:w="27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середнє наприкінці заняття не нижче середнього на вході</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Корисність занять</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Анонімна оцінка 1–5 раз на семестр</w:t>
            </w:r>
          </w:p>
        </w:tc>
        <w:tc>
          <w:tcPr>
            <w:tcW w:type="dxa" w:w="27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середня оцінка не нижче 4</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Практичні дії батьків</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«Одна дія на тиждень» у чаті зустрічі; анонімна анкета</w:t>
            </w:r>
          </w:p>
        </w:tc>
        <w:tc>
          <w:tcPr>
            <w:tcW w:type="dxa" w:w="27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не менше 60% учасників зустрічі</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Звернення по допомогу</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Кількість анонімних запитів і консультацій (динаміка)</w:t>
            </w:r>
          </w:p>
        </w:tc>
        <w:tc>
          <w:tcPr>
            <w:tcW w:type="dxa" w:w="27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не оцінюється як «успіх» чи «провал»: показує доступність допомоги</w:t>
            </w:r>
          </w:p>
        </w:tc>
      </w:tr>
    </w:tbl>
    <w:p>
      <w:pPr>
        <w:spacing w:after="100"/>
      </w:pPr>
      <w:r>
        <w:rPr>
          <w:rFonts w:ascii="Times New Roman" w:cs="Times New Roman" w:eastAsia="Times New Roman" w:hAnsi="Times New Roman"/>
          <w:sz w:val="28"/>
          <w:szCs w:val="28"/>
        </w:rPr>
        <w:t xml:space="preserve"/>
      </w:r>
    </w:p>
    <w:p>
      <w:pPr>
        <w:pStyle w:val="Heading1"/>
        <w:pageBreakBefore/>
      </w:pPr>
      <w:r>
        <w:rPr>
          <w:rFonts w:ascii="Times New Roman" w:cs="Times New Roman" w:eastAsia="Times New Roman" w:hAnsi="Times New Roman"/>
          <w:b/>
          <w:bCs/>
          <w:sz w:val="28"/>
          <w:szCs w:val="28"/>
        </w:rPr>
        <w:t xml:space="preserve">8. ОПИС ПРОВЕДЕННЯ АПРОБАЦІЇ</w:t>
      </w:r>
    </w:p>
    <w:p>
      <w:pPr>
        <w:spacing w:after="80" w:before="0" w:line="276"/>
        <w:ind w:firstLine="709"/>
        <w:jc w:val="both"/>
      </w:pPr>
      <w:r>
        <w:rPr>
          <w:rFonts w:ascii="Times New Roman" w:cs="Times New Roman" w:eastAsia="Times New Roman" w:hAnsi="Times New Roman"/>
          <w:sz w:val="26"/>
          <w:szCs w:val="26"/>
          <w:highlight w:val="yellow"/>
          <w:highlightCs w:val="yellow"/>
        </w:rPr>
        <w:t xml:space="preserve">[Розділ заповнює автор за фактичними даними. Нижче подано структуру. Не вставляйте даних, яких не було. Якщо апробація охоплювала лише частину тем, зазначте це прямо]</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300"/>
        <w:gridCol w:w="6055"/>
      </w:tblGrid>
      <w:tr>
        <w:trPr>
          <w:tblHeader/>
        </w:trPr>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Параметр</w:t>
            </w:r>
          </w:p>
        </w:tc>
        <w:tc>
          <w:tcPr>
            <w:tcW w:type="dxa" w:w="60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Дані</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Заклад(и), де проводилась апробація</w:t>
            </w:r>
          </w:p>
        </w:tc>
        <w:tc>
          <w:tcPr>
            <w:tcW w:type="dxa" w:w="6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ТОВ «Заклад освіти «УСПІХ», </w:t>
            </w:r>
            <w:r>
              <w:rPr>
                <w:rFonts w:ascii="Times New Roman" w:cs="Times New Roman" w:eastAsia="Times New Roman" w:hAnsi="Times New Roman"/>
                <w:b w:val="false"/>
                <w:bCs w:val="false"/>
                <w:sz w:val="24"/>
                <w:szCs w:val="24"/>
                <w:highlight w:val="yellow"/>
                <w:highlightCs w:val="yellow"/>
              </w:rPr>
              <w:t xml:space="preserve">[місто]</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Період апробації</w:t>
            </w:r>
          </w:p>
        </w:tc>
        <w:tc>
          <w:tcPr>
            <w:tcW w:type="dxa" w:w="6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highlight w:val="yellow"/>
                <w:highlightCs w:val="yellow"/>
              </w:rPr>
              <w:t xml:space="preserve">[з __.__.20__ до __.__.20__]</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Учасники (класи, кількість учнів, батьків)</w:t>
            </w:r>
          </w:p>
        </w:tc>
        <w:tc>
          <w:tcPr>
            <w:tcW w:type="dxa" w:w="6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highlight w:val="yellow"/>
                <w:highlightCs w:val="yellow"/>
              </w:rPr>
              <w:t xml:space="preserve">[__ класів / __ учнів / __ батьків]</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Теми, що апробовано</w:t>
            </w:r>
          </w:p>
        </w:tc>
        <w:tc>
          <w:tcPr>
            <w:tcW w:type="dxa" w:w="6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highlight w:val="yellow"/>
                <w:highlightCs w:val="yellow"/>
              </w:rPr>
              <w:t xml:space="preserve">[номери тем і вікові групи]</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Форма проведення</w:t>
            </w:r>
          </w:p>
        </w:tc>
        <w:tc>
          <w:tcPr>
            <w:tcW w:type="dxa" w:w="6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highlight w:val="yellow"/>
                <w:highlightCs w:val="yellow"/>
              </w:rPr>
              <w:t xml:space="preserve">[очно / онлайн / змішано; тривалість занять]</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Способи збору даних</w:t>
            </w:r>
          </w:p>
        </w:tc>
        <w:tc>
          <w:tcPr>
            <w:tcW w:type="dxa" w:w="6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highlight w:val="yellow"/>
                <w:highlightCs w:val="yellow"/>
              </w:rPr>
              <w:t xml:space="preserve">[анонімний «пульс», вікторини, анкети учнів і батьків, спостереження, відгуки]</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Кількість занять і зустрічей</w:t>
            </w:r>
          </w:p>
        </w:tc>
        <w:tc>
          <w:tcPr>
            <w:tcW w:type="dxa" w:w="6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highlight w:val="yellow"/>
                <w:highlightCs w:val="yellow"/>
              </w:rPr>
              <w:t xml:space="preserve">[__ занять; __ батьківських зустрічей]</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Труднощі, що виникли</w:t>
            </w:r>
          </w:p>
        </w:tc>
        <w:tc>
          <w:tcPr>
            <w:tcW w:type="dxa" w:w="6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highlight w:val="yellow"/>
                <w:highlightCs w:val="yellow"/>
              </w:rPr>
              <w:t xml:space="preserve">[опишіть]</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Зміни в програмі після апробації</w:t>
            </w:r>
          </w:p>
        </w:tc>
        <w:tc>
          <w:tcPr>
            <w:tcW w:type="dxa" w:w="60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highlight w:val="yellow"/>
                <w:highlightCs w:val="yellow"/>
              </w:rPr>
              <w:t xml:space="preserve">[що доопрацьовано]</w:t>
            </w:r>
          </w:p>
        </w:tc>
      </w:tr>
    </w:tbl>
    <w:p>
      <w:pPr>
        <w:spacing w:after="100"/>
      </w:pPr>
      <w:r>
        <w:rPr>
          <w:rFonts w:ascii="Times New Roman" w:cs="Times New Roman" w:eastAsia="Times New Roman" w:hAnsi="Times New Roman"/>
          <w:sz w:val="28"/>
          <w:szCs w:val="28"/>
        </w:rPr>
        <w:t xml:space="preserve"/>
      </w:r>
    </w:p>
    <w:p>
      <w:pPr>
        <w:pStyle w:val="Heading2"/>
        <w:keepNext/>
      </w:pPr>
      <w:r>
        <w:rPr>
          <w:rFonts w:ascii="Times New Roman" w:cs="Times New Roman" w:eastAsia="Times New Roman" w:hAnsi="Times New Roman"/>
          <w:b/>
          <w:bCs/>
          <w:sz w:val="28"/>
          <w:szCs w:val="28"/>
        </w:rPr>
        <w:t xml:space="preserve">8.1. Результати апробації</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55"/>
      </w:tblGrid>
      <w:tr>
        <w:trPr>
          <w:tblHeader/>
        </w:trPr>
        <w:tc>
          <w:tcPr>
            <w:tcW w:type="dxa" w:w="3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Показник</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До</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Після</w:t>
            </w:r>
          </w:p>
        </w:tc>
        <w:tc>
          <w:tcPr>
            <w:tcW w:type="dxa" w:w="28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Примітки</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Середнє значення «пульсу» на вході / виході (1–5)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[__]</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[__]</w:t>
            </w:r>
          </w:p>
        </w:tc>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[__]</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Частка учнів, які знають контакти допомоги</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[__ %]</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[__ %]</w:t>
            </w:r>
          </w:p>
        </w:tc>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[__]</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Частка учнів, що називають ≥ 3 способи саморегуляції</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[__ %]</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[__ %]</w:t>
            </w:r>
          </w:p>
        </w:tc>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[__]</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Середня оцінка корисності занять (1–5)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[__]</w:t>
            </w:r>
          </w:p>
        </w:tc>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[__]</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Відгуки батьків (кількість / узагальнення)</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[__]</w:t>
            </w:r>
          </w:p>
        </w:tc>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[__]</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Анонімні запити до психолога (динаміка)</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[__]</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[__]</w:t>
            </w:r>
          </w:p>
        </w:tc>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[__]</w:t>
            </w:r>
          </w:p>
        </w:tc>
      </w:tr>
    </w:tbl>
    <w:p>
      <w:pPr>
        <w:spacing w:after="100"/>
      </w:pPr>
      <w:r>
        <w:rPr>
          <w:rFonts w:ascii="Times New Roman" w:cs="Times New Roman" w:eastAsia="Times New Roman" w:hAnsi="Times New Roman"/>
          <w:sz w:val="28"/>
          <w:szCs w:val="28"/>
        </w:rPr>
        <w:t xml:space="preserve"/>
      </w:r>
    </w:p>
    <w:p>
      <w:pPr>
        <w:pStyle w:val="Heading2"/>
        <w:keepNext/>
      </w:pPr>
      <w:r>
        <w:rPr>
          <w:rFonts w:ascii="Times New Roman" w:cs="Times New Roman" w:eastAsia="Times New Roman" w:hAnsi="Times New Roman"/>
          <w:b/>
          <w:bCs/>
          <w:sz w:val="28"/>
          <w:szCs w:val="28"/>
        </w:rPr>
        <w:t xml:space="preserve">8.2. Висновки з апробації</w:t>
      </w:r>
    </w:p>
    <w:p>
      <w:pPr>
        <w:spacing w:after="80" w:before="0" w:line="276"/>
        <w:ind w:firstLine="709"/>
        <w:jc w:val="both"/>
      </w:pPr>
      <w:r>
        <w:rPr>
          <w:rFonts w:ascii="Times New Roman" w:cs="Times New Roman" w:eastAsia="Times New Roman" w:hAnsi="Times New Roman"/>
          <w:sz w:val="26"/>
          <w:szCs w:val="26"/>
          <w:highlight w:val="yellow"/>
          <w:highlightCs w:val="yellow"/>
        </w:rPr>
        <w:t xml:space="preserve">[Короткі висновки автора: що спрацювало, що потребує доопрацювання, які обмеження]</w:t>
      </w:r>
    </w:p>
    <w:p>
      <w:pPr>
        <w:pStyle w:val="Heading2"/>
        <w:keepNext/>
      </w:pPr>
      <w:r>
        <w:rPr>
          <w:rFonts w:ascii="Times New Roman" w:cs="Times New Roman" w:eastAsia="Times New Roman" w:hAnsi="Times New Roman"/>
          <w:b/>
          <w:bCs/>
          <w:sz w:val="28"/>
          <w:szCs w:val="28"/>
        </w:rPr>
        <w:t xml:space="preserve">8.3. Підтвердні матеріали</w:t>
      </w:r>
    </w:p>
    <w:p>
      <w:pPr>
        <w:spacing w:after="80" w:before="0" w:line="276"/>
        <w:ind w:firstLine="709"/>
        <w:jc w:val="both"/>
      </w:pPr>
      <w:r>
        <w:rPr>
          <w:rFonts w:ascii="Times New Roman" w:cs="Times New Roman" w:eastAsia="Times New Roman" w:hAnsi="Times New Roman"/>
          <w:sz w:val="26"/>
          <w:szCs w:val="26"/>
        </w:rPr>
        <w:t xml:space="preserve">До програми додаються відгуки керівників закладів освіти й матеріали реалізації (фото матеріалів без зображень дітей, відео, відгуки учасників, публікації) відповідно до реєстру (додаток до комплекту): </w:t>
      </w:r>
      <w:r>
        <w:rPr>
          <w:rFonts w:ascii="Times New Roman" w:cs="Times New Roman" w:eastAsia="Times New Roman" w:hAnsi="Times New Roman"/>
          <w:sz w:val="26"/>
          <w:szCs w:val="26"/>
          <w:highlight w:val="yellow"/>
          <w:highlightCs w:val="yellow"/>
        </w:rPr>
        <w:t xml:space="preserve">[кількість і назви]</w:t>
      </w:r>
      <w:r>
        <w:rPr>
          <w:rFonts w:ascii="Times New Roman" w:cs="Times New Roman" w:eastAsia="Times New Roman" w:hAnsi="Times New Roman"/>
          <w:sz w:val="26"/>
          <w:szCs w:val="26"/>
        </w:rPr>
        <w:t xml:space="preserve">.</w:t>
      </w:r>
    </w:p>
    <w:p>
      <w:pPr>
        <w:pStyle w:val="Heading2"/>
        <w:keepNext/>
      </w:pPr>
      <w:r>
        <w:rPr>
          <w:rFonts w:ascii="Times New Roman" w:cs="Times New Roman" w:eastAsia="Times New Roman" w:hAnsi="Times New Roman"/>
          <w:b/>
          <w:bCs/>
          <w:sz w:val="28"/>
          <w:szCs w:val="28"/>
        </w:rPr>
        <w:t xml:space="preserve">8.4. Обмеження програми</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програма не є терапією й не замінює індивідуальної допомоги;</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більшість наукових даних кореляційні, ефекти шкільних програм у середньому помірні й залежать від якості впровадження;</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потрібна адаптація до особливостей закладу, класу й місцевих умов;</w:t>
      </w:r>
    </w:p>
    <w:p>
      <w:pPr>
        <w:pStyle w:val="ListParagraph"/>
        <w:numPr>
          <w:ilvl w:val="0"/>
          <w:numId w:val="2"/>
        </w:numPr>
        <w:spacing w:after="40" w:line="276"/>
        <w:jc w:val="both"/>
      </w:pPr>
      <w:r>
        <w:rPr>
          <w:rFonts w:ascii="Times New Roman" w:cs="Times New Roman" w:eastAsia="Times New Roman" w:hAnsi="Times New Roman"/>
          <w:sz w:val="28"/>
          <w:szCs w:val="28"/>
        </w:rPr>
        <w:t xml:space="preserve">чутливі теми вимагають підготовленого фахівця;</w:t>
      </w:r>
    </w:p>
    <w:p>
      <w:pPr>
        <w:pStyle w:val="ListParagraph"/>
        <w:numPr>
          <w:ilvl w:val="0"/>
          <w:numId w:val="2"/>
        </w:numPr>
        <w:spacing w:after="40" w:line="276"/>
        <w:jc w:val="both"/>
      </w:pPr>
      <w:r>
        <w:rPr>
          <w:rFonts w:ascii="Times New Roman" w:cs="Times New Roman" w:eastAsia="Times New Roman" w:hAnsi="Times New Roman"/>
          <w:sz w:val="28"/>
          <w:szCs w:val="28"/>
        </w:rPr>
        <w:t xml:space="preserve">міжнародні діагностичні інструменти потребують перевірки умов використання й перекладу.</w:t>
      </w:r>
    </w:p>
    <w:p>
      <w:pPr>
        <w:pStyle w:val="Heading1"/>
        <w:pageBreakBefore/>
      </w:pPr>
      <w:r>
        <w:rPr>
          <w:rFonts w:ascii="Times New Roman" w:cs="Times New Roman" w:eastAsia="Times New Roman" w:hAnsi="Times New Roman"/>
          <w:b/>
          <w:bCs/>
          <w:sz w:val="28"/>
          <w:szCs w:val="28"/>
        </w:rPr>
        <w:t xml:space="preserve">ВИСНОВКИ</w:t>
      </w:r>
    </w:p>
    <w:p>
      <w:pPr>
        <w:spacing w:after="80" w:before="0" w:line="276"/>
        <w:ind w:firstLine="709"/>
        <w:jc w:val="both"/>
      </w:pPr>
      <w:r>
        <w:rPr>
          <w:rFonts w:ascii="Times New Roman" w:cs="Times New Roman" w:eastAsia="Times New Roman" w:hAnsi="Times New Roman"/>
          <w:sz w:val="28"/>
          <w:szCs w:val="28"/>
        </w:rPr>
        <w:t xml:space="preserve">Програма </w:t>
      </w:r>
      <w:r>
        <w:rPr>
          <w:rFonts w:ascii="Times New Roman" w:cs="Times New Roman" w:eastAsia="Times New Roman" w:hAnsi="Times New Roman"/>
          <w:b/>
          <w:bCs/>
          <w:sz w:val="28"/>
          <w:szCs w:val="28"/>
        </w:rPr>
        <w:t xml:space="preserve">«Мої опори»</w:t>
      </w:r>
      <w:r>
        <w:rPr>
          <w:rFonts w:ascii="Times New Roman" w:cs="Times New Roman" w:eastAsia="Times New Roman" w:hAnsi="Times New Roman"/>
          <w:sz w:val="28"/>
          <w:szCs w:val="28"/>
        </w:rPr>
        <w:t xml:space="preserve"> пропонує системний, доказово обґрунтований і безпечний підхід до психологічної профілактики в закладі освіти. Вона поєднує просвіту, практичні навички, роботу з батьками, чіткі протоколи реагування й прозору документацію джерел. Очікується, що її впровадження сприятиме формуванню в учнів навичок саморегуляції, стійкості та звернення по допомогу, а в закладі — стабільній системі профілактики. </w:t>
      </w:r>
      <w:r>
        <w:rPr>
          <w:rFonts w:ascii="Times New Roman" w:cs="Times New Roman" w:eastAsia="Times New Roman" w:hAnsi="Times New Roman"/>
          <w:sz w:val="28"/>
          <w:szCs w:val="28"/>
          <w:highlight w:val="yellow"/>
          <w:highlightCs w:val="yellow"/>
        </w:rPr>
        <w:t xml:space="preserve">[За потреби додайте 1–2 речення про результати апробації]</w:t>
      </w:r>
    </w:p>
    <w:p>
      <w:pPr>
        <w:pStyle w:val="Heading1"/>
        <w:pageBreakBefore/>
      </w:pPr>
      <w:r>
        <w:rPr>
          <w:rFonts w:ascii="Times New Roman" w:cs="Times New Roman" w:eastAsia="Times New Roman" w:hAnsi="Times New Roman"/>
          <w:b/>
          <w:bCs/>
          <w:sz w:val="28"/>
          <w:szCs w:val="28"/>
        </w:rPr>
        <w:t xml:space="preserve">СПИСОК ВИКОРИСТАНИХ ДЖЕРЕЛ</w:t>
      </w:r>
    </w:p>
    <w:p>
      <w:pPr>
        <w:spacing w:after="120" w:before="0" w:line="276"/>
        <w:jc w:val="left"/>
      </w:pPr>
      <w:r>
        <w:rPr>
          <w:rFonts w:ascii="Times New Roman" w:cs="Times New Roman" w:eastAsia="Times New Roman" w:hAnsi="Times New Roman"/>
          <w:sz w:val="24"/>
          <w:szCs w:val="24"/>
          <w:highlight w:val="yellow"/>
          <w:highlightCs w:val="yellow"/>
        </w:rPr>
        <w:t xml:space="preserve">[Перед поданням звірте бібліографічні дані (рік, видання, сторінки, DOI) із першоджерелами: список складено за знаннями автора без перевірки в мережі. Це речення видаліть]</w:t>
      </w:r>
    </w:p>
    <w:p>
      <w:pPr>
        <w:pStyle w:val="ListParagraph"/>
        <w:numPr>
          <w:ilvl w:val="0"/>
          <w:numId w:val="4"/>
        </w:numPr>
        <w:spacing w:after="40" w:line="276"/>
        <w:jc w:val="both"/>
      </w:pPr>
      <w:r>
        <w:rPr>
          <w:rFonts w:ascii="Times New Roman" w:cs="Times New Roman" w:eastAsia="Times New Roman" w:hAnsi="Times New Roman"/>
          <w:sz w:val="24"/>
          <w:szCs w:val="24"/>
        </w:rPr>
        <w:t xml:space="preserve">Allen, K., Kern, M. L., Vella-Brodrick, D., Hattie, J., &amp; Waters, L. (2018). What schools need to know about fostering school belonging: A meta-analysis. </w:t>
      </w:r>
      <w:r>
        <w:rPr>
          <w:rFonts w:ascii="Times New Roman" w:cs="Times New Roman" w:eastAsia="Times New Roman" w:hAnsi="Times New Roman"/>
          <w:i/>
          <w:iCs/>
          <w:sz w:val="24"/>
          <w:szCs w:val="24"/>
        </w:rPr>
        <w:t xml:space="preserve">Educational Psychology Review, 30</w:t>
      </w:r>
      <w:r>
        <w:rPr>
          <w:rFonts w:ascii="Times New Roman" w:cs="Times New Roman" w:eastAsia="Times New Roman" w:hAnsi="Times New Roman"/>
          <w:sz w:val="24"/>
          <w:szCs w:val="24"/>
        </w:rPr>
        <w:t xml:space="preserve">, 1–34.</w:t>
      </w:r>
    </w:p>
    <w:p>
      <w:pPr>
        <w:pStyle w:val="ListParagraph"/>
        <w:numPr>
          <w:ilvl w:val="0"/>
          <w:numId w:val="4"/>
        </w:numPr>
        <w:spacing w:after="40" w:line="276"/>
        <w:jc w:val="both"/>
      </w:pPr>
      <w:r>
        <w:rPr>
          <w:rFonts w:ascii="Times New Roman" w:cs="Times New Roman" w:eastAsia="Times New Roman" w:hAnsi="Times New Roman"/>
          <w:sz w:val="24"/>
          <w:szCs w:val="24"/>
        </w:rPr>
        <w:t xml:space="preserve">Bakker, A. B., &amp; Demerouti, E. (2007). The Job Demands-Resources model: State of the art. </w:t>
      </w:r>
      <w:r>
        <w:rPr>
          <w:rFonts w:ascii="Times New Roman" w:cs="Times New Roman" w:eastAsia="Times New Roman" w:hAnsi="Times New Roman"/>
          <w:i/>
          <w:iCs/>
          <w:sz w:val="24"/>
          <w:szCs w:val="24"/>
        </w:rPr>
        <w:t xml:space="preserve">Journal of Managerial Psychology, 22</w:t>
      </w:r>
      <w:r>
        <w:rPr>
          <w:rFonts w:ascii="Times New Roman" w:cs="Times New Roman" w:eastAsia="Times New Roman" w:hAnsi="Times New Roman"/>
          <w:sz w:val="24"/>
          <w:szCs w:val="24"/>
        </w:rPr>
        <w:t xml:space="preserve">(3), 309–328.</w:t>
      </w:r>
    </w:p>
    <w:p>
      <w:pPr>
        <w:pStyle w:val="ListParagraph"/>
        <w:numPr>
          <w:ilvl w:val="0"/>
          <w:numId w:val="4"/>
        </w:numPr>
        <w:spacing w:after="40" w:line="276"/>
        <w:jc w:val="both"/>
      </w:pPr>
      <w:r>
        <w:rPr>
          <w:rFonts w:ascii="Times New Roman" w:cs="Times New Roman" w:eastAsia="Times New Roman" w:hAnsi="Times New Roman"/>
          <w:sz w:val="24"/>
          <w:szCs w:val="24"/>
        </w:rPr>
        <w:t xml:space="preserve">Bandura, A. (1977). Self-efficacy: Toward a unifying theory of behavioral change. </w:t>
      </w:r>
      <w:r>
        <w:rPr>
          <w:rFonts w:ascii="Times New Roman" w:cs="Times New Roman" w:eastAsia="Times New Roman" w:hAnsi="Times New Roman"/>
          <w:i/>
          <w:iCs/>
          <w:sz w:val="24"/>
          <w:szCs w:val="24"/>
        </w:rPr>
        <w:t xml:space="preserve">Psychological Review, 84</w:t>
      </w:r>
      <w:r>
        <w:rPr>
          <w:rFonts w:ascii="Times New Roman" w:cs="Times New Roman" w:eastAsia="Times New Roman" w:hAnsi="Times New Roman"/>
          <w:sz w:val="24"/>
          <w:szCs w:val="24"/>
        </w:rPr>
        <w:t xml:space="preserve">(2), 191–215.</w:t>
      </w:r>
    </w:p>
    <w:p>
      <w:pPr>
        <w:pStyle w:val="ListParagraph"/>
        <w:numPr>
          <w:ilvl w:val="0"/>
          <w:numId w:val="4"/>
        </w:numPr>
        <w:spacing w:after="40" w:line="276"/>
        <w:jc w:val="both"/>
      </w:pPr>
      <w:r>
        <w:rPr>
          <w:rFonts w:ascii="Times New Roman" w:cs="Times New Roman" w:eastAsia="Times New Roman" w:hAnsi="Times New Roman"/>
          <w:sz w:val="24"/>
          <w:szCs w:val="24"/>
        </w:rPr>
        <w:t xml:space="preserve">Barber, B. K. (1996). Parental psychological control: Revisiting a neglected construct. </w:t>
      </w:r>
      <w:r>
        <w:rPr>
          <w:rFonts w:ascii="Times New Roman" w:cs="Times New Roman" w:eastAsia="Times New Roman" w:hAnsi="Times New Roman"/>
          <w:i/>
          <w:iCs/>
          <w:sz w:val="24"/>
          <w:szCs w:val="24"/>
        </w:rPr>
        <w:t xml:space="preserve">Child Development, 67</w:t>
      </w:r>
      <w:r>
        <w:rPr>
          <w:rFonts w:ascii="Times New Roman" w:cs="Times New Roman" w:eastAsia="Times New Roman" w:hAnsi="Times New Roman"/>
          <w:sz w:val="24"/>
          <w:szCs w:val="24"/>
        </w:rPr>
        <w:t xml:space="preserve">(6), 3296–3319.</w:t>
      </w:r>
    </w:p>
    <w:p>
      <w:pPr>
        <w:pStyle w:val="ListParagraph"/>
        <w:numPr>
          <w:ilvl w:val="0"/>
          <w:numId w:val="4"/>
        </w:numPr>
        <w:spacing w:after="40" w:line="276"/>
        <w:jc w:val="both"/>
      </w:pPr>
      <w:r>
        <w:rPr>
          <w:rFonts w:ascii="Times New Roman" w:cs="Times New Roman" w:eastAsia="Times New Roman" w:hAnsi="Times New Roman"/>
          <w:sz w:val="24"/>
          <w:szCs w:val="24"/>
        </w:rPr>
        <w:t xml:space="preserve">Baumeister, R. F., Campbell, J. D., Krueger, J. I., &amp; Vohs, K. D. (2003). Does high self-esteem cause better performance, interpersonal success, happiness, or healthier lifestyles? </w:t>
      </w:r>
      <w:r>
        <w:rPr>
          <w:rFonts w:ascii="Times New Roman" w:cs="Times New Roman" w:eastAsia="Times New Roman" w:hAnsi="Times New Roman"/>
          <w:i/>
          <w:iCs/>
          <w:sz w:val="24"/>
          <w:szCs w:val="24"/>
        </w:rPr>
        <w:t xml:space="preserve">Psychological Science in the Public Interest, 4</w:t>
      </w:r>
      <w:r>
        <w:rPr>
          <w:rFonts w:ascii="Times New Roman" w:cs="Times New Roman" w:eastAsia="Times New Roman" w:hAnsi="Times New Roman"/>
          <w:sz w:val="24"/>
          <w:szCs w:val="24"/>
        </w:rPr>
        <w:t xml:space="preserve">(1), 1–44.</w:t>
      </w:r>
    </w:p>
    <w:p>
      <w:pPr>
        <w:pStyle w:val="ListParagraph"/>
        <w:numPr>
          <w:ilvl w:val="0"/>
          <w:numId w:val="4"/>
        </w:numPr>
        <w:spacing w:after="40" w:line="276"/>
        <w:jc w:val="both"/>
      </w:pPr>
      <w:r>
        <w:rPr>
          <w:rFonts w:ascii="Times New Roman" w:cs="Times New Roman" w:eastAsia="Times New Roman" w:hAnsi="Times New Roman"/>
          <w:sz w:val="24"/>
          <w:szCs w:val="24"/>
        </w:rPr>
        <w:t xml:space="preserve">Baumrind, D. (1991). The influence of parenting style on adolescent competence and substance use. </w:t>
      </w:r>
      <w:r>
        <w:rPr>
          <w:rFonts w:ascii="Times New Roman" w:cs="Times New Roman" w:eastAsia="Times New Roman" w:hAnsi="Times New Roman"/>
          <w:i/>
          <w:iCs/>
          <w:sz w:val="24"/>
          <w:szCs w:val="24"/>
        </w:rPr>
        <w:t xml:space="preserve">Journal of Early Adolescence, 11</w:t>
      </w:r>
      <w:r>
        <w:rPr>
          <w:rFonts w:ascii="Times New Roman" w:cs="Times New Roman" w:eastAsia="Times New Roman" w:hAnsi="Times New Roman"/>
          <w:sz w:val="24"/>
          <w:szCs w:val="24"/>
        </w:rPr>
        <w:t xml:space="preserve">(1), 56–95.</w:t>
      </w:r>
    </w:p>
    <w:p>
      <w:pPr>
        <w:pStyle w:val="ListParagraph"/>
        <w:numPr>
          <w:ilvl w:val="0"/>
          <w:numId w:val="4"/>
        </w:numPr>
        <w:spacing w:after="40" w:line="276"/>
        <w:jc w:val="both"/>
      </w:pPr>
      <w:r>
        <w:rPr>
          <w:rFonts w:ascii="Times New Roman" w:cs="Times New Roman" w:eastAsia="Times New Roman" w:hAnsi="Times New Roman"/>
          <w:sz w:val="24"/>
          <w:szCs w:val="24"/>
        </w:rPr>
        <w:t xml:space="preserve">Beck, A. T., Rush, A. J., Shaw, B. F., &amp; Emery, G. (1979). </w:t>
      </w:r>
      <w:r>
        <w:rPr>
          <w:rFonts w:ascii="Times New Roman" w:cs="Times New Roman" w:eastAsia="Times New Roman" w:hAnsi="Times New Roman"/>
          <w:i/>
          <w:iCs/>
          <w:sz w:val="24"/>
          <w:szCs w:val="24"/>
        </w:rPr>
        <w:t xml:space="preserve">Cognitive Therapy of Depression</w:t>
      </w:r>
      <w:r>
        <w:rPr>
          <w:rFonts w:ascii="Times New Roman" w:cs="Times New Roman" w:eastAsia="Times New Roman" w:hAnsi="Times New Roman"/>
          <w:sz w:val="24"/>
          <w:szCs w:val="24"/>
        </w:rPr>
        <w:t xml:space="preserve">. Guilford Press.</w:t>
      </w:r>
    </w:p>
    <w:p>
      <w:pPr>
        <w:pStyle w:val="ListParagraph"/>
        <w:numPr>
          <w:ilvl w:val="0"/>
          <w:numId w:val="4"/>
        </w:numPr>
        <w:spacing w:after="40" w:line="276"/>
        <w:jc w:val="both"/>
      </w:pPr>
      <w:r>
        <w:rPr>
          <w:rFonts w:ascii="Times New Roman" w:cs="Times New Roman" w:eastAsia="Times New Roman" w:hAnsi="Times New Roman"/>
          <w:sz w:val="24"/>
          <w:szCs w:val="24"/>
        </w:rPr>
        <w:t xml:space="preserve">Bonanno, G. A. (2004). Loss, trauma, and human resilience: Have we underestimated the human capacity to thrive after extremely aversive events? </w:t>
      </w:r>
      <w:r>
        <w:rPr>
          <w:rFonts w:ascii="Times New Roman" w:cs="Times New Roman" w:eastAsia="Times New Roman" w:hAnsi="Times New Roman"/>
          <w:i/>
          <w:iCs/>
          <w:sz w:val="24"/>
          <w:szCs w:val="24"/>
        </w:rPr>
        <w:t xml:space="preserve">American Psychologist, 59</w:t>
      </w:r>
      <w:r>
        <w:rPr>
          <w:rFonts w:ascii="Times New Roman" w:cs="Times New Roman" w:eastAsia="Times New Roman" w:hAnsi="Times New Roman"/>
          <w:sz w:val="24"/>
          <w:szCs w:val="24"/>
        </w:rPr>
        <w:t xml:space="preserve">(1), 20–28.</w:t>
      </w:r>
    </w:p>
    <w:p>
      <w:pPr>
        <w:pStyle w:val="ListParagraph"/>
        <w:numPr>
          <w:ilvl w:val="0"/>
          <w:numId w:val="4"/>
        </w:numPr>
        <w:spacing w:after="40" w:line="276"/>
        <w:jc w:val="both"/>
      </w:pPr>
      <w:r>
        <w:rPr>
          <w:rFonts w:ascii="Times New Roman" w:cs="Times New Roman" w:eastAsia="Times New Roman" w:hAnsi="Times New Roman"/>
          <w:sz w:val="24"/>
          <w:szCs w:val="24"/>
        </w:rPr>
        <w:t xml:space="preserve">Bowlby, J. (1988). </w:t>
      </w:r>
      <w:r>
        <w:rPr>
          <w:rFonts w:ascii="Times New Roman" w:cs="Times New Roman" w:eastAsia="Times New Roman" w:hAnsi="Times New Roman"/>
          <w:i/>
          <w:iCs/>
          <w:sz w:val="24"/>
          <w:szCs w:val="24"/>
        </w:rPr>
        <w:t xml:space="preserve">A Secure Base</w:t>
      </w:r>
      <w:r>
        <w:rPr>
          <w:rFonts w:ascii="Times New Roman" w:cs="Times New Roman" w:eastAsia="Times New Roman" w:hAnsi="Times New Roman"/>
          <w:sz w:val="24"/>
          <w:szCs w:val="24"/>
        </w:rPr>
        <w:t xml:space="preserve">. Basic Books.</w:t>
      </w:r>
    </w:p>
    <w:p>
      <w:pPr>
        <w:pStyle w:val="ListParagraph"/>
        <w:numPr>
          <w:ilvl w:val="0"/>
          <w:numId w:val="4"/>
        </w:numPr>
        <w:spacing w:after="40" w:line="276"/>
        <w:jc w:val="both"/>
      </w:pPr>
      <w:r>
        <w:rPr>
          <w:rFonts w:ascii="Times New Roman" w:cs="Times New Roman" w:eastAsia="Times New Roman" w:hAnsi="Times New Roman"/>
          <w:sz w:val="24"/>
          <w:szCs w:val="24"/>
        </w:rPr>
        <w:t xml:space="preserve">Brummelman, E., Thomaes, S., de Castro, B. O., Overbeek, G., &amp; Bushman, B. J. (2014). “That’s not just beautiful — that’s incredibly beautiful!” </w:t>
      </w:r>
      <w:r>
        <w:rPr>
          <w:rFonts w:ascii="Times New Roman" w:cs="Times New Roman" w:eastAsia="Times New Roman" w:hAnsi="Times New Roman"/>
          <w:i/>
          <w:iCs/>
          <w:sz w:val="24"/>
          <w:szCs w:val="24"/>
        </w:rPr>
        <w:t xml:space="preserve">Psychological Science, 25</w:t>
      </w:r>
      <w:r>
        <w:rPr>
          <w:rFonts w:ascii="Times New Roman" w:cs="Times New Roman" w:eastAsia="Times New Roman" w:hAnsi="Times New Roman"/>
          <w:sz w:val="24"/>
          <w:szCs w:val="24"/>
        </w:rPr>
        <w:t xml:space="preserve">(3), 728–735.</w:t>
      </w:r>
    </w:p>
    <w:p>
      <w:pPr>
        <w:pStyle w:val="ListParagraph"/>
        <w:numPr>
          <w:ilvl w:val="0"/>
          <w:numId w:val="4"/>
        </w:numPr>
        <w:spacing w:after="40" w:line="276"/>
        <w:jc w:val="both"/>
      </w:pPr>
      <w:r>
        <w:rPr>
          <w:rFonts w:ascii="Times New Roman" w:cs="Times New Roman" w:eastAsia="Times New Roman" w:hAnsi="Times New Roman"/>
          <w:sz w:val="24"/>
          <w:szCs w:val="24"/>
        </w:rPr>
        <w:t xml:space="preserve">Brunwasser, S. M., Gillham, J. E., &amp; Kim, E. S. (2009). A meta-analytic review of the Penn Resiliency Program’s effect on depressive symptoms. </w:t>
      </w:r>
      <w:r>
        <w:rPr>
          <w:rFonts w:ascii="Times New Roman" w:cs="Times New Roman" w:eastAsia="Times New Roman" w:hAnsi="Times New Roman"/>
          <w:i/>
          <w:iCs/>
          <w:sz w:val="24"/>
          <w:szCs w:val="24"/>
        </w:rPr>
        <w:t xml:space="preserve">Journal of Consulting and Clinical Psychology, 77</w:t>
      </w:r>
      <w:r>
        <w:rPr>
          <w:rFonts w:ascii="Times New Roman" w:cs="Times New Roman" w:eastAsia="Times New Roman" w:hAnsi="Times New Roman"/>
          <w:sz w:val="24"/>
          <w:szCs w:val="24"/>
        </w:rPr>
        <w:t xml:space="preserve">(6), 1042–1054.</w:t>
      </w:r>
    </w:p>
    <w:p>
      <w:pPr>
        <w:pStyle w:val="ListParagraph"/>
        <w:numPr>
          <w:ilvl w:val="0"/>
          <w:numId w:val="4"/>
        </w:numPr>
        <w:spacing w:after="40" w:line="276"/>
        <w:jc w:val="both"/>
      </w:pPr>
      <w:r>
        <w:rPr>
          <w:rFonts w:ascii="Times New Roman" w:cs="Times New Roman" w:eastAsia="Times New Roman" w:hAnsi="Times New Roman"/>
          <w:sz w:val="24"/>
          <w:szCs w:val="24"/>
        </w:rPr>
        <w:t xml:space="preserve">Carskadon, M. A. (2011). Sleep in adolescents: The perfect storm. </w:t>
      </w:r>
      <w:r>
        <w:rPr>
          <w:rFonts w:ascii="Times New Roman" w:cs="Times New Roman" w:eastAsia="Times New Roman" w:hAnsi="Times New Roman"/>
          <w:i/>
          <w:iCs/>
          <w:sz w:val="24"/>
          <w:szCs w:val="24"/>
        </w:rPr>
        <w:t xml:space="preserve">Pediatric Clinics of North America, 58</w:t>
      </w:r>
      <w:r>
        <w:rPr>
          <w:rFonts w:ascii="Times New Roman" w:cs="Times New Roman" w:eastAsia="Times New Roman" w:hAnsi="Times New Roman"/>
          <w:sz w:val="24"/>
          <w:szCs w:val="24"/>
        </w:rPr>
        <w:t xml:space="preserve">(3), 637–647.</w:t>
      </w:r>
    </w:p>
    <w:p>
      <w:pPr>
        <w:pStyle w:val="ListParagraph"/>
        <w:numPr>
          <w:ilvl w:val="0"/>
          <w:numId w:val="4"/>
        </w:numPr>
        <w:spacing w:after="40" w:line="276"/>
        <w:jc w:val="both"/>
      </w:pPr>
      <w:r>
        <w:rPr>
          <w:rFonts w:ascii="Times New Roman" w:cs="Times New Roman" w:eastAsia="Times New Roman" w:hAnsi="Times New Roman"/>
          <w:sz w:val="24"/>
          <w:szCs w:val="24"/>
        </w:rPr>
        <w:t xml:space="preserve">CASEL. Framework for SEL (casel.org).</w:t>
      </w:r>
    </w:p>
    <w:p>
      <w:pPr>
        <w:pStyle w:val="ListParagraph"/>
        <w:numPr>
          <w:ilvl w:val="0"/>
          <w:numId w:val="4"/>
        </w:numPr>
        <w:spacing w:after="40" w:line="276"/>
        <w:jc w:val="both"/>
      </w:pPr>
      <w:r>
        <w:rPr>
          <w:rFonts w:ascii="Times New Roman" w:cs="Times New Roman" w:eastAsia="Times New Roman" w:hAnsi="Times New Roman"/>
          <w:sz w:val="24"/>
          <w:szCs w:val="24"/>
        </w:rPr>
        <w:t xml:space="preserve">Craske, M. G., Kircanski, K., Zelikowsky, M., et al. (2008). Optimizing inhibitory learning during exposure therapy. </w:t>
      </w:r>
      <w:r>
        <w:rPr>
          <w:rFonts w:ascii="Times New Roman" w:cs="Times New Roman" w:eastAsia="Times New Roman" w:hAnsi="Times New Roman"/>
          <w:i/>
          <w:iCs/>
          <w:sz w:val="24"/>
          <w:szCs w:val="24"/>
        </w:rPr>
        <w:t xml:space="preserve">Behaviour Research and Therapy, 46</w:t>
      </w:r>
      <w:r>
        <w:rPr>
          <w:rFonts w:ascii="Times New Roman" w:cs="Times New Roman" w:eastAsia="Times New Roman" w:hAnsi="Times New Roman"/>
          <w:sz w:val="24"/>
          <w:szCs w:val="24"/>
        </w:rPr>
        <w:t xml:space="preserve">(1), 5–27.</w:t>
      </w:r>
    </w:p>
    <w:p>
      <w:pPr>
        <w:pStyle w:val="ListParagraph"/>
        <w:numPr>
          <w:ilvl w:val="0"/>
          <w:numId w:val="4"/>
        </w:numPr>
        <w:spacing w:after="40" w:line="276"/>
        <w:jc w:val="both"/>
      </w:pPr>
      <w:r>
        <w:rPr>
          <w:rFonts w:ascii="Times New Roman" w:cs="Times New Roman" w:eastAsia="Times New Roman" w:hAnsi="Times New Roman"/>
          <w:sz w:val="24"/>
          <w:szCs w:val="24"/>
        </w:rPr>
        <w:t xml:space="preserve">Crocker, J., &amp; Wolfe, C. T. (2001). Contingencies of self-worth. </w:t>
      </w:r>
      <w:r>
        <w:rPr>
          <w:rFonts w:ascii="Times New Roman" w:cs="Times New Roman" w:eastAsia="Times New Roman" w:hAnsi="Times New Roman"/>
          <w:i/>
          <w:iCs/>
          <w:sz w:val="24"/>
          <w:szCs w:val="24"/>
        </w:rPr>
        <w:t xml:space="preserve">Psychological Review, 108</w:t>
      </w:r>
      <w:r>
        <w:rPr>
          <w:rFonts w:ascii="Times New Roman" w:cs="Times New Roman" w:eastAsia="Times New Roman" w:hAnsi="Times New Roman"/>
          <w:sz w:val="24"/>
          <w:szCs w:val="24"/>
        </w:rPr>
        <w:t xml:space="preserve">(3), 593–623.</w:t>
      </w:r>
    </w:p>
    <w:p>
      <w:pPr>
        <w:pStyle w:val="ListParagraph"/>
        <w:numPr>
          <w:ilvl w:val="0"/>
          <w:numId w:val="4"/>
        </w:numPr>
        <w:spacing w:after="40" w:line="276"/>
        <w:jc w:val="both"/>
      </w:pPr>
      <w:r>
        <w:rPr>
          <w:rFonts w:ascii="Times New Roman" w:cs="Times New Roman" w:eastAsia="Times New Roman" w:hAnsi="Times New Roman"/>
          <w:sz w:val="24"/>
          <w:szCs w:val="24"/>
        </w:rPr>
        <w:t xml:space="preserve">Durlak, J. A., Weissberg, R. P., Dymnicki, A. B., Taylor, R. D., &amp; Schellinger, K. B. (2011). The impact of enhancing students’ social and emotional learning: A meta-analysis of school-based universal interventions. </w:t>
      </w:r>
      <w:r>
        <w:rPr>
          <w:rFonts w:ascii="Times New Roman" w:cs="Times New Roman" w:eastAsia="Times New Roman" w:hAnsi="Times New Roman"/>
          <w:i/>
          <w:iCs/>
          <w:sz w:val="24"/>
          <w:szCs w:val="24"/>
        </w:rPr>
        <w:t xml:space="preserve">Child Development, 82</w:t>
      </w:r>
      <w:r>
        <w:rPr>
          <w:rFonts w:ascii="Times New Roman" w:cs="Times New Roman" w:eastAsia="Times New Roman" w:hAnsi="Times New Roman"/>
          <w:sz w:val="24"/>
          <w:szCs w:val="24"/>
        </w:rPr>
        <w:t xml:space="preserve">(1), 405–432.</w:t>
      </w:r>
    </w:p>
    <w:p>
      <w:pPr>
        <w:pStyle w:val="ListParagraph"/>
        <w:numPr>
          <w:ilvl w:val="0"/>
          <w:numId w:val="4"/>
        </w:numPr>
        <w:spacing w:after="40" w:line="276"/>
        <w:jc w:val="both"/>
      </w:pPr>
      <w:r>
        <w:rPr>
          <w:rFonts w:ascii="Times New Roman" w:cs="Times New Roman" w:eastAsia="Times New Roman" w:hAnsi="Times New Roman"/>
          <w:sz w:val="24"/>
          <w:szCs w:val="24"/>
        </w:rPr>
        <w:t xml:space="preserve">Edmondson, A. (1999). Psychological safety and learning behavior in work teams. </w:t>
      </w:r>
      <w:r>
        <w:rPr>
          <w:rFonts w:ascii="Times New Roman" w:cs="Times New Roman" w:eastAsia="Times New Roman" w:hAnsi="Times New Roman"/>
          <w:i/>
          <w:iCs/>
          <w:sz w:val="24"/>
          <w:szCs w:val="24"/>
        </w:rPr>
        <w:t xml:space="preserve">Administrative Science Quarterly, 44</w:t>
      </w:r>
      <w:r>
        <w:rPr>
          <w:rFonts w:ascii="Times New Roman" w:cs="Times New Roman" w:eastAsia="Times New Roman" w:hAnsi="Times New Roman"/>
          <w:sz w:val="24"/>
          <w:szCs w:val="24"/>
        </w:rPr>
        <w:t xml:space="preserve">(2), 350–383.</w:t>
      </w:r>
    </w:p>
    <w:p>
      <w:pPr>
        <w:pStyle w:val="ListParagraph"/>
        <w:numPr>
          <w:ilvl w:val="0"/>
          <w:numId w:val="4"/>
        </w:numPr>
        <w:spacing w:after="40" w:line="276"/>
        <w:jc w:val="both"/>
      </w:pPr>
      <w:r>
        <w:rPr>
          <w:rFonts w:ascii="Times New Roman" w:cs="Times New Roman" w:eastAsia="Times New Roman" w:hAnsi="Times New Roman"/>
          <w:sz w:val="24"/>
          <w:szCs w:val="24"/>
        </w:rPr>
        <w:t xml:space="preserve">Fisher, R., &amp; Ury, W. (1981). </w:t>
      </w:r>
      <w:r>
        <w:rPr>
          <w:rFonts w:ascii="Times New Roman" w:cs="Times New Roman" w:eastAsia="Times New Roman" w:hAnsi="Times New Roman"/>
          <w:i/>
          <w:iCs/>
          <w:sz w:val="24"/>
          <w:szCs w:val="24"/>
        </w:rPr>
        <w:t xml:space="preserve">Getting to Yes</w:t>
      </w:r>
      <w:r>
        <w:rPr>
          <w:rFonts w:ascii="Times New Roman" w:cs="Times New Roman" w:eastAsia="Times New Roman" w:hAnsi="Times New Roman"/>
          <w:sz w:val="24"/>
          <w:szCs w:val="24"/>
        </w:rPr>
        <w:t xml:space="preserve">. Houghton Mifflin.</w:t>
      </w:r>
    </w:p>
    <w:p>
      <w:pPr>
        <w:pStyle w:val="ListParagraph"/>
        <w:numPr>
          <w:ilvl w:val="0"/>
          <w:numId w:val="4"/>
        </w:numPr>
        <w:spacing w:after="40" w:line="276"/>
        <w:jc w:val="both"/>
      </w:pPr>
      <w:r>
        <w:rPr>
          <w:rFonts w:ascii="Times New Roman" w:cs="Times New Roman" w:eastAsia="Times New Roman" w:hAnsi="Times New Roman"/>
          <w:sz w:val="24"/>
          <w:szCs w:val="24"/>
        </w:rPr>
        <w:t xml:space="preserve">Goodman, R. (1997). The Strengths and Difficulties Questionnaire: A research note. </w:t>
      </w:r>
      <w:r>
        <w:rPr>
          <w:rFonts w:ascii="Times New Roman" w:cs="Times New Roman" w:eastAsia="Times New Roman" w:hAnsi="Times New Roman"/>
          <w:i/>
          <w:iCs/>
          <w:sz w:val="24"/>
          <w:szCs w:val="24"/>
        </w:rPr>
        <w:t xml:space="preserve">Journal of Child Psychology and Psychiatry, 38</w:t>
      </w:r>
      <w:r>
        <w:rPr>
          <w:rFonts w:ascii="Times New Roman" w:cs="Times New Roman" w:eastAsia="Times New Roman" w:hAnsi="Times New Roman"/>
          <w:sz w:val="24"/>
          <w:szCs w:val="24"/>
        </w:rPr>
        <w:t xml:space="preserve">(5), 581–586.</w:t>
      </w:r>
    </w:p>
    <w:p>
      <w:pPr>
        <w:pStyle w:val="ListParagraph"/>
        <w:numPr>
          <w:ilvl w:val="0"/>
          <w:numId w:val="4"/>
        </w:numPr>
        <w:spacing w:after="40" w:line="276"/>
        <w:jc w:val="both"/>
      </w:pPr>
      <w:r>
        <w:rPr>
          <w:rFonts w:ascii="Times New Roman" w:cs="Times New Roman" w:eastAsia="Times New Roman" w:hAnsi="Times New Roman"/>
          <w:sz w:val="24"/>
          <w:szCs w:val="24"/>
        </w:rPr>
        <w:t xml:space="preserve">Gottman, J. M., Katz, L. F., &amp; Hooven, C. (1996). Parental meta-emotion philosophy and the emotional life of families. </w:t>
      </w:r>
      <w:r>
        <w:rPr>
          <w:rFonts w:ascii="Times New Roman" w:cs="Times New Roman" w:eastAsia="Times New Roman" w:hAnsi="Times New Roman"/>
          <w:i/>
          <w:iCs/>
          <w:sz w:val="24"/>
          <w:szCs w:val="24"/>
        </w:rPr>
        <w:t xml:space="preserve">Journal of Family Psychology, 10</w:t>
      </w:r>
      <w:r>
        <w:rPr>
          <w:rFonts w:ascii="Times New Roman" w:cs="Times New Roman" w:eastAsia="Times New Roman" w:hAnsi="Times New Roman"/>
          <w:sz w:val="24"/>
          <w:szCs w:val="24"/>
        </w:rPr>
        <w:t xml:space="preserve">(3), 243–268.</w:t>
      </w:r>
    </w:p>
    <w:p>
      <w:pPr>
        <w:pStyle w:val="ListParagraph"/>
        <w:numPr>
          <w:ilvl w:val="0"/>
          <w:numId w:val="4"/>
        </w:numPr>
        <w:spacing w:after="40" w:line="276"/>
        <w:jc w:val="both"/>
      </w:pPr>
      <w:r>
        <w:rPr>
          <w:rFonts w:ascii="Times New Roman" w:cs="Times New Roman" w:eastAsia="Times New Roman" w:hAnsi="Times New Roman"/>
          <w:sz w:val="24"/>
          <w:szCs w:val="24"/>
        </w:rPr>
        <w:t xml:space="preserve">Greenberger, D., &amp; Padesky, C. A. (1995). </w:t>
      </w:r>
      <w:r>
        <w:rPr>
          <w:rFonts w:ascii="Times New Roman" w:cs="Times New Roman" w:eastAsia="Times New Roman" w:hAnsi="Times New Roman"/>
          <w:i/>
          <w:iCs/>
          <w:sz w:val="24"/>
          <w:szCs w:val="24"/>
        </w:rPr>
        <w:t xml:space="preserve">Mind Over Mood</w:t>
      </w:r>
      <w:r>
        <w:rPr>
          <w:rFonts w:ascii="Times New Roman" w:cs="Times New Roman" w:eastAsia="Times New Roman" w:hAnsi="Times New Roman"/>
          <w:sz w:val="24"/>
          <w:szCs w:val="24"/>
        </w:rPr>
        <w:t xml:space="preserve">. Guilford Press.</w:t>
      </w:r>
    </w:p>
    <w:p>
      <w:pPr>
        <w:pStyle w:val="ListParagraph"/>
        <w:numPr>
          <w:ilvl w:val="0"/>
          <w:numId w:val="4"/>
        </w:numPr>
        <w:spacing w:after="40" w:line="276"/>
        <w:jc w:val="both"/>
      </w:pPr>
      <w:r>
        <w:rPr>
          <w:rFonts w:ascii="Times New Roman" w:cs="Times New Roman" w:eastAsia="Times New Roman" w:hAnsi="Times New Roman"/>
          <w:sz w:val="24"/>
          <w:szCs w:val="24"/>
        </w:rPr>
        <w:t xml:space="preserve">Gross, J. J. (1998). The emerging field of emotion regulation: An integrative review. </w:t>
      </w:r>
      <w:r>
        <w:rPr>
          <w:rFonts w:ascii="Times New Roman" w:cs="Times New Roman" w:eastAsia="Times New Roman" w:hAnsi="Times New Roman"/>
          <w:i/>
          <w:iCs/>
          <w:sz w:val="24"/>
          <w:szCs w:val="24"/>
        </w:rPr>
        <w:t xml:space="preserve">Review of General Psychology, 2</w:t>
      </w:r>
      <w:r>
        <w:rPr>
          <w:rFonts w:ascii="Times New Roman" w:cs="Times New Roman" w:eastAsia="Times New Roman" w:hAnsi="Times New Roman"/>
          <w:sz w:val="24"/>
          <w:szCs w:val="24"/>
        </w:rPr>
        <w:t xml:space="preserve">(3), 271–299.</w:t>
      </w:r>
    </w:p>
    <w:p>
      <w:pPr>
        <w:pStyle w:val="ListParagraph"/>
        <w:numPr>
          <w:ilvl w:val="0"/>
          <w:numId w:val="4"/>
        </w:numPr>
        <w:spacing w:after="40" w:line="276"/>
        <w:jc w:val="both"/>
      </w:pPr>
      <w:r>
        <w:rPr>
          <w:rFonts w:ascii="Times New Roman" w:cs="Times New Roman" w:eastAsia="Times New Roman" w:hAnsi="Times New Roman"/>
          <w:sz w:val="24"/>
          <w:szCs w:val="24"/>
        </w:rPr>
        <w:t xml:space="preserve">Gross, J. J., &amp; John, O. P. (2003). Individual differences in two emotion regulation processes. </w:t>
      </w:r>
      <w:r>
        <w:rPr>
          <w:rFonts w:ascii="Times New Roman" w:cs="Times New Roman" w:eastAsia="Times New Roman" w:hAnsi="Times New Roman"/>
          <w:i/>
          <w:iCs/>
          <w:sz w:val="24"/>
          <w:szCs w:val="24"/>
        </w:rPr>
        <w:t xml:space="preserve">Journal of Personality and Social Psychology, 85</w:t>
      </w:r>
      <w:r>
        <w:rPr>
          <w:rFonts w:ascii="Times New Roman" w:cs="Times New Roman" w:eastAsia="Times New Roman" w:hAnsi="Times New Roman"/>
          <w:sz w:val="24"/>
          <w:szCs w:val="24"/>
        </w:rPr>
        <w:t xml:space="preserve">(2), 348–362.</w:t>
      </w:r>
    </w:p>
    <w:p>
      <w:pPr>
        <w:pStyle w:val="ListParagraph"/>
        <w:numPr>
          <w:ilvl w:val="0"/>
          <w:numId w:val="4"/>
        </w:numPr>
        <w:spacing w:after="40" w:line="276"/>
        <w:jc w:val="both"/>
      </w:pPr>
      <w:r>
        <w:rPr>
          <w:rFonts w:ascii="Times New Roman" w:cs="Times New Roman" w:eastAsia="Times New Roman" w:hAnsi="Times New Roman"/>
          <w:sz w:val="24"/>
          <w:szCs w:val="24"/>
        </w:rPr>
        <w:t xml:space="preserve">Hale, L., &amp; Guan, S. (2015). Screen time and sleep among school-aged children and adolescents: A systematic literature review. </w:t>
      </w:r>
      <w:r>
        <w:rPr>
          <w:rFonts w:ascii="Times New Roman" w:cs="Times New Roman" w:eastAsia="Times New Roman" w:hAnsi="Times New Roman"/>
          <w:i/>
          <w:iCs/>
          <w:sz w:val="24"/>
          <w:szCs w:val="24"/>
        </w:rPr>
        <w:t xml:space="preserve">Sleep Medicine Reviews, 21</w:t>
      </w:r>
      <w:r>
        <w:rPr>
          <w:rFonts w:ascii="Times New Roman" w:cs="Times New Roman" w:eastAsia="Times New Roman" w:hAnsi="Times New Roman"/>
          <w:sz w:val="24"/>
          <w:szCs w:val="24"/>
        </w:rPr>
        <w:t xml:space="preserve">, 50–58.</w:t>
      </w:r>
    </w:p>
    <w:p>
      <w:pPr>
        <w:pStyle w:val="ListParagraph"/>
        <w:numPr>
          <w:ilvl w:val="0"/>
          <w:numId w:val="4"/>
        </w:numPr>
        <w:spacing w:after="40" w:line="276"/>
        <w:jc w:val="both"/>
      </w:pPr>
      <w:r>
        <w:rPr>
          <w:rFonts w:ascii="Times New Roman" w:cs="Times New Roman" w:eastAsia="Times New Roman" w:hAnsi="Times New Roman"/>
          <w:sz w:val="24"/>
          <w:szCs w:val="24"/>
        </w:rPr>
        <w:t xml:space="preserve">Harter, S. (1999). </w:t>
      </w:r>
      <w:r>
        <w:rPr>
          <w:rFonts w:ascii="Times New Roman" w:cs="Times New Roman" w:eastAsia="Times New Roman" w:hAnsi="Times New Roman"/>
          <w:i/>
          <w:iCs/>
          <w:sz w:val="24"/>
          <w:szCs w:val="24"/>
        </w:rPr>
        <w:t xml:space="preserve">The Construction of the Self</w:t>
      </w:r>
      <w:r>
        <w:rPr>
          <w:rFonts w:ascii="Times New Roman" w:cs="Times New Roman" w:eastAsia="Times New Roman" w:hAnsi="Times New Roman"/>
          <w:sz w:val="24"/>
          <w:szCs w:val="24"/>
        </w:rPr>
        <w:t xml:space="preserve">. Guilford Press.</w:t>
      </w:r>
    </w:p>
    <w:p>
      <w:pPr>
        <w:pStyle w:val="ListParagraph"/>
        <w:numPr>
          <w:ilvl w:val="0"/>
          <w:numId w:val="4"/>
        </w:numPr>
        <w:spacing w:after="40" w:line="276"/>
        <w:jc w:val="both"/>
      </w:pPr>
      <w:r>
        <w:rPr>
          <w:rFonts w:ascii="Times New Roman" w:cs="Times New Roman" w:eastAsia="Times New Roman" w:hAnsi="Times New Roman"/>
          <w:sz w:val="24"/>
          <w:szCs w:val="24"/>
        </w:rPr>
        <w:t xml:space="preserve">Hayes, S. C., Strosahl, K. D., &amp; Wilson, K. G. (1999). </w:t>
      </w:r>
      <w:r>
        <w:rPr>
          <w:rFonts w:ascii="Times New Roman" w:cs="Times New Roman" w:eastAsia="Times New Roman" w:hAnsi="Times New Roman"/>
          <w:i/>
          <w:iCs/>
          <w:sz w:val="24"/>
          <w:szCs w:val="24"/>
        </w:rPr>
        <w:t xml:space="preserve">Acceptance and Commitment Therapy</w:t>
      </w:r>
      <w:r>
        <w:rPr>
          <w:rFonts w:ascii="Times New Roman" w:cs="Times New Roman" w:eastAsia="Times New Roman" w:hAnsi="Times New Roman"/>
          <w:sz w:val="24"/>
          <w:szCs w:val="24"/>
        </w:rPr>
        <w:t xml:space="preserve">. Guilford Press.</w:t>
      </w:r>
    </w:p>
    <w:p>
      <w:pPr>
        <w:pStyle w:val="ListParagraph"/>
        <w:numPr>
          <w:ilvl w:val="0"/>
          <w:numId w:val="4"/>
        </w:numPr>
        <w:spacing w:after="40" w:line="276"/>
        <w:jc w:val="both"/>
      </w:pPr>
      <w:r>
        <w:rPr>
          <w:rFonts w:ascii="Times New Roman" w:cs="Times New Roman" w:eastAsia="Times New Roman" w:hAnsi="Times New Roman"/>
          <w:sz w:val="24"/>
          <w:szCs w:val="24"/>
        </w:rPr>
        <w:t xml:space="preserve">Hill, A. P., &amp; Curran, T. (2016). Multidimensional perfectionism and burnout: A meta-analysis. </w:t>
      </w:r>
      <w:r>
        <w:rPr>
          <w:rFonts w:ascii="Times New Roman" w:cs="Times New Roman" w:eastAsia="Times New Roman" w:hAnsi="Times New Roman"/>
          <w:i/>
          <w:iCs/>
          <w:sz w:val="24"/>
          <w:szCs w:val="24"/>
        </w:rPr>
        <w:t xml:space="preserve">Personality and Social Psychology Review, 20</w:t>
      </w:r>
      <w:r>
        <w:rPr>
          <w:rFonts w:ascii="Times New Roman" w:cs="Times New Roman" w:eastAsia="Times New Roman" w:hAnsi="Times New Roman"/>
          <w:sz w:val="24"/>
          <w:szCs w:val="24"/>
        </w:rPr>
        <w:t xml:space="preserve">(3), 269–288.</w:t>
      </w:r>
    </w:p>
    <w:p>
      <w:pPr>
        <w:pStyle w:val="ListParagraph"/>
        <w:numPr>
          <w:ilvl w:val="0"/>
          <w:numId w:val="4"/>
        </w:numPr>
        <w:spacing w:after="40" w:line="276"/>
        <w:jc w:val="both"/>
      </w:pPr>
      <w:r>
        <w:rPr>
          <w:rFonts w:ascii="Times New Roman" w:cs="Times New Roman" w:eastAsia="Times New Roman" w:hAnsi="Times New Roman"/>
          <w:sz w:val="24"/>
          <w:szCs w:val="24"/>
        </w:rPr>
        <w:t xml:space="preserve">Hobfoll, S. E. (1989). Conservation of resources: A new attempt at conceptualizing stress. </w:t>
      </w:r>
      <w:r>
        <w:rPr>
          <w:rFonts w:ascii="Times New Roman" w:cs="Times New Roman" w:eastAsia="Times New Roman" w:hAnsi="Times New Roman"/>
          <w:i/>
          <w:iCs/>
          <w:sz w:val="24"/>
          <w:szCs w:val="24"/>
        </w:rPr>
        <w:t xml:space="preserve">American Psychologist, 44</w:t>
      </w:r>
      <w:r>
        <w:rPr>
          <w:rFonts w:ascii="Times New Roman" w:cs="Times New Roman" w:eastAsia="Times New Roman" w:hAnsi="Times New Roman"/>
          <w:sz w:val="24"/>
          <w:szCs w:val="24"/>
        </w:rPr>
        <w:t xml:space="preserve">(3), 513–524.</w:t>
      </w:r>
    </w:p>
    <w:p>
      <w:pPr>
        <w:pStyle w:val="ListParagraph"/>
        <w:numPr>
          <w:ilvl w:val="0"/>
          <w:numId w:val="4"/>
        </w:numPr>
        <w:spacing w:after="40" w:line="276"/>
        <w:jc w:val="both"/>
      </w:pPr>
      <w:r>
        <w:rPr>
          <w:rFonts w:ascii="Times New Roman" w:cs="Times New Roman" w:eastAsia="Times New Roman" w:hAnsi="Times New Roman"/>
          <w:sz w:val="24"/>
          <w:szCs w:val="24"/>
        </w:rPr>
        <w:t xml:space="preserve">Hobfoll, S. E., Watson, P., Bell, C. C., et al. (2007). Five essential elements of immediate and mid-term mass trauma intervention: Empirical evidence. </w:t>
      </w:r>
      <w:r>
        <w:rPr>
          <w:rFonts w:ascii="Times New Roman" w:cs="Times New Roman" w:eastAsia="Times New Roman" w:hAnsi="Times New Roman"/>
          <w:i/>
          <w:iCs/>
          <w:sz w:val="24"/>
          <w:szCs w:val="24"/>
        </w:rPr>
        <w:t xml:space="preserve">Psychiatry, 70</w:t>
      </w:r>
      <w:r>
        <w:rPr>
          <w:rFonts w:ascii="Times New Roman" w:cs="Times New Roman" w:eastAsia="Times New Roman" w:hAnsi="Times New Roman"/>
          <w:sz w:val="24"/>
          <w:szCs w:val="24"/>
        </w:rPr>
        <w:t xml:space="preserve">(4), 283–315.</w:t>
      </w:r>
    </w:p>
    <w:p>
      <w:pPr>
        <w:pStyle w:val="ListParagraph"/>
        <w:numPr>
          <w:ilvl w:val="0"/>
          <w:numId w:val="4"/>
        </w:numPr>
        <w:spacing w:after="40" w:line="276"/>
        <w:jc w:val="both"/>
      </w:pPr>
      <w:r>
        <w:rPr>
          <w:rFonts w:ascii="Times New Roman" w:cs="Times New Roman" w:eastAsia="Times New Roman" w:hAnsi="Times New Roman"/>
          <w:sz w:val="24"/>
          <w:szCs w:val="24"/>
        </w:rPr>
        <w:t xml:space="preserve">Hoffman, M. L. (2000). </w:t>
      </w:r>
      <w:r>
        <w:rPr>
          <w:rFonts w:ascii="Times New Roman" w:cs="Times New Roman" w:eastAsia="Times New Roman" w:hAnsi="Times New Roman"/>
          <w:i/>
          <w:iCs/>
          <w:sz w:val="24"/>
          <w:szCs w:val="24"/>
        </w:rPr>
        <w:t xml:space="preserve">Empathy and Moral Development: Implications for Caring and Justice</w:t>
      </w:r>
      <w:r>
        <w:rPr>
          <w:rFonts w:ascii="Times New Roman" w:cs="Times New Roman" w:eastAsia="Times New Roman" w:hAnsi="Times New Roman"/>
          <w:sz w:val="24"/>
          <w:szCs w:val="24"/>
        </w:rPr>
        <w:t xml:space="preserve">. Cambridge University Press.</w:t>
      </w:r>
    </w:p>
    <w:p>
      <w:pPr>
        <w:pStyle w:val="ListParagraph"/>
        <w:numPr>
          <w:ilvl w:val="0"/>
          <w:numId w:val="4"/>
        </w:numPr>
        <w:spacing w:after="40" w:line="276"/>
        <w:jc w:val="both"/>
      </w:pPr>
      <w:r>
        <w:rPr>
          <w:rFonts w:ascii="Times New Roman" w:cs="Times New Roman" w:eastAsia="Times New Roman" w:hAnsi="Times New Roman"/>
          <w:sz w:val="24"/>
          <w:szCs w:val="24"/>
        </w:rPr>
        <w:t xml:space="preserve">Hofmann, S. G., Asnaani, A., Vonk, I. J. J., Sawyer, A. T., &amp; Fang, A. (2012). The efficacy of cognitive behavioral therapy: A review of meta-analyses. </w:t>
      </w:r>
      <w:r>
        <w:rPr>
          <w:rFonts w:ascii="Times New Roman" w:cs="Times New Roman" w:eastAsia="Times New Roman" w:hAnsi="Times New Roman"/>
          <w:i/>
          <w:iCs/>
          <w:sz w:val="24"/>
          <w:szCs w:val="24"/>
        </w:rPr>
        <w:t xml:space="preserve">Cognitive Therapy and Research, 36</w:t>
      </w:r>
      <w:r>
        <w:rPr>
          <w:rFonts w:ascii="Times New Roman" w:cs="Times New Roman" w:eastAsia="Times New Roman" w:hAnsi="Times New Roman"/>
          <w:sz w:val="24"/>
          <w:szCs w:val="24"/>
        </w:rPr>
        <w:t xml:space="preserve">(5), 427–440.</w:t>
      </w:r>
    </w:p>
    <w:p>
      <w:pPr>
        <w:pStyle w:val="ListParagraph"/>
        <w:numPr>
          <w:ilvl w:val="0"/>
          <w:numId w:val="4"/>
        </w:numPr>
        <w:spacing w:after="40" w:line="276"/>
        <w:jc w:val="both"/>
      </w:pPr>
      <w:r>
        <w:rPr>
          <w:rFonts w:ascii="Times New Roman" w:cs="Times New Roman" w:eastAsia="Times New Roman" w:hAnsi="Times New Roman"/>
          <w:sz w:val="24"/>
          <w:szCs w:val="24"/>
        </w:rPr>
        <w:t xml:space="preserve">Inter-Agency Standing Committee (IASC) (2007). </w:t>
      </w:r>
      <w:r>
        <w:rPr>
          <w:rFonts w:ascii="Times New Roman" w:cs="Times New Roman" w:eastAsia="Times New Roman" w:hAnsi="Times New Roman"/>
          <w:i/>
          <w:iCs/>
          <w:sz w:val="24"/>
          <w:szCs w:val="24"/>
        </w:rPr>
        <w:t xml:space="preserve">IASC Guidelines on Mental Health and Psychosocial Support in Emergency Settings</w:t>
      </w:r>
      <w:r>
        <w:rPr>
          <w:rFonts w:ascii="Times New Roman" w:cs="Times New Roman" w:eastAsia="Times New Roman" w:hAnsi="Times New Roman"/>
          <w:sz w:val="24"/>
          <w:szCs w:val="24"/>
        </w:rPr>
        <w:t xml:space="preserve">. IASC.</w:t>
      </w:r>
    </w:p>
    <w:p>
      <w:pPr>
        <w:pStyle w:val="ListParagraph"/>
        <w:numPr>
          <w:ilvl w:val="0"/>
          <w:numId w:val="4"/>
        </w:numPr>
        <w:spacing w:after="40" w:line="276"/>
        <w:jc w:val="both"/>
      </w:pPr>
      <w:r>
        <w:rPr>
          <w:rFonts w:ascii="Times New Roman" w:cs="Times New Roman" w:eastAsia="Times New Roman" w:hAnsi="Times New Roman"/>
          <w:sz w:val="24"/>
          <w:szCs w:val="24"/>
        </w:rPr>
        <w:t xml:space="preserve">Johnson, D. W., &amp; Johnson, R. T. (1996). Conflict resolution and peer mediation programs in elementary and secondary schools: A review of the research. </w:t>
      </w:r>
      <w:r>
        <w:rPr>
          <w:rFonts w:ascii="Times New Roman" w:cs="Times New Roman" w:eastAsia="Times New Roman" w:hAnsi="Times New Roman"/>
          <w:i/>
          <w:iCs/>
          <w:sz w:val="24"/>
          <w:szCs w:val="24"/>
        </w:rPr>
        <w:t xml:space="preserve">Review of Educational Research, 66</w:t>
      </w:r>
      <w:r>
        <w:rPr>
          <w:rFonts w:ascii="Times New Roman" w:cs="Times New Roman" w:eastAsia="Times New Roman" w:hAnsi="Times New Roman"/>
          <w:sz w:val="24"/>
          <w:szCs w:val="24"/>
        </w:rPr>
        <w:t xml:space="preserve">(4), 459–506.</w:t>
      </w:r>
    </w:p>
    <w:p>
      <w:pPr>
        <w:pStyle w:val="ListParagraph"/>
        <w:numPr>
          <w:ilvl w:val="0"/>
          <w:numId w:val="4"/>
        </w:numPr>
        <w:spacing w:after="40" w:line="276"/>
        <w:jc w:val="both"/>
      </w:pPr>
      <w:r>
        <w:rPr>
          <w:rFonts w:ascii="Times New Roman" w:cs="Times New Roman" w:eastAsia="Times New Roman" w:hAnsi="Times New Roman"/>
          <w:sz w:val="24"/>
          <w:szCs w:val="24"/>
        </w:rPr>
        <w:t xml:space="preserve">Lilienfeld, S. O., Wood, J. M., &amp; Garb, H. N. (2000). The scientific status of projective techniques. </w:t>
      </w:r>
      <w:r>
        <w:rPr>
          <w:rFonts w:ascii="Times New Roman" w:cs="Times New Roman" w:eastAsia="Times New Roman" w:hAnsi="Times New Roman"/>
          <w:i/>
          <w:iCs/>
          <w:sz w:val="24"/>
          <w:szCs w:val="24"/>
        </w:rPr>
        <w:t xml:space="preserve">Psychological Science in the Public Interest, 1</w:t>
      </w:r>
      <w:r>
        <w:rPr>
          <w:rFonts w:ascii="Times New Roman" w:cs="Times New Roman" w:eastAsia="Times New Roman" w:hAnsi="Times New Roman"/>
          <w:sz w:val="24"/>
          <w:szCs w:val="24"/>
        </w:rPr>
        <w:t xml:space="preserve">(2), 27–66.</w:t>
      </w:r>
    </w:p>
    <w:p>
      <w:pPr>
        <w:pStyle w:val="ListParagraph"/>
        <w:numPr>
          <w:ilvl w:val="0"/>
          <w:numId w:val="4"/>
        </w:numPr>
        <w:spacing w:after="40" w:line="276"/>
        <w:jc w:val="both"/>
      </w:pPr>
      <w:r>
        <w:rPr>
          <w:rFonts w:ascii="Times New Roman" w:cs="Times New Roman" w:eastAsia="Times New Roman" w:hAnsi="Times New Roman"/>
          <w:sz w:val="24"/>
          <w:szCs w:val="24"/>
        </w:rPr>
        <w:t xml:space="preserve">Luthar, S. S., Cicchetti, D., &amp; Becker, B. (2000). The construct of resilience: A critical evaluation and guidelines for future work. </w:t>
      </w:r>
      <w:r>
        <w:rPr>
          <w:rFonts w:ascii="Times New Roman" w:cs="Times New Roman" w:eastAsia="Times New Roman" w:hAnsi="Times New Roman"/>
          <w:i/>
          <w:iCs/>
          <w:sz w:val="24"/>
          <w:szCs w:val="24"/>
        </w:rPr>
        <w:t xml:space="preserve">Child Development, 71</w:t>
      </w:r>
      <w:r>
        <w:rPr>
          <w:rFonts w:ascii="Times New Roman" w:cs="Times New Roman" w:eastAsia="Times New Roman" w:hAnsi="Times New Roman"/>
          <w:sz w:val="24"/>
          <w:szCs w:val="24"/>
        </w:rPr>
        <w:t xml:space="preserve">(3), 543–562.</w:t>
      </w:r>
    </w:p>
    <w:p>
      <w:pPr>
        <w:pStyle w:val="ListParagraph"/>
        <w:numPr>
          <w:ilvl w:val="0"/>
          <w:numId w:val="4"/>
        </w:numPr>
        <w:spacing w:after="40" w:line="276"/>
        <w:jc w:val="both"/>
      </w:pPr>
      <w:r>
        <w:rPr>
          <w:rFonts w:ascii="Times New Roman" w:cs="Times New Roman" w:eastAsia="Times New Roman" w:hAnsi="Times New Roman"/>
          <w:sz w:val="24"/>
          <w:szCs w:val="24"/>
        </w:rPr>
        <w:t xml:space="preserve">Masten, A. S. (2001). Ordinary magic: Resilience processes in development. </w:t>
      </w:r>
      <w:r>
        <w:rPr>
          <w:rFonts w:ascii="Times New Roman" w:cs="Times New Roman" w:eastAsia="Times New Roman" w:hAnsi="Times New Roman"/>
          <w:i/>
          <w:iCs/>
          <w:sz w:val="24"/>
          <w:szCs w:val="24"/>
        </w:rPr>
        <w:t xml:space="preserve">American Psychologist, 56</w:t>
      </w:r>
      <w:r>
        <w:rPr>
          <w:rFonts w:ascii="Times New Roman" w:cs="Times New Roman" w:eastAsia="Times New Roman" w:hAnsi="Times New Roman"/>
          <w:sz w:val="24"/>
          <w:szCs w:val="24"/>
        </w:rPr>
        <w:t xml:space="preserve">(3), 227–238.</w:t>
      </w:r>
    </w:p>
    <w:p>
      <w:pPr>
        <w:pStyle w:val="ListParagraph"/>
        <w:numPr>
          <w:ilvl w:val="0"/>
          <w:numId w:val="4"/>
        </w:numPr>
        <w:spacing w:after="40" w:line="276"/>
        <w:jc w:val="both"/>
      </w:pPr>
      <w:r>
        <w:rPr>
          <w:rFonts w:ascii="Times New Roman" w:cs="Times New Roman" w:eastAsia="Times New Roman" w:hAnsi="Times New Roman"/>
          <w:sz w:val="24"/>
          <w:szCs w:val="24"/>
        </w:rPr>
        <w:t xml:space="preserve">McEwen, B. S. (1998). Protective and damaging effects of stress mediators. </w:t>
      </w:r>
      <w:r>
        <w:rPr>
          <w:rFonts w:ascii="Times New Roman" w:cs="Times New Roman" w:eastAsia="Times New Roman" w:hAnsi="Times New Roman"/>
          <w:i/>
          <w:iCs/>
          <w:sz w:val="24"/>
          <w:szCs w:val="24"/>
        </w:rPr>
        <w:t xml:space="preserve">New England Journal of Medicine, 338</w:t>
      </w:r>
      <w:r>
        <w:rPr>
          <w:rFonts w:ascii="Times New Roman" w:cs="Times New Roman" w:eastAsia="Times New Roman" w:hAnsi="Times New Roman"/>
          <w:sz w:val="24"/>
          <w:szCs w:val="24"/>
        </w:rPr>
        <w:t xml:space="preserve">(3), 171–179.</w:t>
      </w:r>
    </w:p>
    <w:p>
      <w:pPr>
        <w:pStyle w:val="ListParagraph"/>
        <w:numPr>
          <w:ilvl w:val="0"/>
          <w:numId w:val="4"/>
        </w:numPr>
        <w:spacing w:after="40" w:line="276"/>
        <w:jc w:val="both"/>
      </w:pPr>
      <w:r>
        <w:rPr>
          <w:rFonts w:ascii="Times New Roman" w:cs="Times New Roman" w:eastAsia="Times New Roman" w:hAnsi="Times New Roman"/>
          <w:sz w:val="24"/>
          <w:szCs w:val="24"/>
        </w:rPr>
        <w:t xml:space="preserve">Mueller, C. M., &amp; Dweck, C. S. (1998). Praise for intelligence can undermine children’s motivation and performance. </w:t>
      </w:r>
      <w:r>
        <w:rPr>
          <w:rFonts w:ascii="Times New Roman" w:cs="Times New Roman" w:eastAsia="Times New Roman" w:hAnsi="Times New Roman"/>
          <w:i/>
          <w:iCs/>
          <w:sz w:val="24"/>
          <w:szCs w:val="24"/>
        </w:rPr>
        <w:t xml:space="preserve">Journal of Personality and Social Psychology, 75</w:t>
      </w:r>
      <w:r>
        <w:rPr>
          <w:rFonts w:ascii="Times New Roman" w:cs="Times New Roman" w:eastAsia="Times New Roman" w:hAnsi="Times New Roman"/>
          <w:sz w:val="24"/>
          <w:szCs w:val="24"/>
        </w:rPr>
        <w:t xml:space="preserve">(1), 33–52.</w:t>
      </w:r>
    </w:p>
    <w:p>
      <w:pPr>
        <w:pStyle w:val="ListParagraph"/>
        <w:numPr>
          <w:ilvl w:val="0"/>
          <w:numId w:val="4"/>
        </w:numPr>
        <w:spacing w:after="40" w:line="276"/>
        <w:jc w:val="both"/>
      </w:pPr>
      <w:r>
        <w:rPr>
          <w:rFonts w:ascii="Times New Roman" w:cs="Times New Roman" w:eastAsia="Times New Roman" w:hAnsi="Times New Roman"/>
          <w:sz w:val="24"/>
          <w:szCs w:val="24"/>
        </w:rPr>
        <w:t xml:space="preserve">Neff, K. D. (2003). Self-compassion: An alternative conceptualization of a healthy attitude toward oneself. </w:t>
      </w:r>
      <w:r>
        <w:rPr>
          <w:rFonts w:ascii="Times New Roman" w:cs="Times New Roman" w:eastAsia="Times New Roman" w:hAnsi="Times New Roman"/>
          <w:i/>
          <w:iCs/>
          <w:sz w:val="24"/>
          <w:szCs w:val="24"/>
        </w:rPr>
        <w:t xml:space="preserve">Self and Identity, 2</w:t>
      </w:r>
      <w:r>
        <w:rPr>
          <w:rFonts w:ascii="Times New Roman" w:cs="Times New Roman" w:eastAsia="Times New Roman" w:hAnsi="Times New Roman"/>
          <w:sz w:val="24"/>
          <w:szCs w:val="24"/>
        </w:rPr>
        <w:t xml:space="preserve">(2), 85–101.</w:t>
      </w:r>
    </w:p>
    <w:p>
      <w:pPr>
        <w:pStyle w:val="ListParagraph"/>
        <w:numPr>
          <w:ilvl w:val="0"/>
          <w:numId w:val="4"/>
        </w:numPr>
        <w:spacing w:after="40" w:line="276"/>
        <w:jc w:val="both"/>
      </w:pPr>
      <w:r>
        <w:rPr>
          <w:rFonts w:ascii="Times New Roman" w:cs="Times New Roman" w:eastAsia="Times New Roman" w:hAnsi="Times New Roman"/>
          <w:sz w:val="24"/>
          <w:szCs w:val="24"/>
        </w:rPr>
        <w:t xml:space="preserve">Neff, K. D., &amp; Vonk, R. (2009). Self-compassion versus global self-esteem. </w:t>
      </w:r>
      <w:r>
        <w:rPr>
          <w:rFonts w:ascii="Times New Roman" w:cs="Times New Roman" w:eastAsia="Times New Roman" w:hAnsi="Times New Roman"/>
          <w:i/>
          <w:iCs/>
          <w:sz w:val="24"/>
          <w:szCs w:val="24"/>
        </w:rPr>
        <w:t xml:space="preserve">Journal of Personality, 77</w:t>
      </w:r>
      <w:r>
        <w:rPr>
          <w:rFonts w:ascii="Times New Roman" w:cs="Times New Roman" w:eastAsia="Times New Roman" w:hAnsi="Times New Roman"/>
          <w:sz w:val="24"/>
          <w:szCs w:val="24"/>
        </w:rPr>
        <w:t xml:space="preserve">(1), 23–50.</w:t>
      </w:r>
    </w:p>
    <w:p>
      <w:pPr>
        <w:pStyle w:val="ListParagraph"/>
        <w:numPr>
          <w:ilvl w:val="0"/>
          <w:numId w:val="4"/>
        </w:numPr>
        <w:spacing w:after="40" w:line="276"/>
        <w:jc w:val="both"/>
      </w:pPr>
      <w:r>
        <w:rPr>
          <w:rFonts w:ascii="Times New Roman" w:cs="Times New Roman" w:eastAsia="Times New Roman" w:hAnsi="Times New Roman"/>
          <w:sz w:val="24"/>
          <w:szCs w:val="24"/>
        </w:rPr>
        <w:t xml:space="preserve">Olweus, D. (1993). </w:t>
      </w:r>
      <w:r>
        <w:rPr>
          <w:rFonts w:ascii="Times New Roman" w:cs="Times New Roman" w:eastAsia="Times New Roman" w:hAnsi="Times New Roman"/>
          <w:i/>
          <w:iCs/>
          <w:sz w:val="24"/>
          <w:szCs w:val="24"/>
        </w:rPr>
        <w:t xml:space="preserve">Bullying at School</w:t>
      </w:r>
      <w:r>
        <w:rPr>
          <w:rFonts w:ascii="Times New Roman" w:cs="Times New Roman" w:eastAsia="Times New Roman" w:hAnsi="Times New Roman"/>
          <w:sz w:val="24"/>
          <w:szCs w:val="24"/>
        </w:rPr>
        <w:t xml:space="preserve">. Blackwell.</w:t>
      </w:r>
    </w:p>
    <w:p>
      <w:pPr>
        <w:pStyle w:val="ListParagraph"/>
        <w:numPr>
          <w:ilvl w:val="0"/>
          <w:numId w:val="4"/>
        </w:numPr>
        <w:spacing w:after="40" w:line="276"/>
        <w:jc w:val="both"/>
      </w:pPr>
      <w:r>
        <w:rPr>
          <w:rFonts w:ascii="Times New Roman" w:cs="Times New Roman" w:eastAsia="Times New Roman" w:hAnsi="Times New Roman"/>
          <w:sz w:val="24"/>
          <w:szCs w:val="24"/>
        </w:rPr>
        <w:t xml:space="preserve">Orben, A., &amp; Przybylski, A. K. (2019). The association between adolescent well-being and digital technology use. </w:t>
      </w:r>
      <w:r>
        <w:rPr>
          <w:rFonts w:ascii="Times New Roman" w:cs="Times New Roman" w:eastAsia="Times New Roman" w:hAnsi="Times New Roman"/>
          <w:i/>
          <w:iCs/>
          <w:sz w:val="24"/>
          <w:szCs w:val="24"/>
        </w:rPr>
        <w:t xml:space="preserve">Nature Human Behaviour, 3</w:t>
      </w:r>
      <w:r>
        <w:rPr>
          <w:rFonts w:ascii="Times New Roman" w:cs="Times New Roman" w:eastAsia="Times New Roman" w:hAnsi="Times New Roman"/>
          <w:sz w:val="24"/>
          <w:szCs w:val="24"/>
        </w:rPr>
        <w:t xml:space="preserve">, 173–182.</w:t>
      </w:r>
    </w:p>
    <w:p>
      <w:pPr>
        <w:pStyle w:val="ListParagraph"/>
        <w:numPr>
          <w:ilvl w:val="0"/>
          <w:numId w:val="4"/>
        </w:numPr>
        <w:spacing w:after="40" w:line="276"/>
        <w:jc w:val="both"/>
      </w:pPr>
      <w:r>
        <w:rPr>
          <w:rFonts w:ascii="Times New Roman" w:cs="Times New Roman" w:eastAsia="Times New Roman" w:hAnsi="Times New Roman"/>
          <w:sz w:val="24"/>
          <w:szCs w:val="24"/>
        </w:rPr>
        <w:t xml:space="preserve">Orth, U., Erol, R. Y., &amp; Luciano, E. C. (2018). Development of self-esteem from age 4 to 94 years. </w:t>
      </w:r>
      <w:r>
        <w:rPr>
          <w:rFonts w:ascii="Times New Roman" w:cs="Times New Roman" w:eastAsia="Times New Roman" w:hAnsi="Times New Roman"/>
          <w:i/>
          <w:iCs/>
          <w:sz w:val="24"/>
          <w:szCs w:val="24"/>
        </w:rPr>
        <w:t xml:space="preserve">Psychological Bulletin, 144</w:t>
      </w:r>
      <w:r>
        <w:rPr>
          <w:rFonts w:ascii="Times New Roman" w:cs="Times New Roman" w:eastAsia="Times New Roman" w:hAnsi="Times New Roman"/>
          <w:sz w:val="24"/>
          <w:szCs w:val="24"/>
        </w:rPr>
        <w:t xml:space="preserve">(10), 1045–1080.</w:t>
      </w:r>
    </w:p>
    <w:p>
      <w:pPr>
        <w:pStyle w:val="ListParagraph"/>
        <w:numPr>
          <w:ilvl w:val="0"/>
          <w:numId w:val="4"/>
        </w:numPr>
        <w:spacing w:after="40" w:line="276"/>
        <w:jc w:val="both"/>
      </w:pPr>
      <w:r>
        <w:rPr>
          <w:rFonts w:ascii="Times New Roman" w:cs="Times New Roman" w:eastAsia="Times New Roman" w:hAnsi="Times New Roman"/>
          <w:sz w:val="24"/>
          <w:szCs w:val="24"/>
        </w:rPr>
        <w:t xml:space="preserve">Paruthi, S., Brooks, L. J., D’Ambrosio, C., et al. (2016). Recommended amount of sleep for pediatric populations: A consensus statement of the American Academy of Sleep Medicine. </w:t>
      </w:r>
      <w:r>
        <w:rPr>
          <w:rFonts w:ascii="Times New Roman" w:cs="Times New Roman" w:eastAsia="Times New Roman" w:hAnsi="Times New Roman"/>
          <w:i/>
          <w:iCs/>
          <w:sz w:val="24"/>
          <w:szCs w:val="24"/>
        </w:rPr>
        <w:t xml:space="preserve">Journal of Clinical Sleep Medicine, 12</w:t>
      </w:r>
      <w:r>
        <w:rPr>
          <w:rFonts w:ascii="Times New Roman" w:cs="Times New Roman" w:eastAsia="Times New Roman" w:hAnsi="Times New Roman"/>
          <w:sz w:val="24"/>
          <w:szCs w:val="24"/>
        </w:rPr>
        <w:t xml:space="preserve">(6), 785–786.</w:t>
      </w:r>
    </w:p>
    <w:p>
      <w:pPr>
        <w:pStyle w:val="ListParagraph"/>
        <w:numPr>
          <w:ilvl w:val="0"/>
          <w:numId w:val="4"/>
        </w:numPr>
        <w:spacing w:after="40" w:line="276"/>
        <w:jc w:val="both"/>
      </w:pPr>
      <w:r>
        <w:rPr>
          <w:rFonts w:ascii="Times New Roman" w:cs="Times New Roman" w:eastAsia="Times New Roman" w:hAnsi="Times New Roman"/>
          <w:sz w:val="24"/>
          <w:szCs w:val="24"/>
        </w:rPr>
        <w:t xml:space="preserve">Robins, R. W., Trzesniewski, K. H., Tracy, J. L., Gosling, S. D., &amp; Potter, J. (2002). Global self-esteem across the life span. </w:t>
      </w:r>
      <w:r>
        <w:rPr>
          <w:rFonts w:ascii="Times New Roman" w:cs="Times New Roman" w:eastAsia="Times New Roman" w:hAnsi="Times New Roman"/>
          <w:i/>
          <w:iCs/>
          <w:sz w:val="24"/>
          <w:szCs w:val="24"/>
        </w:rPr>
        <w:t xml:space="preserve">Psychology and Aging, 17</w:t>
      </w:r>
      <w:r>
        <w:rPr>
          <w:rFonts w:ascii="Times New Roman" w:cs="Times New Roman" w:eastAsia="Times New Roman" w:hAnsi="Times New Roman"/>
          <w:sz w:val="24"/>
          <w:szCs w:val="24"/>
        </w:rPr>
        <w:t xml:space="preserve">(3), 423–434.</w:t>
      </w:r>
    </w:p>
    <w:p>
      <w:pPr>
        <w:pStyle w:val="ListParagraph"/>
        <w:numPr>
          <w:ilvl w:val="0"/>
          <w:numId w:val="4"/>
        </w:numPr>
        <w:spacing w:after="40" w:line="276"/>
        <w:jc w:val="both"/>
      </w:pPr>
      <w:r>
        <w:rPr>
          <w:rFonts w:ascii="Times New Roman" w:cs="Times New Roman" w:eastAsia="Times New Roman" w:hAnsi="Times New Roman"/>
          <w:sz w:val="24"/>
          <w:szCs w:val="24"/>
        </w:rPr>
        <w:t xml:space="preserve">Rosenberg, M. (1965). </w:t>
      </w:r>
      <w:r>
        <w:rPr>
          <w:rFonts w:ascii="Times New Roman" w:cs="Times New Roman" w:eastAsia="Times New Roman" w:hAnsi="Times New Roman"/>
          <w:i/>
          <w:iCs/>
          <w:sz w:val="24"/>
          <w:szCs w:val="24"/>
        </w:rPr>
        <w:t xml:space="preserve">Society and the Adolescent Self-Image</w:t>
      </w:r>
      <w:r>
        <w:rPr>
          <w:rFonts w:ascii="Times New Roman" w:cs="Times New Roman" w:eastAsia="Times New Roman" w:hAnsi="Times New Roman"/>
          <w:sz w:val="24"/>
          <w:szCs w:val="24"/>
        </w:rPr>
        <w:t xml:space="preserve">. Princeton University Press.</w:t>
      </w:r>
    </w:p>
    <w:p>
      <w:pPr>
        <w:pStyle w:val="ListParagraph"/>
        <w:numPr>
          <w:ilvl w:val="0"/>
          <w:numId w:val="4"/>
        </w:numPr>
        <w:spacing w:after="40" w:line="276"/>
        <w:jc w:val="both"/>
      </w:pPr>
      <w:r>
        <w:rPr>
          <w:rFonts w:ascii="Times New Roman" w:cs="Times New Roman" w:eastAsia="Times New Roman" w:hAnsi="Times New Roman"/>
          <w:sz w:val="24"/>
          <w:szCs w:val="24"/>
        </w:rPr>
        <w:t xml:space="preserve">Ryan, R. M., &amp; Deci, E. L. (2000). Self-determination theory and the facilitation of intrinsic motivation, social development, and well-being. </w:t>
      </w:r>
      <w:r>
        <w:rPr>
          <w:rFonts w:ascii="Times New Roman" w:cs="Times New Roman" w:eastAsia="Times New Roman" w:hAnsi="Times New Roman"/>
          <w:i/>
          <w:iCs/>
          <w:sz w:val="24"/>
          <w:szCs w:val="24"/>
        </w:rPr>
        <w:t xml:space="preserve">American Psychologist, 55</w:t>
      </w:r>
      <w:r>
        <w:rPr>
          <w:rFonts w:ascii="Times New Roman" w:cs="Times New Roman" w:eastAsia="Times New Roman" w:hAnsi="Times New Roman"/>
          <w:sz w:val="24"/>
          <w:szCs w:val="24"/>
        </w:rPr>
        <w:t xml:space="preserve">(1), 68–78.</w:t>
      </w:r>
    </w:p>
    <w:p>
      <w:pPr>
        <w:pStyle w:val="ListParagraph"/>
        <w:numPr>
          <w:ilvl w:val="0"/>
          <w:numId w:val="4"/>
        </w:numPr>
        <w:spacing w:after="40" w:line="276"/>
        <w:jc w:val="both"/>
      </w:pPr>
      <w:r>
        <w:rPr>
          <w:rFonts w:ascii="Times New Roman" w:cs="Times New Roman" w:eastAsia="Times New Roman" w:hAnsi="Times New Roman"/>
          <w:sz w:val="24"/>
          <w:szCs w:val="24"/>
        </w:rPr>
        <w:t xml:space="preserve">Salmela-Aro, K., Kiuru, N., Leskinen, E., &amp; Nurmi, J.-E. (2009). School Burnout Inventory (SBI): Reliability and validity. </w:t>
      </w:r>
      <w:r>
        <w:rPr>
          <w:rFonts w:ascii="Times New Roman" w:cs="Times New Roman" w:eastAsia="Times New Roman" w:hAnsi="Times New Roman"/>
          <w:i/>
          <w:iCs/>
          <w:sz w:val="24"/>
          <w:szCs w:val="24"/>
        </w:rPr>
        <w:t xml:space="preserve">European Journal of Psychological Assessment, 25</w:t>
      </w:r>
      <w:r>
        <w:rPr>
          <w:rFonts w:ascii="Times New Roman" w:cs="Times New Roman" w:eastAsia="Times New Roman" w:hAnsi="Times New Roman"/>
          <w:sz w:val="24"/>
          <w:szCs w:val="24"/>
        </w:rPr>
        <w:t xml:space="preserve">(1), 48–57.</w:t>
      </w:r>
    </w:p>
    <w:p>
      <w:pPr>
        <w:pStyle w:val="ListParagraph"/>
        <w:numPr>
          <w:ilvl w:val="0"/>
          <w:numId w:val="4"/>
        </w:numPr>
        <w:spacing w:after="40" w:line="276"/>
        <w:jc w:val="both"/>
      </w:pPr>
      <w:r>
        <w:rPr>
          <w:rFonts w:ascii="Times New Roman" w:cs="Times New Roman" w:eastAsia="Times New Roman" w:hAnsi="Times New Roman"/>
          <w:sz w:val="24"/>
          <w:szCs w:val="24"/>
        </w:rPr>
        <w:t xml:space="preserve">SAMHSA (2014). </w:t>
      </w:r>
      <w:r>
        <w:rPr>
          <w:rFonts w:ascii="Times New Roman" w:cs="Times New Roman" w:eastAsia="Times New Roman" w:hAnsi="Times New Roman"/>
          <w:i/>
          <w:iCs/>
          <w:sz w:val="24"/>
          <w:szCs w:val="24"/>
        </w:rPr>
        <w:t xml:space="preserve">Trauma-Informed Care in Behavioral Health Services</w:t>
      </w:r>
      <w:r>
        <w:rPr>
          <w:rFonts w:ascii="Times New Roman" w:cs="Times New Roman" w:eastAsia="Times New Roman" w:hAnsi="Times New Roman"/>
          <w:sz w:val="24"/>
          <w:szCs w:val="24"/>
        </w:rPr>
        <w:t xml:space="preserve"> (TIP 57).</w:t>
      </w:r>
    </w:p>
    <w:p>
      <w:pPr>
        <w:pStyle w:val="ListParagraph"/>
        <w:numPr>
          <w:ilvl w:val="0"/>
          <w:numId w:val="4"/>
        </w:numPr>
        <w:spacing w:after="40" w:line="276"/>
        <w:jc w:val="both"/>
      </w:pPr>
      <w:r>
        <w:rPr>
          <w:rFonts w:ascii="Times New Roman" w:cs="Times New Roman" w:eastAsia="Times New Roman" w:hAnsi="Times New Roman"/>
          <w:sz w:val="24"/>
          <w:szCs w:val="24"/>
        </w:rPr>
        <w:t xml:space="preserve">Schwartz, S. H. (1992). Universals in the content and structure of values: Theoretical advances and empirical tests in 20 countries. </w:t>
      </w:r>
      <w:r>
        <w:rPr>
          <w:rFonts w:ascii="Times New Roman" w:cs="Times New Roman" w:eastAsia="Times New Roman" w:hAnsi="Times New Roman"/>
          <w:i/>
          <w:iCs/>
          <w:sz w:val="24"/>
          <w:szCs w:val="24"/>
        </w:rPr>
        <w:t xml:space="preserve">Advances in Experimental Social Psychology, 25</w:t>
      </w:r>
      <w:r>
        <w:rPr>
          <w:rFonts w:ascii="Times New Roman" w:cs="Times New Roman" w:eastAsia="Times New Roman" w:hAnsi="Times New Roman"/>
          <w:sz w:val="24"/>
          <w:szCs w:val="24"/>
        </w:rPr>
        <w:t xml:space="preserve">, 1–65.</w:t>
      </w:r>
    </w:p>
    <w:p>
      <w:pPr>
        <w:pStyle w:val="ListParagraph"/>
        <w:numPr>
          <w:ilvl w:val="0"/>
          <w:numId w:val="4"/>
        </w:numPr>
        <w:spacing w:after="40" w:line="276"/>
        <w:jc w:val="both"/>
      </w:pPr>
      <w:r>
        <w:rPr>
          <w:rFonts w:ascii="Times New Roman" w:cs="Times New Roman" w:eastAsia="Times New Roman" w:hAnsi="Times New Roman"/>
          <w:sz w:val="24"/>
          <w:szCs w:val="24"/>
        </w:rPr>
        <w:t xml:space="preserve">Sheldon, K. M., &amp; Elliot, A. J. (1999). Goal striving, need satisfaction, and longitudinal well-being: The self-concordance model. </w:t>
      </w:r>
      <w:r>
        <w:rPr>
          <w:rFonts w:ascii="Times New Roman" w:cs="Times New Roman" w:eastAsia="Times New Roman" w:hAnsi="Times New Roman"/>
          <w:i/>
          <w:iCs/>
          <w:sz w:val="24"/>
          <w:szCs w:val="24"/>
        </w:rPr>
        <w:t xml:space="preserve">Journal of Personality and Social Psychology, 76</w:t>
      </w:r>
      <w:r>
        <w:rPr>
          <w:rFonts w:ascii="Times New Roman" w:cs="Times New Roman" w:eastAsia="Times New Roman" w:hAnsi="Times New Roman"/>
          <w:sz w:val="24"/>
          <w:szCs w:val="24"/>
        </w:rPr>
        <w:t xml:space="preserve">(3), 482–497.</w:t>
      </w:r>
    </w:p>
    <w:p>
      <w:pPr>
        <w:pStyle w:val="ListParagraph"/>
        <w:numPr>
          <w:ilvl w:val="0"/>
          <w:numId w:val="4"/>
        </w:numPr>
        <w:spacing w:after="40" w:line="276"/>
        <w:jc w:val="both"/>
      </w:pPr>
      <w:r>
        <w:rPr>
          <w:rFonts w:ascii="Times New Roman" w:cs="Times New Roman" w:eastAsia="Times New Roman" w:hAnsi="Times New Roman"/>
          <w:sz w:val="24"/>
          <w:szCs w:val="24"/>
        </w:rPr>
        <w:t xml:space="preserve">Singer, T., &amp; Klimecki, O. M. (2014). Empathy and compassion. </w:t>
      </w:r>
      <w:r>
        <w:rPr>
          <w:rFonts w:ascii="Times New Roman" w:cs="Times New Roman" w:eastAsia="Times New Roman" w:hAnsi="Times New Roman"/>
          <w:i/>
          <w:iCs/>
          <w:sz w:val="24"/>
          <w:szCs w:val="24"/>
        </w:rPr>
        <w:t xml:space="preserve">Current Biology, 24</w:t>
      </w:r>
      <w:r>
        <w:rPr>
          <w:rFonts w:ascii="Times New Roman" w:cs="Times New Roman" w:eastAsia="Times New Roman" w:hAnsi="Times New Roman"/>
          <w:sz w:val="24"/>
          <w:szCs w:val="24"/>
        </w:rPr>
        <w:t xml:space="preserve">(18), R875–R878.</w:t>
      </w:r>
    </w:p>
    <w:p>
      <w:pPr>
        <w:pStyle w:val="ListParagraph"/>
        <w:numPr>
          <w:ilvl w:val="0"/>
          <w:numId w:val="4"/>
        </w:numPr>
        <w:spacing w:after="40" w:line="276"/>
        <w:jc w:val="both"/>
      </w:pPr>
      <w:r>
        <w:rPr>
          <w:rFonts w:ascii="Times New Roman" w:cs="Times New Roman" w:eastAsia="Times New Roman" w:hAnsi="Times New Roman"/>
          <w:sz w:val="24"/>
          <w:szCs w:val="24"/>
        </w:rPr>
        <w:t xml:space="preserve">Slayton, S. C., D’Archer, J., &amp; Kaplan, F. (2010). Outcome studies on the efficacy of art therapy: A review of findings. </w:t>
      </w:r>
      <w:r>
        <w:rPr>
          <w:rFonts w:ascii="Times New Roman" w:cs="Times New Roman" w:eastAsia="Times New Roman" w:hAnsi="Times New Roman"/>
          <w:i/>
          <w:iCs/>
          <w:sz w:val="24"/>
          <w:szCs w:val="24"/>
        </w:rPr>
        <w:t xml:space="preserve">Art Therapy, 27</w:t>
      </w:r>
      <w:r>
        <w:rPr>
          <w:rFonts w:ascii="Times New Roman" w:cs="Times New Roman" w:eastAsia="Times New Roman" w:hAnsi="Times New Roman"/>
          <w:sz w:val="24"/>
          <w:szCs w:val="24"/>
        </w:rPr>
        <w:t xml:space="preserve">(3), 108–118.</w:t>
      </w:r>
    </w:p>
    <w:p>
      <w:pPr>
        <w:pStyle w:val="ListParagraph"/>
        <w:numPr>
          <w:ilvl w:val="0"/>
          <w:numId w:val="4"/>
        </w:numPr>
        <w:spacing w:after="40" w:line="276"/>
        <w:jc w:val="both"/>
      </w:pPr>
      <w:r>
        <w:rPr>
          <w:rFonts w:ascii="Times New Roman" w:cs="Times New Roman" w:eastAsia="Times New Roman" w:hAnsi="Times New Roman"/>
          <w:sz w:val="24"/>
          <w:szCs w:val="24"/>
        </w:rPr>
        <w:t xml:space="preserve">Sonnentag, S., &amp; Fritz, C. (2007). The Recovery Experience Questionnaire: Development and validation of a measure for assessing recuperation and unwinding from work. </w:t>
      </w:r>
      <w:r>
        <w:rPr>
          <w:rFonts w:ascii="Times New Roman" w:cs="Times New Roman" w:eastAsia="Times New Roman" w:hAnsi="Times New Roman"/>
          <w:i/>
          <w:iCs/>
          <w:sz w:val="24"/>
          <w:szCs w:val="24"/>
        </w:rPr>
        <w:t xml:space="preserve">Journal of Occupational Health Psychology, 12</w:t>
      </w:r>
      <w:r>
        <w:rPr>
          <w:rFonts w:ascii="Times New Roman" w:cs="Times New Roman" w:eastAsia="Times New Roman" w:hAnsi="Times New Roman"/>
          <w:sz w:val="24"/>
          <w:szCs w:val="24"/>
        </w:rPr>
        <w:t xml:space="preserve">(3), 204–221.</w:t>
      </w:r>
    </w:p>
    <w:p>
      <w:pPr>
        <w:pStyle w:val="ListParagraph"/>
        <w:numPr>
          <w:ilvl w:val="0"/>
          <w:numId w:val="4"/>
        </w:numPr>
        <w:spacing w:after="40" w:line="276"/>
        <w:jc w:val="both"/>
      </w:pPr>
      <w:r>
        <w:rPr>
          <w:rFonts w:ascii="Times New Roman" w:cs="Times New Roman" w:eastAsia="Times New Roman" w:hAnsi="Times New Roman"/>
          <w:sz w:val="24"/>
          <w:szCs w:val="24"/>
        </w:rPr>
        <w:t xml:space="preserve">Topp, C. W., Østergaard, S. D., Søndergaard, S., &amp; Bech, P. (2015). The WHO-5 Well-Being Index: A systematic review of the literature. </w:t>
      </w:r>
      <w:r>
        <w:rPr>
          <w:rFonts w:ascii="Times New Roman" w:cs="Times New Roman" w:eastAsia="Times New Roman" w:hAnsi="Times New Roman"/>
          <w:i/>
          <w:iCs/>
          <w:sz w:val="24"/>
          <w:szCs w:val="24"/>
        </w:rPr>
        <w:t xml:space="preserve">Psychotherapy and Psychosomatics, 84</w:t>
      </w:r>
      <w:r>
        <w:rPr>
          <w:rFonts w:ascii="Times New Roman" w:cs="Times New Roman" w:eastAsia="Times New Roman" w:hAnsi="Times New Roman"/>
          <w:sz w:val="24"/>
          <w:szCs w:val="24"/>
        </w:rPr>
        <w:t xml:space="preserve">(3), 167–176.</w:t>
      </w:r>
    </w:p>
    <w:p>
      <w:pPr>
        <w:pStyle w:val="ListParagraph"/>
        <w:numPr>
          <w:ilvl w:val="0"/>
          <w:numId w:val="4"/>
        </w:numPr>
        <w:spacing w:after="40" w:line="276"/>
        <w:jc w:val="both"/>
      </w:pPr>
      <w:r>
        <w:rPr>
          <w:rFonts w:ascii="Times New Roman" w:cs="Times New Roman" w:eastAsia="Times New Roman" w:hAnsi="Times New Roman"/>
          <w:sz w:val="24"/>
          <w:szCs w:val="24"/>
        </w:rPr>
        <w:t xml:space="preserve">Tuckman, B. W. (1965). Developmental sequence in small groups. </w:t>
      </w:r>
      <w:r>
        <w:rPr>
          <w:rFonts w:ascii="Times New Roman" w:cs="Times New Roman" w:eastAsia="Times New Roman" w:hAnsi="Times New Roman"/>
          <w:i/>
          <w:iCs/>
          <w:sz w:val="24"/>
          <w:szCs w:val="24"/>
        </w:rPr>
        <w:t xml:space="preserve">Psychological Bulletin, 63</w:t>
      </w:r>
      <w:r>
        <w:rPr>
          <w:rFonts w:ascii="Times New Roman" w:cs="Times New Roman" w:eastAsia="Times New Roman" w:hAnsi="Times New Roman"/>
          <w:sz w:val="24"/>
          <w:szCs w:val="24"/>
        </w:rPr>
        <w:t xml:space="preserve">(6), 384–399.</w:t>
      </w:r>
    </w:p>
    <w:p>
      <w:pPr>
        <w:pStyle w:val="ListParagraph"/>
        <w:numPr>
          <w:ilvl w:val="0"/>
          <w:numId w:val="4"/>
        </w:numPr>
        <w:spacing w:after="40" w:line="276"/>
        <w:jc w:val="both"/>
      </w:pPr>
      <w:r>
        <w:rPr>
          <w:rFonts w:ascii="Times New Roman" w:cs="Times New Roman" w:eastAsia="Times New Roman" w:hAnsi="Times New Roman"/>
          <w:sz w:val="24"/>
          <w:szCs w:val="24"/>
        </w:rPr>
        <w:t xml:space="preserve">Ungar, M. (2011). The social ecology of resilience: Addressing contextual and cultural ambiguity of a nascent construct. </w:t>
      </w:r>
      <w:r>
        <w:rPr>
          <w:rFonts w:ascii="Times New Roman" w:cs="Times New Roman" w:eastAsia="Times New Roman" w:hAnsi="Times New Roman"/>
          <w:i/>
          <w:iCs/>
          <w:sz w:val="24"/>
          <w:szCs w:val="24"/>
        </w:rPr>
        <w:t xml:space="preserve">American Journal of Orthopsychiatry, 81</w:t>
      </w:r>
      <w:r>
        <w:rPr>
          <w:rFonts w:ascii="Times New Roman" w:cs="Times New Roman" w:eastAsia="Times New Roman" w:hAnsi="Times New Roman"/>
          <w:sz w:val="24"/>
          <w:szCs w:val="24"/>
        </w:rPr>
        <w:t xml:space="preserve">(1), 1–17.</w:t>
      </w:r>
    </w:p>
    <w:p>
      <w:pPr>
        <w:pStyle w:val="ListParagraph"/>
        <w:numPr>
          <w:ilvl w:val="0"/>
          <w:numId w:val="4"/>
        </w:numPr>
        <w:spacing w:after="40" w:line="276"/>
        <w:jc w:val="both"/>
      </w:pPr>
      <w:r>
        <w:rPr>
          <w:rFonts w:ascii="Times New Roman" w:cs="Times New Roman" w:eastAsia="Times New Roman" w:hAnsi="Times New Roman"/>
          <w:sz w:val="24"/>
          <w:szCs w:val="24"/>
        </w:rPr>
        <w:t xml:space="preserve">Walsh, K., Zwi, K., Woolfenden, S., &amp; Shlonsky, A. (2015). School-based education programmes for the prevention of child sexual abuse. </w:t>
      </w:r>
      <w:r>
        <w:rPr>
          <w:rFonts w:ascii="Times New Roman" w:cs="Times New Roman" w:eastAsia="Times New Roman" w:hAnsi="Times New Roman"/>
          <w:i/>
          <w:iCs/>
          <w:sz w:val="24"/>
          <w:szCs w:val="24"/>
        </w:rPr>
        <w:t xml:space="preserve">Cochrane Database of Systematic Reviews</w:t>
      </w:r>
      <w:r>
        <w:rPr>
          <w:rFonts w:ascii="Times New Roman" w:cs="Times New Roman" w:eastAsia="Times New Roman" w:hAnsi="Times New Roman"/>
          <w:sz w:val="24"/>
          <w:szCs w:val="24"/>
        </w:rPr>
        <w:t xml:space="preserve">, (4), CD004380.</w:t>
      </w:r>
    </w:p>
    <w:p>
      <w:pPr>
        <w:pStyle w:val="ListParagraph"/>
        <w:numPr>
          <w:ilvl w:val="0"/>
          <w:numId w:val="4"/>
        </w:numPr>
        <w:spacing w:after="40" w:line="276"/>
        <w:jc w:val="both"/>
      </w:pPr>
      <w:r>
        <w:rPr>
          <w:rFonts w:ascii="Times New Roman" w:cs="Times New Roman" w:eastAsia="Times New Roman" w:hAnsi="Times New Roman"/>
          <w:sz w:val="24"/>
          <w:szCs w:val="24"/>
        </w:rPr>
        <w:t xml:space="preserve">Wegner, D. M., Schneider, D. J., Carter, S. R., &amp; White, T. L. (1987). Paradoxical effects of thought suppression. </w:t>
      </w:r>
      <w:r>
        <w:rPr>
          <w:rFonts w:ascii="Times New Roman" w:cs="Times New Roman" w:eastAsia="Times New Roman" w:hAnsi="Times New Roman"/>
          <w:i/>
          <w:iCs/>
          <w:sz w:val="24"/>
          <w:szCs w:val="24"/>
        </w:rPr>
        <w:t xml:space="preserve">Journal of Personality and Social Psychology, 53</w:t>
      </w:r>
      <w:r>
        <w:rPr>
          <w:rFonts w:ascii="Times New Roman" w:cs="Times New Roman" w:eastAsia="Times New Roman" w:hAnsi="Times New Roman"/>
          <w:sz w:val="24"/>
          <w:szCs w:val="24"/>
        </w:rPr>
        <w:t xml:space="preserve">(1), 5–13.</w:t>
      </w:r>
    </w:p>
    <w:p>
      <w:pPr>
        <w:pStyle w:val="ListParagraph"/>
        <w:numPr>
          <w:ilvl w:val="0"/>
          <w:numId w:val="4"/>
        </w:numPr>
        <w:spacing w:after="40" w:line="276"/>
        <w:jc w:val="both"/>
      </w:pPr>
      <w:r>
        <w:rPr>
          <w:rFonts w:ascii="Times New Roman" w:cs="Times New Roman" w:eastAsia="Times New Roman" w:hAnsi="Times New Roman"/>
          <w:sz w:val="24"/>
          <w:szCs w:val="24"/>
        </w:rPr>
        <w:t xml:space="preserve">World Health Organization (2011). </w:t>
      </w:r>
      <w:r>
        <w:rPr>
          <w:rFonts w:ascii="Times New Roman" w:cs="Times New Roman" w:eastAsia="Times New Roman" w:hAnsi="Times New Roman"/>
          <w:i/>
          <w:iCs/>
          <w:sz w:val="24"/>
          <w:szCs w:val="24"/>
        </w:rPr>
        <w:t xml:space="preserve">Psychological First Aid: Guide for Field Workers</w:t>
      </w:r>
      <w:r>
        <w:rPr>
          <w:rFonts w:ascii="Times New Roman" w:cs="Times New Roman" w:eastAsia="Times New Roman" w:hAnsi="Times New Roman"/>
          <w:sz w:val="24"/>
          <w:szCs w:val="24"/>
        </w:rPr>
        <w:t xml:space="preserve">. WHO.</w:t>
      </w:r>
    </w:p>
    <w:p>
      <w:pPr>
        <w:pStyle w:val="ListParagraph"/>
        <w:numPr>
          <w:ilvl w:val="0"/>
          <w:numId w:val="4"/>
        </w:numPr>
        <w:spacing w:after="40" w:line="276"/>
        <w:jc w:val="both"/>
      </w:pPr>
      <w:r>
        <w:rPr>
          <w:rFonts w:ascii="Times New Roman" w:cs="Times New Roman" w:eastAsia="Times New Roman" w:hAnsi="Times New Roman"/>
          <w:sz w:val="24"/>
          <w:szCs w:val="24"/>
        </w:rPr>
        <w:t xml:space="preserve">Zaki, J. (2014). Empathy: A motivated account. </w:t>
      </w:r>
      <w:r>
        <w:rPr>
          <w:rFonts w:ascii="Times New Roman" w:cs="Times New Roman" w:eastAsia="Times New Roman" w:hAnsi="Times New Roman"/>
          <w:i/>
          <w:iCs/>
          <w:sz w:val="24"/>
          <w:szCs w:val="24"/>
        </w:rPr>
        <w:t xml:space="preserve">Psychological Bulletin, 140</w:t>
      </w:r>
      <w:r>
        <w:rPr>
          <w:rFonts w:ascii="Times New Roman" w:cs="Times New Roman" w:eastAsia="Times New Roman" w:hAnsi="Times New Roman"/>
          <w:sz w:val="24"/>
          <w:szCs w:val="24"/>
        </w:rPr>
        <w:t xml:space="preserve">(6), 1608–1647.</w:t>
      </w:r>
    </w:p>
    <w:p>
      <w:pPr>
        <w:pStyle w:val="Heading1"/>
        <w:pageBreakBefore/>
      </w:pPr>
      <w:r>
        <w:rPr>
          <w:rFonts w:ascii="Times New Roman" w:cs="Times New Roman" w:eastAsia="Times New Roman" w:hAnsi="Times New Roman"/>
          <w:b/>
          <w:bCs/>
          <w:sz w:val="28"/>
          <w:szCs w:val="28"/>
        </w:rPr>
        <w:t xml:space="preserve">ДОДАТКИ</w:t>
      </w:r>
    </w:p>
    <w:p>
      <w:pPr>
        <w:pStyle w:val="Heading2"/>
        <w:keepNext/>
      </w:pPr>
      <w:r>
        <w:rPr>
          <w:rFonts w:ascii="Times New Roman" w:cs="Times New Roman" w:eastAsia="Times New Roman" w:hAnsi="Times New Roman"/>
          <w:b/>
          <w:bCs/>
          <w:sz w:val="28"/>
          <w:szCs w:val="28"/>
        </w:rPr>
        <w:t xml:space="preserve">Додаток А. Каталог арт-технік</w:t>
      </w:r>
    </w:p>
    <w:p>
      <w:pPr>
        <w:spacing w:after="80" w:before="0" w:line="276"/>
        <w:ind w:firstLine="709"/>
        <w:jc w:val="both"/>
      </w:pPr>
      <w:r>
        <w:rPr>
          <w:rFonts w:ascii="Times New Roman" w:cs="Times New Roman" w:eastAsia="Times New Roman" w:hAnsi="Times New Roman"/>
          <w:sz w:val="26"/>
          <w:szCs w:val="26"/>
        </w:rPr>
        <w:t xml:space="preserve">Правила: процес важливіший за результат; без оцінки «гарно/негарно»; без інтерпретації малюнка як діагнозу; право не малювати й не показувати; без відтворення травми; завершення заземленням; конфіденційність робіт.</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50"/>
        <w:gridCol w:w="4200"/>
        <w:gridCol w:w="1500"/>
        <w:gridCol w:w="3105"/>
      </w:tblGrid>
      <w:tr>
        <w:trPr>
          <w:tblHeader/>
        </w:trPr>
        <w:tc>
          <w:tcPr>
            <w:tcW w:type="dxa" w:w="5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2"/>
                <w:szCs w:val="22"/>
              </w:rPr>
              <w:t xml:space="preserve">№</w:t>
            </w:r>
          </w:p>
        </w:tc>
        <w:tc>
          <w:tcPr>
            <w:tcW w:type="dxa" w:w="4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2"/>
                <w:szCs w:val="22"/>
              </w:rPr>
              <w:t xml:space="preserve">Техніка</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2"/>
                <w:szCs w:val="22"/>
              </w:rPr>
              <w:t xml:space="preserve">Віки</w:t>
            </w:r>
          </w:p>
        </w:tc>
        <w:tc>
          <w:tcPr>
            <w:tcW w:type="dxa" w:w="310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2"/>
                <w:szCs w:val="22"/>
              </w:rPr>
              <w:t xml:space="preserve">Основні теми</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Мапа ресурсів (острови)</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5–11</w:t>
            </w:r>
          </w:p>
        </w:tc>
        <w:tc>
          <w:tcPr>
            <w:tcW w:type="dxa" w:w="3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1, 10, 23</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2</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Кольорова карта тіла</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5–11</w:t>
            </w:r>
          </w:p>
        </w:tc>
        <w:tc>
          <w:tcPr>
            <w:tcW w:type="dxa" w:w="3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2, 5, 6, 7</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3</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Безпечне місце</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5–11</w:t>
            </w:r>
          </w:p>
        </w:tc>
        <w:tc>
          <w:tcPr>
            <w:tcW w:type="dxa" w:w="3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3, 7, 16</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4</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Контейнер для турбот</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5–11</w:t>
            </w:r>
          </w:p>
        </w:tc>
        <w:tc>
          <w:tcPr>
            <w:tcW w:type="dxa" w:w="3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6, 13, 19, 21</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5</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Ритмічні візерунки (зентангл)</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7–11</w:t>
            </w:r>
          </w:p>
        </w:tc>
        <w:tc>
          <w:tcPr>
            <w:tcW w:type="dxa" w:w="3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5, 13, 16, 21</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6</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Колаж цінностей</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7–11</w:t>
            </w:r>
          </w:p>
        </w:tc>
        <w:tc>
          <w:tcPr>
            <w:tcW w:type="dxa" w:w="3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14, 23</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7</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Лист-малюнок собі</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5–11</w:t>
            </w:r>
          </w:p>
        </w:tc>
        <w:tc>
          <w:tcPr>
            <w:tcW w:type="dxa" w:w="3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15, 19, 24</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8</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Щит кордонів</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5–11</w:t>
            </w:r>
          </w:p>
        </w:tc>
        <w:tc>
          <w:tcPr>
            <w:tcW w:type="dxa" w:w="3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3, 4</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9</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Міст і стіна</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5–11</w:t>
            </w:r>
          </w:p>
        </w:tc>
        <w:tc>
          <w:tcPr>
            <w:tcW w:type="dxa" w:w="3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8</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10</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Дерево опор</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5–11</w:t>
            </w:r>
          </w:p>
        </w:tc>
        <w:tc>
          <w:tcPr>
            <w:tcW w:type="dxa" w:w="3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1, 10, 11</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11</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Годинник дня</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5–11</w:t>
            </w:r>
          </w:p>
        </w:tc>
        <w:tc>
          <w:tcPr>
            <w:tcW w:type="dxa" w:w="3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12, 16, 22</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12</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Скринька пам’яті (необов’язкова)</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7–11</w:t>
            </w:r>
          </w:p>
        </w:tc>
        <w:tc>
          <w:tcPr>
            <w:tcW w:type="dxa" w:w="3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20</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13</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Щит у мережі</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5–11</w:t>
            </w:r>
          </w:p>
        </w:tc>
        <w:tc>
          <w:tcPr>
            <w:tcW w:type="dxa" w:w="3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18</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14</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Сходи з помилок</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5–11</w:t>
            </w:r>
          </w:p>
        </w:tc>
        <w:tc>
          <w:tcPr>
            <w:tcW w:type="dxa" w:w="3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19, 23</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15</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Листівка підтримки другу</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5–11</w:t>
            </w:r>
          </w:p>
        </w:tc>
        <w:tc>
          <w:tcPr>
            <w:tcW w:type="dxa" w:w="3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11, 17, 20</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16</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Портрет сильних сторін очима друга</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7–11</w:t>
            </w:r>
          </w:p>
        </w:tc>
        <w:tc>
          <w:tcPr>
            <w:tcW w:type="dxa" w:w="3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1, 23</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17</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Лінія подолання</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7–11</w:t>
            </w:r>
          </w:p>
        </w:tc>
        <w:tc>
          <w:tcPr>
            <w:tcW w:type="dxa" w:w="3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10, 15, 24</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18</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Батарейка сил</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5–8</w:t>
            </w:r>
          </w:p>
        </w:tc>
        <w:tc>
          <w:tcPr>
            <w:tcW w:type="dxa" w:w="3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5, 13</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19</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Терези вимог і ресурсів</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7–11</w:t>
            </w:r>
          </w:p>
        </w:tc>
        <w:tc>
          <w:tcPr>
            <w:tcW w:type="dxa" w:w="3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13, 22</w:t>
            </w:r>
          </w:p>
        </w:tc>
      </w:tr>
      <w:tr>
        <w:trPr>
          <w:cantSplit/>
        </w:trPr>
        <w:tc>
          <w:tcPr>
            <w:tcW w:type="dxa" w:w="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20</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Герб суперсил</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5–8</w:t>
            </w:r>
          </w:p>
        </w:tc>
        <w:tc>
          <w:tcPr>
            <w:tcW w:type="dxa" w:w="3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1, 23</w:t>
            </w:r>
          </w:p>
        </w:tc>
      </w:tr>
    </w:tbl>
    <w:p>
      <w:pPr>
        <w:spacing w:after="100"/>
      </w:pPr>
      <w:r>
        <w:rPr>
          <w:rFonts w:ascii="Times New Roman" w:cs="Times New Roman" w:eastAsia="Times New Roman" w:hAnsi="Times New Roman"/>
          <w:sz w:val="28"/>
          <w:szCs w:val="28"/>
        </w:rPr>
        <w:t xml:space="preserve"/>
      </w:r>
    </w:p>
    <w:p>
      <w:pPr>
        <w:pStyle w:val="Heading2"/>
        <w:keepNext/>
      </w:pPr>
      <w:r>
        <w:rPr>
          <w:rFonts w:ascii="Times New Roman" w:cs="Times New Roman" w:eastAsia="Times New Roman" w:hAnsi="Times New Roman"/>
          <w:b/>
          <w:bCs/>
          <w:sz w:val="28"/>
          <w:szCs w:val="28"/>
        </w:rPr>
        <w:t xml:space="preserve">Додаток Б. Форма анонімного зворотного зв’язку (exit ticket)</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200"/>
        <w:gridCol w:w="4155"/>
      </w:tblGrid>
      <w:tr>
        <w:trPr>
          <w:tblHeader/>
        </w:trPr>
        <w:tc>
          <w:tcPr>
            <w:tcW w:type="dxa" w:w="5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Питання</w:t>
            </w:r>
          </w:p>
        </w:tc>
        <w:tc>
          <w:tcPr>
            <w:tcW w:type="dxa" w:w="41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Відповідь</w:t>
            </w:r>
          </w:p>
        </w:tc>
      </w:tr>
      <w:tr>
        <w:trPr>
          <w:cantSplit/>
          <w:trHeight w:val="520"/>
        </w:trP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Мій «пульс» на початку заняття (1–5)</w:t>
            </w:r>
          </w:p>
        </w:tc>
        <w:tc>
          <w:tcPr>
            <w:tcW w:type="dxa" w:w="41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p>
        </w:tc>
      </w:tr>
      <w:tr>
        <w:trPr>
          <w:cantSplit/>
          <w:trHeight w:val="520"/>
        </w:trP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Мій «пульс» наприкінці заняття (1–5)</w:t>
            </w:r>
          </w:p>
        </w:tc>
        <w:tc>
          <w:tcPr>
            <w:tcW w:type="dxa" w:w="41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p>
        </w:tc>
      </w:tr>
      <w:tr>
        <w:trPr>
          <w:cantSplit/>
          <w:trHeight w:val="520"/>
        </w:trP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Одне, що я забираю із заняття</w:t>
            </w:r>
          </w:p>
        </w:tc>
        <w:tc>
          <w:tcPr>
            <w:tcW w:type="dxa" w:w="41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p>
        </w:tc>
      </w:tr>
      <w:tr>
        <w:trPr>
          <w:cantSplit/>
          <w:trHeight w:val="520"/>
        </w:trP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Одна дія, яку зроблю цього тижня</w:t>
            </w:r>
          </w:p>
        </w:tc>
        <w:tc>
          <w:tcPr>
            <w:tcW w:type="dxa" w:w="41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p>
        </w:tc>
      </w:tr>
      <w:tr>
        <w:trPr>
          <w:cantSplit/>
          <w:trHeight w:val="520"/>
        </w:trP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Що було найкориснішим / чого не вистачило?</w:t>
            </w:r>
          </w:p>
        </w:tc>
        <w:tc>
          <w:tcPr>
            <w:tcW w:type="dxa" w:w="41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p>
        </w:tc>
      </w:tr>
      <w:tr>
        <w:trPr>
          <w:cantSplit/>
          <w:trHeight w:val="520"/>
        </w:trP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Мені потрібна розмова (познач): ☐ так  ☐ ні</w:t>
            </w:r>
          </w:p>
        </w:tc>
        <w:tc>
          <w:tcPr>
            <w:tcW w:type="dxa" w:w="41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p>
        </w:tc>
      </w:tr>
    </w:tbl>
    <w:p>
      <w:pPr>
        <w:spacing w:after="100"/>
      </w:pPr>
      <w:r>
        <w:rPr>
          <w:rFonts w:ascii="Times New Roman" w:cs="Times New Roman" w:eastAsia="Times New Roman" w:hAnsi="Times New Roman"/>
          <w:sz w:val="28"/>
          <w:szCs w:val="28"/>
        </w:rPr>
        <w:t xml:space="preserve"/>
      </w:r>
    </w:p>
    <w:p>
      <w:pPr>
        <w:pStyle w:val="Heading2"/>
        <w:keepNext/>
      </w:pPr>
      <w:r>
        <w:rPr>
          <w:rFonts w:ascii="Times New Roman" w:cs="Times New Roman" w:eastAsia="Times New Roman" w:hAnsi="Times New Roman"/>
          <w:b/>
          <w:bCs/>
          <w:sz w:val="28"/>
          <w:szCs w:val="28"/>
        </w:rPr>
        <w:t xml:space="preserve">Додаток В. Діагностичні інструменти: умови використання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600"/>
        <w:gridCol w:w="2855"/>
      </w:tblGrid>
      <w:tr>
        <w:trPr>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2"/>
                <w:szCs w:val="22"/>
              </w:rPr>
              <w:t xml:space="preserve">Інструмент</w:t>
            </w:r>
          </w:p>
        </w:tc>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2"/>
                <w:szCs w:val="22"/>
              </w:rPr>
              <w:t xml:space="preserve">Призначення</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2"/>
                <w:szCs w:val="22"/>
              </w:rPr>
              <w:t xml:space="preserve">Вік / група</w:t>
            </w:r>
          </w:p>
        </w:tc>
        <w:tc>
          <w:tcPr>
            <w:tcW w:type="dxa" w:w="28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2"/>
                <w:szCs w:val="22"/>
              </w:rPr>
              <w:t xml:space="preserve">Примітки</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Анонімний «пульс» 1–5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Настрій групи</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усі</w:t>
            </w:r>
          </w:p>
        </w:tc>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Без імен; без оцінювання окремих учнів</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WHO-5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Самопочуття (скринінг)</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підлітки, дорослі</w:t>
            </w:r>
          </w:p>
        </w:tc>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Не діагноз; приватний самоогляд; &lt;13 з 25 — привід до оцінки; Topp та ін. (2015)</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SDQ</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Емоції, поведінка, стосунки</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4–17</w:t>
            </w:r>
          </w:p>
        </w:tc>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Лише психолог; перевірити український переклад; Goodman (1997)</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RSES (Розенберг)</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Самооцінка</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12+</w:t>
            </w:r>
          </w:p>
        </w:tc>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Робочий переклад без української валідизації; для індивідуальної бесіди</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PHQ-A, GAD-7</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Скринінг депресії/тривоги</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11–17 / 14+</w:t>
            </w:r>
          </w:p>
        </w:tc>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Лише підготовлений фахівець; у класі не застосовуються</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C-SSRS (скринер)</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Ризик суїциду</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12+</w:t>
            </w:r>
          </w:p>
        </w:tc>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Лише підготовлений фахівець; перевірити умови й переклад</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CYRM, BRS, BES, PVQ, VIA-Youth</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Стійкість, емпатія, цінності, сильні сторони</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див. каталог</w:t>
            </w:r>
          </w:p>
        </w:tc>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Перевірити ліцензії й переклади перед використанням</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Consensus Sleep Diary</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Самоспостереження за сном</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усі</w:t>
            </w:r>
          </w:p>
        </w:tc>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2"/>
                <w:szCs w:val="22"/>
              </w:rPr>
              <w:t xml:space="preserve">Приватний; не збирати</w:t>
            </w:r>
          </w:p>
        </w:tc>
      </w:tr>
    </w:tbl>
    <w:p>
      <w:pPr>
        <w:spacing w:after="100"/>
      </w:pPr>
      <w:r>
        <w:rPr>
          <w:rFonts w:ascii="Times New Roman" w:cs="Times New Roman" w:eastAsia="Times New Roman" w:hAnsi="Times New Roman"/>
          <w:sz w:val="28"/>
          <w:szCs w:val="28"/>
        </w:rPr>
        <w:t xml:space="preserve"/>
      </w:r>
    </w:p>
    <w:p>
      <w:pPr>
        <w:pStyle w:val="Heading2"/>
        <w:keepNext/>
      </w:pPr>
      <w:r>
        <w:rPr>
          <w:rFonts w:ascii="Times New Roman" w:cs="Times New Roman" w:eastAsia="Times New Roman" w:hAnsi="Times New Roman"/>
          <w:b/>
          <w:bCs/>
          <w:sz w:val="28"/>
          <w:szCs w:val="28"/>
        </w:rPr>
        <w:t xml:space="preserve">Додаток Г. Контакти допомоги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500"/>
        <w:gridCol w:w="2300"/>
        <w:gridCol w:w="3555"/>
      </w:tblGrid>
      <w:tr>
        <w:trPr>
          <w:tblHeader/>
        </w:trPr>
        <w:tc>
          <w:tcPr>
            <w:tcW w:type="dxa" w:w="3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Служба</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Контакт</w:t>
            </w:r>
          </w:p>
        </w:tc>
        <w:tc>
          <w:tcPr>
            <w:tcW w:type="dxa" w:w="35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Примітка</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Дитяча лінія</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116 111</w:t>
            </w:r>
          </w:p>
        </w:tc>
        <w:tc>
          <w:tcPr>
            <w:tcW w:type="dxa" w:w="3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Безкоштовно, анонімно, цілодобово</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Психологічна підтримка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0 800 500 335</w:t>
            </w:r>
          </w:p>
        </w:tc>
        <w:tc>
          <w:tcPr>
            <w:tcW w:type="dxa" w:w="3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Безкоштовно; також для дорослих</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Поліція / швидка допомога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102 / 103</w:t>
            </w:r>
          </w:p>
        </w:tc>
        <w:tc>
          <w:tcPr>
            <w:tcW w:type="dxa" w:w="3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При загрозі</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rPr>
              <w:t xml:space="preserve">Практичний психолог закладу</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[контакти]</w:t>
            </w:r>
          </w:p>
        </w:tc>
        <w:tc>
          <w:tcPr>
            <w:tcW w:type="dxa" w:w="3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sz w:val="24"/>
                <w:szCs w:val="24"/>
                <w:highlight w:val="yellow"/>
                <w:highlightCs w:val="yellow"/>
              </w:rPr>
              <w:t xml:space="preserve">[час прийому]</w:t>
            </w:r>
          </w:p>
        </w:tc>
      </w:tr>
    </w:tbl>
    <w:p>
      <w:pPr>
        <w:spacing w:after="100"/>
      </w:pPr>
      <w:r>
        <w:rPr>
          <w:rFonts w:ascii="Times New Roman" w:cs="Times New Roman" w:eastAsia="Times New Roman" w:hAnsi="Times New Roman"/>
          <w:sz w:val="28"/>
          <w:szCs w:val="28"/>
        </w:rPr>
        <w:t xml:space="preserve"/>
      </w:r>
    </w:p>
    <w:p>
      <w:pPr>
        <w:pStyle w:val="Heading2"/>
        <w:keepNext/>
      </w:pPr>
      <w:r>
        <w:rPr>
          <w:rFonts w:ascii="Times New Roman" w:cs="Times New Roman" w:eastAsia="Times New Roman" w:hAnsi="Times New Roman"/>
          <w:b/>
          <w:bCs/>
          <w:sz w:val="28"/>
          <w:szCs w:val="28"/>
        </w:rPr>
        <w:t xml:space="preserve">Додаток Д. Кризові протоколи (скорочено)</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00"/>
        <w:gridCol w:w="6355"/>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Ситуація</w:t>
            </w:r>
          </w:p>
        </w:tc>
        <w:tc>
          <w:tcPr>
            <w:tcW w:type="dxa" w:w="63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line="252"/>
              <w:jc w:val="center"/>
            </w:pPr>
            <w:r>
              <w:rPr>
                <w:rFonts w:ascii="Times New Roman" w:cs="Times New Roman" w:eastAsia="Times New Roman" w:hAnsi="Times New Roman"/>
                <w:b/>
                <w:bCs/>
                <w:sz w:val="24"/>
                <w:szCs w:val="24"/>
              </w:rPr>
              <w:t xml:space="preserve">Основні кроки</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Гостра тривога, паніка</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Спокійний голос, безпечне місце; повільний видих, заземлення 5-4-3-2-1; не змушувати розповідати; якщо не минає 15+ хв — батьки / 103</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Розкриття небезпеки (булінг, насильство)</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Вислухати, не обіцяти таємниці; зафіксувати дослівно; повідомити керівництво й діяти за процедурою закладу та законодавством; забезпечити безпеку</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Думки про смерть, самоушкодження</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Приватна пряма розмова; не залишати самого; психолог і батьки одразу; 103 при безпосередній загрозі; не пропонувати «замінників» болем</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bCs/>
                <w:sz w:val="24"/>
                <w:szCs w:val="24"/>
              </w:rPr>
              <w:t xml:space="preserve">Горе, втрата, воєнна травма</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line="252"/>
              <w:jc w:val="left"/>
            </w:pPr>
            <w:r>
              <w:rPr>
                <w:rFonts w:ascii="Times New Roman" w:cs="Times New Roman" w:eastAsia="Times New Roman" w:hAnsi="Times New Roman"/>
                <w:b w:val="false"/>
                <w:bCs w:val="false"/>
                <w:sz w:val="24"/>
                <w:szCs w:val="24"/>
              </w:rPr>
              <w:t xml:space="preserve">Нормалізувати реакції; не вимагати розповіді; завершити заземленням; тривалі зміни — до фахівця</w:t>
            </w:r>
          </w:p>
        </w:tc>
      </w:tr>
    </w:tbl>
    <w:p>
      <w:pPr>
        <w:spacing w:after="100"/>
      </w:pPr>
      <w:r>
        <w:rPr>
          <w:rFonts w:ascii="Times New Roman" w:cs="Times New Roman" w:eastAsia="Times New Roman" w:hAnsi="Times New Roman"/>
          <w:sz w:val="28"/>
          <w:szCs w:val="28"/>
        </w:rPr>
        <w:t xml:space="preserve"/>
      </w:r>
    </w:p>
    <w:p>
      <w:pPr>
        <w:pStyle w:val="Heading2"/>
        <w:keepNext/>
      </w:pPr>
      <w:r>
        <w:rPr>
          <w:rFonts w:ascii="Times New Roman" w:cs="Times New Roman" w:eastAsia="Times New Roman" w:hAnsi="Times New Roman"/>
          <w:b/>
          <w:bCs/>
          <w:sz w:val="28"/>
          <w:szCs w:val="28"/>
        </w:rPr>
        <w:t xml:space="preserve">Додаток Е. Матеріали апробації</w:t>
      </w:r>
    </w:p>
    <w:p>
      <w:pPr>
        <w:spacing w:after="80" w:before="0" w:line="276"/>
        <w:ind w:firstLine="709"/>
        <w:jc w:val="both"/>
      </w:pPr>
      <w:r>
        <w:rPr>
          <w:rFonts w:ascii="Times New Roman" w:cs="Times New Roman" w:eastAsia="Times New Roman" w:hAnsi="Times New Roman"/>
          <w:sz w:val="26"/>
          <w:szCs w:val="26"/>
          <w:highlight w:val="yellow"/>
          <w:highlightCs w:val="yellow"/>
        </w:rPr>
        <w:t xml:space="preserve">[Місце для фото матеріалів (без зображень дітей), зразків заповнених аркушів без персональних даних, скріншотів уроків, відгуків, публікацій. Додайте за реєстром із файлу «Додатки до комплекту»]</w:t>
      </w:r>
    </w:p>
    <w:sectPr>
      <w:footerReference w:type="default" r:id="rId7"/>
      <w:footerReference w:type="first" r:id="rId8"/>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8"/>
        <w:szCs w:val="2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1069" w:hanging="360"/>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1069"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8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00" w:before="200"/>
      <w:jc w:val="left"/>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Авторська програма «Мої опори»</dc:title>
  <dc:creator>[автор]</dc:creator>
  <cp:lastModifiedBy>Un-named</cp:lastModifiedBy>
  <cp:revision>1</cp:revision>
  <dcterms:created xsi:type="dcterms:W3CDTF">2026-10-26T12:08:51.370Z</dcterms:created>
  <dcterms:modified xsi:type="dcterms:W3CDTF">2026-10-26T12:08:51.370Z</dcterms:modified>
</cp:coreProperties>
</file>

<file path=docProps/custom.xml><?xml version="1.0" encoding="utf-8"?>
<Properties xmlns="http://schemas.openxmlformats.org/officeDocument/2006/custom-properties" xmlns:vt="http://schemas.openxmlformats.org/officeDocument/2006/docPropsVTypes"/>
</file>