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Generador Cummins</w:t>
      </w:r>
    </w:p>
    <w:p w:rsidR="00000000" w:rsidDel="00000000" w:rsidP="00000000" w:rsidRDefault="00000000" w:rsidRPr="00000000" w14:paraId="00000002">
      <w:pPr>
        <w:rPr>
          <w:b w:val="1"/>
          <w:bCs w:val="1"/>
        </w:rPr>
      </w:pPr>
      <w:r w:rsidDel="00000000" w:rsidR="00000000" w:rsidRPr="00000000">
        <w:rPr>
          <w:b w:val="1"/>
          <w:bCs w:val="1"/>
          <w:rtl w:val="0"/>
        </w:rPr>
        <w:t xml:space="preserve">Liberación de responsabilidad</w:t>
      </w:r>
    </w:p>
    <w:p w:rsidR="00000000" w:rsidDel="00000000" w:rsidP="00000000" w:rsidRDefault="00000000" w:rsidRPr="00000000" w14:paraId="00000003">
      <w:pPr>
        <w:rPr>
          <w:b w:val="1"/>
          <w:bCs w:val="1"/>
        </w:rPr>
      </w:pPr>
      <w:r w:rsidDel="00000000" w:rsidR="00000000" w:rsidRPr="00000000">
        <w:rPr>
          <w:rtl w:val="0"/>
        </w:rPr>
        <w:t xml:space="preserve">Cummins Power Generation Limited no puede aceptar responsabilidad de ningún tipo por problemas surgidos como resultado de las siguientes recomendaciones de este manual. Los operarios deben asegurarse, antes de comenzar cualquier trabajo, de que disponen de la información más reciente. </w:t>
      </w:r>
      <w:r w:rsidDel="00000000" w:rsidR="00000000" w:rsidRPr="00000000">
        <w:rPr>
          <w:b w:val="1"/>
          <w:bCs w:val="1"/>
          <w:rtl w:val="0"/>
        </w:rPr>
        <w:t xml:space="preserve">Ver fecha de manual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