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16BB2" w14:textId="54ED70CA" w:rsidR="00792C48" w:rsidRPr="00F735B2" w:rsidRDefault="00B66322" w:rsidP="00F735B2">
      <w:pPr>
        <w:spacing w:after="0" w:line="259" w:lineRule="auto"/>
        <w:ind w:left="167" w:firstLine="0"/>
        <w:jc w:val="center"/>
        <w:rPr>
          <w:rFonts w:asciiTheme="majorBidi" w:hAnsiTheme="majorBidi" w:cstheme="majorBidi"/>
        </w:rPr>
      </w:pPr>
      <w:r w:rsidRPr="00F735B2">
        <w:rPr>
          <w:rFonts w:asciiTheme="majorBidi" w:hAnsiTheme="majorBidi" w:cstheme="majorBidi"/>
          <w:sz w:val="48"/>
        </w:rPr>
        <w:t>CricXpert: A Hybrid Approach Combining Facial and Spatio-Temporal Gait Analysis For Enhanced Fielder Recognition with LLM-Based Statistic Generation</w:t>
      </w:r>
    </w:p>
    <w:p w14:paraId="223D5984" w14:textId="77777777" w:rsidR="00792C48" w:rsidRPr="00C51F85" w:rsidRDefault="00000000">
      <w:pPr>
        <w:pStyle w:val="Heading1"/>
        <w:spacing w:after="197"/>
        <w:rPr>
          <w:rFonts w:asciiTheme="majorBidi" w:hAnsiTheme="majorBidi" w:cstheme="majorBidi"/>
        </w:rPr>
      </w:pPr>
      <w:r w:rsidRPr="00C51F85">
        <w:rPr>
          <w:rFonts w:asciiTheme="majorBidi" w:hAnsiTheme="majorBidi" w:cstheme="majorBidi"/>
          <w:vertAlign w:val="superscript"/>
        </w:rPr>
        <w:t>*</w:t>
      </w:r>
      <w:r w:rsidRPr="00C51F85">
        <w:rPr>
          <w:rFonts w:asciiTheme="majorBidi" w:hAnsiTheme="majorBidi" w:cstheme="majorBidi"/>
        </w:rPr>
        <w:t>Note: Sub-titles are not captured for https://ieeexplore.ieee.org and should not be used</w:t>
      </w:r>
    </w:p>
    <w:tbl>
      <w:tblPr>
        <w:tblStyle w:val="TableGrid"/>
        <w:tblW w:w="10212" w:type="dxa"/>
        <w:tblInd w:w="-2190" w:type="dxa"/>
        <w:tblCellMar>
          <w:top w:w="32" w:type="dxa"/>
        </w:tblCellMar>
        <w:tblLook w:val="04A0" w:firstRow="1" w:lastRow="0" w:firstColumn="1" w:lastColumn="0" w:noHBand="0" w:noVBand="1"/>
      </w:tblPr>
      <w:tblGrid>
        <w:gridCol w:w="3428"/>
        <w:gridCol w:w="3427"/>
        <w:gridCol w:w="3357"/>
      </w:tblGrid>
      <w:tr w:rsidR="00792C48" w:rsidRPr="00C51F85" w14:paraId="2C64FAF4" w14:textId="77777777" w:rsidTr="00F735B2">
        <w:trPr>
          <w:trHeight w:val="1355"/>
        </w:trPr>
        <w:tc>
          <w:tcPr>
            <w:tcW w:w="3428" w:type="dxa"/>
            <w:tcBorders>
              <w:top w:val="nil"/>
              <w:left w:val="nil"/>
              <w:bottom w:val="nil"/>
              <w:right w:val="nil"/>
            </w:tcBorders>
          </w:tcPr>
          <w:p w14:paraId="269FEC3B" w14:textId="77777777" w:rsidR="00792C48" w:rsidRPr="00C51F85" w:rsidRDefault="00000000">
            <w:pPr>
              <w:spacing w:line="259" w:lineRule="auto"/>
              <w:ind w:left="800" w:firstLine="0"/>
              <w:jc w:val="left"/>
              <w:rPr>
                <w:rFonts w:asciiTheme="majorBidi" w:hAnsiTheme="majorBidi" w:cstheme="majorBidi"/>
              </w:rPr>
            </w:pPr>
            <w:r w:rsidRPr="00C51F85">
              <w:rPr>
                <w:rFonts w:asciiTheme="majorBidi" w:hAnsiTheme="majorBidi" w:cstheme="majorBidi"/>
                <w:sz w:val="22"/>
              </w:rPr>
              <w:t>1</w:t>
            </w:r>
            <w:r w:rsidRPr="00C51F85">
              <w:rPr>
                <w:rFonts w:asciiTheme="majorBidi" w:hAnsiTheme="majorBidi" w:cstheme="majorBidi"/>
                <w:sz w:val="22"/>
                <w:vertAlign w:val="superscript"/>
              </w:rPr>
              <w:t xml:space="preserve">st </w:t>
            </w:r>
            <w:r w:rsidRPr="00C51F85">
              <w:rPr>
                <w:rFonts w:asciiTheme="majorBidi" w:hAnsiTheme="majorBidi" w:cstheme="majorBidi"/>
                <w:sz w:val="22"/>
              </w:rPr>
              <w:t>Given Name Surname</w:t>
            </w:r>
          </w:p>
          <w:p w14:paraId="60364DA7" w14:textId="77777777" w:rsidR="00792C48" w:rsidRPr="00C51F85" w:rsidRDefault="00000000">
            <w:pPr>
              <w:spacing w:after="0" w:line="243" w:lineRule="auto"/>
              <w:ind w:left="720" w:hanging="266"/>
              <w:jc w:val="left"/>
              <w:rPr>
                <w:rFonts w:asciiTheme="majorBidi" w:hAnsiTheme="majorBidi" w:cstheme="majorBidi"/>
              </w:rPr>
            </w:pPr>
            <w:r w:rsidRPr="00C51F85">
              <w:rPr>
                <w:rFonts w:asciiTheme="majorBidi" w:hAnsiTheme="majorBidi" w:cstheme="majorBidi"/>
                <w:i/>
              </w:rPr>
              <w:t>dept. name of organization (of Aff.) name of organization (of Aff.)</w:t>
            </w:r>
          </w:p>
          <w:p w14:paraId="1E4DDEAE" w14:textId="77777777" w:rsidR="00792C48" w:rsidRPr="00C51F85" w:rsidRDefault="00000000">
            <w:pPr>
              <w:spacing w:after="0" w:line="259" w:lineRule="auto"/>
              <w:ind w:left="923" w:right="469" w:firstLine="431"/>
              <w:jc w:val="left"/>
              <w:rPr>
                <w:rFonts w:asciiTheme="majorBidi" w:hAnsiTheme="majorBidi" w:cstheme="majorBidi"/>
              </w:rPr>
            </w:pPr>
            <w:r w:rsidRPr="00C51F85">
              <w:rPr>
                <w:rFonts w:asciiTheme="majorBidi" w:hAnsiTheme="majorBidi" w:cstheme="majorBidi"/>
              </w:rPr>
              <w:t>City, Country email address or ORCID</w:t>
            </w:r>
          </w:p>
        </w:tc>
        <w:tc>
          <w:tcPr>
            <w:tcW w:w="3427" w:type="dxa"/>
            <w:tcBorders>
              <w:top w:val="nil"/>
              <w:left w:val="nil"/>
              <w:bottom w:val="nil"/>
              <w:right w:val="nil"/>
            </w:tcBorders>
          </w:tcPr>
          <w:p w14:paraId="2C6478FA" w14:textId="77777777" w:rsidR="00792C48" w:rsidRPr="00C51F85" w:rsidRDefault="00000000">
            <w:pPr>
              <w:spacing w:after="7" w:line="259" w:lineRule="auto"/>
              <w:ind w:left="775" w:firstLine="0"/>
              <w:jc w:val="left"/>
              <w:rPr>
                <w:rFonts w:asciiTheme="majorBidi" w:hAnsiTheme="majorBidi" w:cstheme="majorBidi"/>
              </w:rPr>
            </w:pPr>
            <w:r w:rsidRPr="00C51F85">
              <w:rPr>
                <w:rFonts w:asciiTheme="majorBidi" w:hAnsiTheme="majorBidi" w:cstheme="majorBidi"/>
                <w:sz w:val="22"/>
              </w:rPr>
              <w:t>2</w:t>
            </w:r>
            <w:r w:rsidRPr="00C51F85">
              <w:rPr>
                <w:rFonts w:asciiTheme="majorBidi" w:hAnsiTheme="majorBidi" w:cstheme="majorBidi"/>
                <w:sz w:val="22"/>
                <w:vertAlign w:val="superscript"/>
              </w:rPr>
              <w:t xml:space="preserve">nd </w:t>
            </w:r>
            <w:r w:rsidRPr="00C51F85">
              <w:rPr>
                <w:rFonts w:asciiTheme="majorBidi" w:hAnsiTheme="majorBidi" w:cstheme="majorBidi"/>
                <w:sz w:val="22"/>
              </w:rPr>
              <w:t>Given Name Surname</w:t>
            </w:r>
          </w:p>
          <w:p w14:paraId="2581D867" w14:textId="77777777" w:rsidR="00792C48" w:rsidRPr="00C51F85" w:rsidRDefault="00000000">
            <w:pPr>
              <w:spacing w:after="0" w:line="243" w:lineRule="auto"/>
              <w:ind w:left="721" w:hanging="266"/>
              <w:jc w:val="left"/>
              <w:rPr>
                <w:rFonts w:asciiTheme="majorBidi" w:hAnsiTheme="majorBidi" w:cstheme="majorBidi"/>
              </w:rPr>
            </w:pPr>
            <w:r w:rsidRPr="00C51F85">
              <w:rPr>
                <w:rFonts w:asciiTheme="majorBidi" w:hAnsiTheme="majorBidi" w:cstheme="majorBidi"/>
                <w:i/>
              </w:rPr>
              <w:t>dept. name of organization (of Aff.) name of organization (of Aff.)</w:t>
            </w:r>
          </w:p>
          <w:p w14:paraId="0157A922" w14:textId="77777777" w:rsidR="00792C48" w:rsidRPr="00C51F85" w:rsidRDefault="00000000">
            <w:pPr>
              <w:spacing w:after="0" w:line="259" w:lineRule="auto"/>
              <w:ind w:left="923" w:right="469" w:firstLine="431"/>
              <w:jc w:val="left"/>
              <w:rPr>
                <w:rFonts w:asciiTheme="majorBidi" w:hAnsiTheme="majorBidi" w:cstheme="majorBidi"/>
              </w:rPr>
            </w:pPr>
            <w:r w:rsidRPr="00C51F85">
              <w:rPr>
                <w:rFonts w:asciiTheme="majorBidi" w:hAnsiTheme="majorBidi" w:cstheme="majorBidi"/>
              </w:rPr>
              <w:t>City, Country email address or ORCID</w:t>
            </w:r>
          </w:p>
        </w:tc>
        <w:tc>
          <w:tcPr>
            <w:tcW w:w="3357" w:type="dxa"/>
            <w:tcBorders>
              <w:top w:val="nil"/>
              <w:left w:val="nil"/>
              <w:bottom w:val="nil"/>
              <w:right w:val="nil"/>
            </w:tcBorders>
          </w:tcPr>
          <w:p w14:paraId="1B003C4B" w14:textId="77777777" w:rsidR="00792C48" w:rsidRPr="00C51F85" w:rsidRDefault="00000000">
            <w:pPr>
              <w:spacing w:after="6" w:line="259" w:lineRule="auto"/>
              <w:ind w:left="787" w:firstLine="0"/>
              <w:jc w:val="left"/>
              <w:rPr>
                <w:rFonts w:asciiTheme="majorBidi" w:hAnsiTheme="majorBidi" w:cstheme="majorBidi"/>
              </w:rPr>
            </w:pPr>
            <w:r w:rsidRPr="00C51F85">
              <w:rPr>
                <w:rFonts w:asciiTheme="majorBidi" w:hAnsiTheme="majorBidi" w:cstheme="majorBidi"/>
                <w:sz w:val="22"/>
              </w:rPr>
              <w:t>3</w:t>
            </w:r>
            <w:r w:rsidRPr="00C51F85">
              <w:rPr>
                <w:rFonts w:asciiTheme="majorBidi" w:hAnsiTheme="majorBidi" w:cstheme="majorBidi"/>
                <w:sz w:val="22"/>
                <w:vertAlign w:val="superscript"/>
              </w:rPr>
              <w:t xml:space="preserve">rd </w:t>
            </w:r>
            <w:r w:rsidRPr="00C51F85">
              <w:rPr>
                <w:rFonts w:asciiTheme="majorBidi" w:hAnsiTheme="majorBidi" w:cstheme="majorBidi"/>
                <w:sz w:val="22"/>
              </w:rPr>
              <w:t>Given Name Surname</w:t>
            </w:r>
          </w:p>
          <w:p w14:paraId="7315D2E6" w14:textId="77777777" w:rsidR="00792C48" w:rsidRPr="00C51F85" w:rsidRDefault="00000000">
            <w:pPr>
              <w:spacing w:after="0" w:line="243" w:lineRule="auto"/>
              <w:ind w:left="720" w:hanging="266"/>
              <w:jc w:val="left"/>
              <w:rPr>
                <w:rFonts w:asciiTheme="majorBidi" w:hAnsiTheme="majorBidi" w:cstheme="majorBidi"/>
              </w:rPr>
            </w:pPr>
            <w:r w:rsidRPr="00C51F85">
              <w:rPr>
                <w:rFonts w:asciiTheme="majorBidi" w:hAnsiTheme="majorBidi" w:cstheme="majorBidi"/>
                <w:i/>
              </w:rPr>
              <w:t>dept. name of organization (of Aff.) name of organization (of Aff.)</w:t>
            </w:r>
          </w:p>
          <w:p w14:paraId="2748BC1A" w14:textId="77777777" w:rsidR="00792C48" w:rsidRPr="00C51F85" w:rsidRDefault="00000000">
            <w:pPr>
              <w:spacing w:after="0" w:line="259" w:lineRule="auto"/>
              <w:ind w:left="923" w:right="399" w:firstLine="431"/>
              <w:jc w:val="left"/>
              <w:rPr>
                <w:rFonts w:asciiTheme="majorBidi" w:hAnsiTheme="majorBidi" w:cstheme="majorBidi"/>
              </w:rPr>
            </w:pPr>
            <w:r w:rsidRPr="00C51F85">
              <w:rPr>
                <w:rFonts w:asciiTheme="majorBidi" w:hAnsiTheme="majorBidi" w:cstheme="majorBidi"/>
              </w:rPr>
              <w:t>City, Country email address or ORCID</w:t>
            </w:r>
          </w:p>
        </w:tc>
      </w:tr>
    </w:tbl>
    <w:p w14:paraId="734B90BC" w14:textId="77777777" w:rsidR="00792C48" w:rsidRPr="00C51F85" w:rsidRDefault="00792C48">
      <w:pPr>
        <w:rPr>
          <w:rFonts w:asciiTheme="majorBidi" w:hAnsiTheme="majorBidi" w:cstheme="majorBidi"/>
        </w:rPr>
        <w:sectPr w:rsidR="00792C48" w:rsidRPr="00C51F85">
          <w:pgSz w:w="12240" w:h="15840"/>
          <w:pgMar w:top="1100" w:right="3337" w:bottom="1468" w:left="3169" w:header="720" w:footer="720" w:gutter="0"/>
          <w:cols w:space="720"/>
        </w:sectPr>
      </w:pPr>
    </w:p>
    <w:p w14:paraId="34FC6F76" w14:textId="77777777" w:rsidR="00792C48" w:rsidRPr="00C51F85" w:rsidRDefault="00000000">
      <w:pPr>
        <w:spacing w:after="10" w:line="216" w:lineRule="auto"/>
        <w:ind w:firstLine="199"/>
        <w:rPr>
          <w:rFonts w:asciiTheme="majorBidi" w:hAnsiTheme="majorBidi" w:cstheme="majorBidi"/>
        </w:rPr>
      </w:pPr>
      <w:r w:rsidRPr="00C51F85">
        <w:rPr>
          <w:rFonts w:asciiTheme="majorBidi" w:hAnsiTheme="majorBidi" w:cstheme="majorBidi"/>
          <w:i/>
          <w:sz w:val="18"/>
        </w:rPr>
        <w:t>Abstract</w:t>
      </w:r>
      <w:r w:rsidRPr="00C51F85">
        <w:rPr>
          <w:rFonts w:asciiTheme="majorBidi" w:hAnsiTheme="majorBidi" w:cstheme="majorBidi"/>
          <w:sz w:val="18"/>
        </w:rPr>
        <w:t>—This document is a model and instructions for L</w:t>
      </w:r>
      <w:r w:rsidRPr="00C51F85">
        <w:rPr>
          <w:rFonts w:asciiTheme="majorBidi" w:hAnsiTheme="majorBidi" w:cstheme="majorBidi"/>
          <w:sz w:val="18"/>
          <w:vertAlign w:val="superscript"/>
        </w:rPr>
        <w:t>A</w:t>
      </w:r>
      <w:r w:rsidRPr="00C51F85">
        <w:rPr>
          <w:rFonts w:asciiTheme="majorBidi" w:hAnsiTheme="majorBidi" w:cstheme="majorBidi"/>
          <w:sz w:val="18"/>
        </w:rPr>
        <w:t>T</w:t>
      </w:r>
      <w:r w:rsidRPr="00C51F85">
        <w:rPr>
          <w:rFonts w:asciiTheme="majorBidi" w:hAnsiTheme="majorBidi" w:cstheme="majorBidi"/>
          <w:sz w:val="28"/>
          <w:vertAlign w:val="subscript"/>
        </w:rPr>
        <w:t>E</w:t>
      </w:r>
      <w:r w:rsidRPr="00C51F85">
        <w:rPr>
          <w:rFonts w:asciiTheme="majorBidi" w:hAnsiTheme="majorBidi" w:cstheme="majorBidi"/>
          <w:sz w:val="18"/>
        </w:rPr>
        <w:t>X. This and the IEEEtran.cls file define the components of your paper [title, text, heads, etc.]. *CRITICAL: Do Not Use Symbols, Special Characters, Footnotes, or Math in Paper Title or Abstract.</w:t>
      </w:r>
    </w:p>
    <w:p w14:paraId="534CE2C0" w14:textId="77777777" w:rsidR="00792C48" w:rsidRPr="00C51F85" w:rsidRDefault="00000000">
      <w:pPr>
        <w:spacing w:after="278" w:line="259" w:lineRule="auto"/>
        <w:ind w:right="39" w:firstLine="0"/>
        <w:jc w:val="center"/>
        <w:rPr>
          <w:rFonts w:asciiTheme="majorBidi" w:hAnsiTheme="majorBidi" w:cstheme="majorBidi"/>
        </w:rPr>
      </w:pPr>
      <w:r w:rsidRPr="00C51F85">
        <w:rPr>
          <w:rFonts w:asciiTheme="majorBidi" w:hAnsiTheme="majorBidi" w:cstheme="majorBidi"/>
          <w:i/>
          <w:sz w:val="18"/>
        </w:rPr>
        <w:t>Index Terms</w:t>
      </w:r>
      <w:r w:rsidRPr="00C51F85">
        <w:rPr>
          <w:rFonts w:asciiTheme="majorBidi" w:hAnsiTheme="majorBidi" w:cstheme="majorBidi"/>
          <w:sz w:val="18"/>
        </w:rPr>
        <w:t>—component, formatting, style, styling, insert.</w:t>
      </w:r>
    </w:p>
    <w:p w14:paraId="47A3B445" w14:textId="77777777" w:rsidR="00792C48" w:rsidRPr="00C51F85" w:rsidRDefault="00000000">
      <w:pPr>
        <w:pStyle w:val="Heading1"/>
        <w:spacing w:after="89"/>
        <w:rPr>
          <w:rFonts w:asciiTheme="majorBidi" w:hAnsiTheme="majorBidi" w:cstheme="majorBidi"/>
        </w:rPr>
      </w:pPr>
      <w:r w:rsidRPr="00C51F85">
        <w:rPr>
          <w:rFonts w:asciiTheme="majorBidi" w:hAnsiTheme="majorBidi" w:cstheme="majorBidi"/>
          <w:sz w:val="20"/>
        </w:rPr>
        <w:t>I. I</w:t>
      </w:r>
      <w:r w:rsidRPr="00C51F85">
        <w:rPr>
          <w:rFonts w:asciiTheme="majorBidi" w:hAnsiTheme="majorBidi" w:cstheme="majorBidi"/>
        </w:rPr>
        <w:t>NTRODUCTION</w:t>
      </w:r>
    </w:p>
    <w:p w14:paraId="21D2AB5E" w14:textId="77777777" w:rsidR="004A2896" w:rsidRDefault="004A2896" w:rsidP="004A2896">
      <w:pPr>
        <w:spacing w:after="187"/>
        <w:ind w:left="-15"/>
        <w:rPr>
          <w:rFonts w:asciiTheme="majorBidi" w:hAnsiTheme="majorBidi" w:cstheme="majorBidi"/>
          <w:color w:val="FF0000"/>
        </w:rPr>
      </w:pPr>
      <w:r w:rsidRPr="004A2896">
        <w:rPr>
          <w:rFonts w:asciiTheme="majorBidi" w:hAnsiTheme="majorBidi" w:cstheme="majorBidi"/>
          <w:color w:val="FF0000"/>
        </w:rPr>
        <w:t>In the fast-paced and highly competitive realm of Twenty20 Internationals (T20i) cricket, accurate and timely player recognition is paramount for enhancing both game analytics and viewer experience. This is particularly true in the final overs of a match, where critical decisions are made and the performance of fielders can significantly influence outcomes. However, recognizing players in such dynamic environments presents a host of challenges. These include variable lighting conditions, occlusions caused by other players, and distant camera angles, which complicate the recognition process. Traditional computer vision techniques, such as Convolutional Neural Networks (CNNs), have made significant strides in recognizing objects and features in images [1]. Yet, their performance in complex real-world environments, such as sports fields, remains inconsistent, particularly when dealing with smaller datasets or noisy data [2], [3].</w:t>
      </w:r>
    </w:p>
    <w:p w14:paraId="45B1FFB8" w14:textId="77777777" w:rsidR="004A2896" w:rsidRDefault="004A2896" w:rsidP="004A2896">
      <w:pPr>
        <w:spacing w:after="187"/>
        <w:ind w:left="-15"/>
        <w:rPr>
          <w:rFonts w:asciiTheme="majorBidi" w:hAnsiTheme="majorBidi" w:cstheme="majorBidi"/>
          <w:color w:val="FF0000"/>
        </w:rPr>
      </w:pPr>
      <w:r w:rsidRPr="004A2896">
        <w:rPr>
          <w:rFonts w:asciiTheme="majorBidi" w:hAnsiTheme="majorBidi" w:cstheme="majorBidi"/>
          <w:color w:val="FF0000"/>
        </w:rPr>
        <w:t xml:space="preserve">In the context of cricket player recognition, deep learning models like ResNet and Vision Transformers have been employed for spatial feature extraction due to their success in capturing complex image patterns [4], [5]. However, despite their power, these models are prone to overfitting and lack the </w:t>
      </w:r>
      <w:r w:rsidRPr="004A2896">
        <w:rPr>
          <w:rFonts w:asciiTheme="majorBidi" w:hAnsiTheme="majorBidi" w:cstheme="majorBidi"/>
          <w:color w:val="FF0000"/>
        </w:rPr>
        <w:t xml:space="preserve">robustness needed for real-world sports analytics, where the variability of the data is high [6]. Recent research has explored hybrid models that combine deep learning feature extractors with traditional machine learning classifiers, such as Support Vector Machines (SVM) and K-Nearest Neighbors (KNN), to enhance model performance [7], [8]. For example, </w:t>
      </w:r>
      <w:r w:rsidRPr="004A2896">
        <w:rPr>
          <w:rFonts w:asciiTheme="majorBidi" w:hAnsiTheme="majorBidi" w:cstheme="majorBidi"/>
          <w:b/>
          <w:bCs/>
          <w:color w:val="FF0000"/>
        </w:rPr>
        <w:t>Özyurt (2020)</w:t>
      </w:r>
      <w:r w:rsidRPr="004A2896">
        <w:rPr>
          <w:rFonts w:asciiTheme="majorBidi" w:hAnsiTheme="majorBidi" w:cstheme="majorBidi"/>
          <w:color w:val="FF0000"/>
        </w:rPr>
        <w:t xml:space="preserve"> proposed an efficient deep feature selection technique using fused deep learning architectures, highlighting the advantages of integrating deep learning with machine learning classifiers to improve performance in complex environments [7]. Additionally, </w:t>
      </w:r>
      <w:r w:rsidRPr="004A2896">
        <w:rPr>
          <w:rFonts w:asciiTheme="majorBidi" w:hAnsiTheme="majorBidi" w:cstheme="majorBidi"/>
          <w:b/>
          <w:bCs/>
          <w:color w:val="FF0000"/>
        </w:rPr>
        <w:t>Kibriya et al. (2021)</w:t>
      </w:r>
      <w:r w:rsidRPr="004A2896">
        <w:rPr>
          <w:rFonts w:asciiTheme="majorBidi" w:hAnsiTheme="majorBidi" w:cstheme="majorBidi"/>
          <w:color w:val="FF0000"/>
        </w:rPr>
        <w:t xml:space="preserve"> explored similar hybrid approaches for brain tumor classification using CNN-SVM models, which demonstrated the effectiveness of such combinations for medical image classification tasks [8], [9].</w:t>
      </w:r>
    </w:p>
    <w:p w14:paraId="1423FA9C" w14:textId="607E1AF2" w:rsidR="004A0D15" w:rsidRPr="009606E6" w:rsidRDefault="004A2896" w:rsidP="004A2896">
      <w:pPr>
        <w:spacing w:after="187"/>
        <w:ind w:left="-15"/>
        <w:rPr>
          <w:rFonts w:asciiTheme="majorBidi" w:hAnsiTheme="majorBidi" w:cstheme="majorBidi"/>
          <w:color w:val="FF0000"/>
        </w:rPr>
      </w:pPr>
      <w:r w:rsidRPr="004A2896">
        <w:rPr>
          <w:rFonts w:asciiTheme="majorBidi" w:hAnsiTheme="majorBidi" w:cstheme="majorBidi"/>
          <w:color w:val="FF0000"/>
        </w:rPr>
        <w:t xml:space="preserve">This paper addresses these challenges by enhancing the performance of spatial recognition models through a novel fusion of deep learning feature extractors with traditional machine learning classifiers. Specifically, we utilize </w:t>
      </w:r>
      <w:r w:rsidRPr="004A2896">
        <w:rPr>
          <w:rFonts w:asciiTheme="majorBidi" w:hAnsiTheme="majorBidi" w:cstheme="majorBidi"/>
          <w:b/>
          <w:bCs/>
          <w:color w:val="FF0000"/>
        </w:rPr>
        <w:t>ResNet50</w:t>
      </w:r>
      <w:r w:rsidRPr="004A2896">
        <w:rPr>
          <w:rFonts w:asciiTheme="majorBidi" w:hAnsiTheme="majorBidi" w:cstheme="majorBidi"/>
          <w:color w:val="FF0000"/>
        </w:rPr>
        <w:t xml:space="preserve"> as the primary feature extractor and combine it with </w:t>
      </w:r>
      <w:r w:rsidRPr="004A2896">
        <w:rPr>
          <w:rFonts w:asciiTheme="majorBidi" w:hAnsiTheme="majorBidi" w:cstheme="majorBidi"/>
          <w:b/>
          <w:bCs/>
          <w:color w:val="FF0000"/>
        </w:rPr>
        <w:t>Support Vector Machines (SVM)</w:t>
      </w:r>
      <w:r w:rsidRPr="004A2896">
        <w:rPr>
          <w:rFonts w:asciiTheme="majorBidi" w:hAnsiTheme="majorBidi" w:cstheme="majorBidi"/>
          <w:color w:val="FF0000"/>
        </w:rPr>
        <w:t xml:space="preserve"> and </w:t>
      </w:r>
      <w:r w:rsidRPr="004A2896">
        <w:rPr>
          <w:rFonts w:asciiTheme="majorBidi" w:hAnsiTheme="majorBidi" w:cstheme="majorBidi"/>
          <w:b/>
          <w:bCs/>
          <w:color w:val="FF0000"/>
        </w:rPr>
        <w:t>K-Nearest Neighbors (KNN)</w:t>
      </w:r>
      <w:r w:rsidRPr="004A2896">
        <w:rPr>
          <w:rFonts w:asciiTheme="majorBidi" w:hAnsiTheme="majorBidi" w:cstheme="majorBidi"/>
          <w:color w:val="FF0000"/>
        </w:rPr>
        <w:t xml:space="preserve"> classifiers in a stacking ensemble. Stacking ensembles have been shown to improve model accuracy and robustness by leveraging the strengths of different models to correct each other’s errors [4], [5]. By integrating machine learning classifiers with deep learning models, we mitigate overfitting and improve generalizability, particularly under challenging conditions such as low-light environments and occlusions.</w:t>
      </w:r>
    </w:p>
    <w:p w14:paraId="4A876132" w14:textId="77777777" w:rsidR="00792C48" w:rsidRPr="009606E6" w:rsidRDefault="00000000">
      <w:pPr>
        <w:pStyle w:val="Heading2"/>
        <w:spacing w:after="65"/>
        <w:ind w:left="-5"/>
        <w:rPr>
          <w:rFonts w:asciiTheme="majorBidi" w:hAnsiTheme="majorBidi" w:cstheme="majorBidi"/>
          <w:color w:val="000000" w:themeColor="text1"/>
        </w:rPr>
      </w:pPr>
      <w:r w:rsidRPr="009606E6">
        <w:rPr>
          <w:rFonts w:asciiTheme="majorBidi" w:hAnsiTheme="majorBidi" w:cstheme="majorBidi"/>
          <w:color w:val="000000" w:themeColor="text1"/>
        </w:rPr>
        <w:lastRenderedPageBreak/>
        <w:t>A. Maintaining the Integrity of the Specifications</w:t>
      </w:r>
    </w:p>
    <w:p w14:paraId="46A89527" w14:textId="77777777" w:rsidR="00792C48" w:rsidRPr="009606E6" w:rsidRDefault="00000000">
      <w:pPr>
        <w:spacing w:after="208"/>
        <w:ind w:left="-15"/>
        <w:rPr>
          <w:rFonts w:asciiTheme="majorBidi" w:hAnsiTheme="majorBidi" w:cstheme="majorBidi"/>
          <w:color w:val="000000" w:themeColor="text1"/>
        </w:rPr>
      </w:pPr>
      <w:r w:rsidRPr="009606E6">
        <w:rPr>
          <w:rFonts w:asciiTheme="majorBidi" w:hAnsiTheme="majorBidi" w:cstheme="majorBidi"/>
          <w:color w:val="000000" w:themeColor="text1"/>
        </w:rPr>
        <w:t>The IEEEtran class file is used to format your paper and style the text. All margins, column widths, line spaces, and text fonts are prescribed; please do not alter them. You may note peculiarities. For example, the head margin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C6ED8C7" w14:textId="77777777" w:rsidR="00792C48" w:rsidRPr="00C51F85" w:rsidRDefault="00000000">
      <w:pPr>
        <w:pStyle w:val="Heading1"/>
        <w:spacing w:after="87"/>
        <w:rPr>
          <w:rFonts w:asciiTheme="majorBidi" w:hAnsiTheme="majorBidi" w:cstheme="majorBidi"/>
        </w:rPr>
      </w:pPr>
      <w:r w:rsidRPr="00C51F85">
        <w:rPr>
          <w:rFonts w:asciiTheme="majorBidi" w:hAnsiTheme="majorBidi" w:cstheme="majorBidi"/>
          <w:sz w:val="20"/>
        </w:rPr>
        <w:t>II. P</w:t>
      </w:r>
      <w:r w:rsidRPr="00C51F85">
        <w:rPr>
          <w:rFonts w:asciiTheme="majorBidi" w:hAnsiTheme="majorBidi" w:cstheme="majorBidi"/>
        </w:rPr>
        <w:t xml:space="preserve">REPARE </w:t>
      </w:r>
      <w:r w:rsidRPr="00C51F85">
        <w:rPr>
          <w:rFonts w:asciiTheme="majorBidi" w:hAnsiTheme="majorBidi" w:cstheme="majorBidi"/>
          <w:sz w:val="20"/>
        </w:rPr>
        <w:t>Y</w:t>
      </w:r>
      <w:r w:rsidRPr="00C51F85">
        <w:rPr>
          <w:rFonts w:asciiTheme="majorBidi" w:hAnsiTheme="majorBidi" w:cstheme="majorBidi"/>
        </w:rPr>
        <w:t xml:space="preserve">OUR </w:t>
      </w:r>
      <w:r w:rsidRPr="00C51F85">
        <w:rPr>
          <w:rFonts w:asciiTheme="majorBidi" w:hAnsiTheme="majorBidi" w:cstheme="majorBidi"/>
          <w:sz w:val="20"/>
        </w:rPr>
        <w:t>P</w:t>
      </w:r>
      <w:r w:rsidRPr="00C51F85">
        <w:rPr>
          <w:rFonts w:asciiTheme="majorBidi" w:hAnsiTheme="majorBidi" w:cstheme="majorBidi"/>
        </w:rPr>
        <w:t xml:space="preserve">APER </w:t>
      </w:r>
      <w:r w:rsidRPr="00C51F85">
        <w:rPr>
          <w:rFonts w:asciiTheme="majorBidi" w:hAnsiTheme="majorBidi" w:cstheme="majorBidi"/>
          <w:sz w:val="20"/>
        </w:rPr>
        <w:t>B</w:t>
      </w:r>
      <w:r w:rsidRPr="00C51F85">
        <w:rPr>
          <w:rFonts w:asciiTheme="majorBidi" w:hAnsiTheme="majorBidi" w:cstheme="majorBidi"/>
        </w:rPr>
        <w:t xml:space="preserve">EFORE </w:t>
      </w:r>
      <w:r w:rsidRPr="00C51F85">
        <w:rPr>
          <w:rFonts w:asciiTheme="majorBidi" w:hAnsiTheme="majorBidi" w:cstheme="majorBidi"/>
          <w:sz w:val="20"/>
        </w:rPr>
        <w:t>S</w:t>
      </w:r>
      <w:r w:rsidRPr="00C51F85">
        <w:rPr>
          <w:rFonts w:asciiTheme="majorBidi" w:hAnsiTheme="majorBidi" w:cstheme="majorBidi"/>
        </w:rPr>
        <w:t>TYLING</w:t>
      </w:r>
    </w:p>
    <w:p w14:paraId="537F1B70" w14:textId="77777777" w:rsidR="00792C48" w:rsidRPr="00C51F85" w:rsidRDefault="00000000">
      <w:pPr>
        <w:ind w:left="-15"/>
        <w:rPr>
          <w:rFonts w:asciiTheme="majorBidi" w:hAnsiTheme="majorBidi" w:cstheme="majorBidi"/>
        </w:rPr>
      </w:pPr>
      <w:r w:rsidRPr="00C51F85">
        <w:rPr>
          <w:rFonts w:asciiTheme="majorBidi" w:hAnsiTheme="majorBidi" w:cstheme="majorBidi"/>
        </w:rPr>
        <w:t>Before you begin to format your paper, first write and save the content as a separate text file. Complete all content and organizational editing before formatting. Please note sections II-A to II-H below for more information on proofreading, spelling and grammar.</w:t>
      </w:r>
    </w:p>
    <w:p w14:paraId="4E4C8D06" w14:textId="77777777" w:rsidR="00792C48" w:rsidRPr="00C51F85" w:rsidRDefault="00000000">
      <w:pPr>
        <w:spacing w:after="106"/>
        <w:ind w:left="-15"/>
        <w:rPr>
          <w:rFonts w:asciiTheme="majorBidi" w:hAnsiTheme="majorBidi" w:cstheme="majorBidi"/>
        </w:rPr>
      </w:pPr>
      <w:r w:rsidRPr="00C51F85">
        <w:rPr>
          <w:rFonts w:asciiTheme="majorBidi" w:hAnsiTheme="majorBidi" w:cstheme="majorBidi"/>
        </w:rPr>
        <w:t>Keep your text and graphic files separate until after the text has been formatted and styled. Do not number text heads— L</w:t>
      </w:r>
      <w:r w:rsidRPr="00C51F85">
        <w:rPr>
          <w:rFonts w:asciiTheme="majorBidi" w:hAnsiTheme="majorBidi" w:cstheme="majorBidi"/>
          <w:vertAlign w:val="superscript"/>
        </w:rPr>
        <w:t>A</w:t>
      </w:r>
      <w:r w:rsidRPr="00C51F85">
        <w:rPr>
          <w:rFonts w:asciiTheme="majorBidi" w:hAnsiTheme="majorBidi" w:cstheme="majorBidi"/>
        </w:rPr>
        <w:t>T</w:t>
      </w:r>
      <w:r w:rsidRPr="00C51F85">
        <w:rPr>
          <w:rFonts w:asciiTheme="majorBidi" w:hAnsiTheme="majorBidi" w:cstheme="majorBidi"/>
          <w:sz w:val="31"/>
          <w:vertAlign w:val="subscript"/>
        </w:rPr>
        <w:t>E</w:t>
      </w:r>
      <w:r w:rsidRPr="00C51F85">
        <w:rPr>
          <w:rFonts w:asciiTheme="majorBidi" w:hAnsiTheme="majorBidi" w:cstheme="majorBidi"/>
        </w:rPr>
        <w:t>X will do that for you.</w:t>
      </w:r>
    </w:p>
    <w:p w14:paraId="69CB0A40" w14:textId="77777777" w:rsidR="00792C48" w:rsidRPr="00C51F85" w:rsidRDefault="00000000">
      <w:pPr>
        <w:spacing w:after="23" w:line="225" w:lineRule="auto"/>
        <w:ind w:left="159" w:firstLine="0"/>
        <w:rPr>
          <w:rFonts w:asciiTheme="majorBidi" w:hAnsiTheme="majorBidi" w:cstheme="majorBidi"/>
        </w:rPr>
      </w:pPr>
      <w:r w:rsidRPr="00C51F85">
        <w:rPr>
          <w:rFonts w:asciiTheme="majorBidi" w:hAnsiTheme="majorBidi" w:cstheme="majorBidi"/>
          <w:sz w:val="16"/>
        </w:rPr>
        <w:t>Identify applicable funding agency here. If none, delete this.</w:t>
      </w:r>
    </w:p>
    <w:p w14:paraId="2D5528BF" w14:textId="77777777" w:rsidR="00792C48" w:rsidRPr="00C51F85" w:rsidRDefault="00000000">
      <w:pPr>
        <w:pStyle w:val="Heading2"/>
        <w:ind w:left="-5"/>
        <w:rPr>
          <w:rFonts w:asciiTheme="majorBidi" w:hAnsiTheme="majorBidi" w:cstheme="majorBidi"/>
        </w:rPr>
      </w:pPr>
      <w:r w:rsidRPr="00C51F85">
        <w:rPr>
          <w:rFonts w:asciiTheme="majorBidi" w:hAnsiTheme="majorBidi" w:cstheme="majorBidi"/>
        </w:rPr>
        <w:t>A. Abbreviations and Acronyms</w:t>
      </w:r>
    </w:p>
    <w:p w14:paraId="3708E5A7" w14:textId="77777777" w:rsidR="00792C48" w:rsidRPr="00C51F85" w:rsidRDefault="00000000">
      <w:pPr>
        <w:spacing w:after="90"/>
        <w:ind w:left="-15"/>
        <w:rPr>
          <w:rFonts w:asciiTheme="majorBidi" w:hAnsiTheme="majorBidi" w:cstheme="majorBidi"/>
        </w:rPr>
      </w:pPr>
      <w:r w:rsidRPr="00C51F85">
        <w:rPr>
          <w:rFonts w:asciiTheme="majorBidi" w:hAnsiTheme="majorBidi" w:cstheme="majorBidi"/>
        </w:rPr>
        <w:t>Define abbreviations and acronyms the first time they are used in the text, even after they have been defined in the abstract. Abbreviations such as IEEE, SI, MKS, CGS, ac, dc, and rms do not have to be defined. Do not use abbreviations in the title or heads unless they are unavoidable.</w:t>
      </w:r>
    </w:p>
    <w:p w14:paraId="6B5F0F55" w14:textId="77777777" w:rsidR="00792C48" w:rsidRPr="00C51F85" w:rsidRDefault="00000000">
      <w:pPr>
        <w:pStyle w:val="Heading2"/>
        <w:ind w:left="-5"/>
        <w:rPr>
          <w:rFonts w:asciiTheme="majorBidi" w:hAnsiTheme="majorBidi" w:cstheme="majorBidi"/>
        </w:rPr>
      </w:pPr>
      <w:r w:rsidRPr="00C51F85">
        <w:rPr>
          <w:rFonts w:asciiTheme="majorBidi" w:hAnsiTheme="majorBidi" w:cstheme="majorBidi"/>
        </w:rPr>
        <w:t>B. Units</w:t>
      </w:r>
    </w:p>
    <w:p w14:paraId="38DC1DA6" w14:textId="77777777" w:rsidR="00792C48" w:rsidRPr="00C51F85" w:rsidRDefault="00000000">
      <w:pPr>
        <w:numPr>
          <w:ilvl w:val="0"/>
          <w:numId w:val="1"/>
        </w:numPr>
        <w:ind w:hanging="201"/>
        <w:rPr>
          <w:rFonts w:asciiTheme="majorBidi" w:hAnsiTheme="majorBidi" w:cstheme="majorBidi"/>
        </w:rPr>
      </w:pPr>
      <w:r w:rsidRPr="00C51F85">
        <w:rPr>
          <w:rFonts w:asciiTheme="majorBidi" w:hAnsiTheme="majorBidi" w:cstheme="majorBidi"/>
        </w:rPr>
        <w:t>Use either SI (MKS) or CGS as primary units. (SI units are encouraged.) English units may be used as secondary units (in parentheses). An exception would be the use of English units as identifiers in trade, such as “3.5-inch disk drive”.</w:t>
      </w:r>
    </w:p>
    <w:p w14:paraId="6F6A4730" w14:textId="77777777" w:rsidR="00792C48" w:rsidRPr="00C51F85" w:rsidRDefault="00000000">
      <w:pPr>
        <w:numPr>
          <w:ilvl w:val="0"/>
          <w:numId w:val="1"/>
        </w:numPr>
        <w:ind w:hanging="201"/>
        <w:rPr>
          <w:rFonts w:asciiTheme="majorBidi" w:hAnsiTheme="majorBidi" w:cstheme="majorBidi"/>
        </w:rPr>
      </w:pPr>
      <w:r w:rsidRPr="00C51F85">
        <w:rPr>
          <w:rFonts w:asciiTheme="majorBidi" w:hAnsiTheme="majorBidi" w:cstheme="majorBidi"/>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B39ED21" w14:textId="77777777" w:rsidR="00792C48" w:rsidRPr="00C51F85" w:rsidRDefault="00000000">
      <w:pPr>
        <w:numPr>
          <w:ilvl w:val="0"/>
          <w:numId w:val="1"/>
        </w:numPr>
        <w:ind w:hanging="201"/>
        <w:rPr>
          <w:rFonts w:asciiTheme="majorBidi" w:hAnsiTheme="majorBidi" w:cstheme="majorBidi"/>
        </w:rPr>
      </w:pPr>
      <w:r w:rsidRPr="00C51F85">
        <w:rPr>
          <w:rFonts w:asciiTheme="majorBidi" w:hAnsiTheme="majorBidi" w:cstheme="majorBidi"/>
        </w:rPr>
        <w:t>Do not mix complete spellings and abbreviations of units: “Wb/m</w:t>
      </w:r>
      <w:r w:rsidRPr="00C51F85">
        <w:rPr>
          <w:rFonts w:asciiTheme="majorBidi" w:hAnsiTheme="majorBidi" w:cstheme="majorBidi"/>
          <w:vertAlign w:val="superscript"/>
        </w:rPr>
        <w:t>2</w:t>
      </w:r>
      <w:r w:rsidRPr="00C51F85">
        <w:rPr>
          <w:rFonts w:asciiTheme="majorBidi" w:hAnsiTheme="majorBidi" w:cstheme="majorBidi"/>
        </w:rPr>
        <w:t>” or “webers per square meter”, not “webers/m</w:t>
      </w:r>
      <w:r w:rsidRPr="00C51F85">
        <w:rPr>
          <w:rFonts w:asciiTheme="majorBidi" w:hAnsiTheme="majorBidi" w:cstheme="majorBidi"/>
          <w:vertAlign w:val="superscript"/>
        </w:rPr>
        <w:t>2</w:t>
      </w:r>
      <w:r w:rsidRPr="00C51F85">
        <w:rPr>
          <w:rFonts w:asciiTheme="majorBidi" w:hAnsiTheme="majorBidi" w:cstheme="majorBidi"/>
        </w:rPr>
        <w:t>”. Spell out units when they appear in text: “. . . a few henries”, not “. . . a few H”.</w:t>
      </w:r>
    </w:p>
    <w:p w14:paraId="584AEC05" w14:textId="77777777" w:rsidR="00792C48" w:rsidRPr="00C51F85" w:rsidRDefault="00000000">
      <w:pPr>
        <w:numPr>
          <w:ilvl w:val="0"/>
          <w:numId w:val="1"/>
        </w:numPr>
        <w:spacing w:after="0" w:line="259" w:lineRule="auto"/>
        <w:ind w:hanging="201"/>
        <w:rPr>
          <w:rFonts w:asciiTheme="majorBidi" w:hAnsiTheme="majorBidi" w:cstheme="majorBidi"/>
        </w:rPr>
      </w:pPr>
      <w:r w:rsidRPr="00C51F85">
        <w:rPr>
          <w:rFonts w:asciiTheme="majorBidi" w:hAnsiTheme="majorBidi" w:cstheme="majorBidi"/>
        </w:rPr>
        <w:t>Use a zero before decimal points: “0.25”, not “.25”. Use</w:t>
      </w:r>
    </w:p>
    <w:p w14:paraId="4D4D5E46" w14:textId="77777777" w:rsidR="00792C48" w:rsidRPr="00C51F85" w:rsidRDefault="00000000">
      <w:pPr>
        <w:spacing w:after="114"/>
        <w:ind w:left="400" w:firstLine="0"/>
        <w:rPr>
          <w:rFonts w:asciiTheme="majorBidi" w:hAnsiTheme="majorBidi" w:cstheme="majorBidi"/>
        </w:rPr>
      </w:pPr>
      <w:r w:rsidRPr="00C51F85">
        <w:rPr>
          <w:rFonts w:asciiTheme="majorBidi" w:hAnsiTheme="majorBidi" w:cstheme="majorBidi"/>
        </w:rPr>
        <w:t>“cm</w:t>
      </w:r>
      <w:r w:rsidRPr="00C51F85">
        <w:rPr>
          <w:rFonts w:asciiTheme="majorBidi" w:hAnsiTheme="majorBidi" w:cstheme="majorBidi"/>
          <w:vertAlign w:val="superscript"/>
        </w:rPr>
        <w:t>3</w:t>
      </w:r>
      <w:r w:rsidRPr="00C51F85">
        <w:rPr>
          <w:rFonts w:asciiTheme="majorBidi" w:hAnsiTheme="majorBidi" w:cstheme="majorBidi"/>
        </w:rPr>
        <w:t>”, not “cc”.)</w:t>
      </w:r>
    </w:p>
    <w:p w14:paraId="2C2670D5" w14:textId="77777777" w:rsidR="00792C48" w:rsidRPr="00C51F85" w:rsidRDefault="00000000">
      <w:pPr>
        <w:pStyle w:val="Heading2"/>
        <w:ind w:left="-5"/>
        <w:rPr>
          <w:rFonts w:asciiTheme="majorBidi" w:hAnsiTheme="majorBidi" w:cstheme="majorBidi"/>
        </w:rPr>
      </w:pPr>
      <w:r w:rsidRPr="00C51F85">
        <w:rPr>
          <w:rFonts w:asciiTheme="majorBidi" w:hAnsiTheme="majorBidi" w:cstheme="majorBidi"/>
        </w:rPr>
        <w:t>C. Equations</w:t>
      </w:r>
    </w:p>
    <w:p w14:paraId="59C36735" w14:textId="77777777" w:rsidR="00792C48" w:rsidRPr="00C51F85" w:rsidRDefault="00000000">
      <w:pPr>
        <w:ind w:left="-15"/>
        <w:rPr>
          <w:rFonts w:asciiTheme="majorBidi" w:hAnsiTheme="majorBidi" w:cstheme="majorBidi"/>
        </w:rPr>
      </w:pPr>
      <w:r w:rsidRPr="00C51F85">
        <w:rPr>
          <w:rFonts w:asciiTheme="majorBidi" w:hAnsiTheme="majorBidi" w:cstheme="majorBidi"/>
        </w:rPr>
        <w:t>Number equations consecutively.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385B2F33" w14:textId="77777777" w:rsidR="00792C48" w:rsidRPr="00C51F85" w:rsidRDefault="00000000">
      <w:pPr>
        <w:tabs>
          <w:tab w:val="center" w:pos="2505"/>
          <w:tab w:val="right" w:pos="5021"/>
        </w:tabs>
        <w:spacing w:after="88" w:line="259" w:lineRule="auto"/>
        <w:ind w:firstLine="0"/>
        <w:jc w:val="left"/>
        <w:rPr>
          <w:rFonts w:asciiTheme="majorBidi" w:hAnsiTheme="majorBidi" w:cstheme="majorBidi"/>
        </w:rPr>
      </w:pPr>
      <w:r w:rsidRPr="00C51F85">
        <w:rPr>
          <w:rFonts w:asciiTheme="majorBidi" w:hAnsiTheme="majorBidi" w:cstheme="majorBidi"/>
          <w:sz w:val="22"/>
        </w:rPr>
        <w:tab/>
      </w:r>
      <w:r w:rsidRPr="00C51F85">
        <w:rPr>
          <w:rFonts w:asciiTheme="majorBidi" w:eastAsia="Cambria" w:hAnsiTheme="majorBidi" w:cstheme="majorBidi"/>
          <w:i/>
        </w:rPr>
        <w:t xml:space="preserve">a </w:t>
      </w:r>
      <w:r w:rsidRPr="00C51F85">
        <w:rPr>
          <w:rFonts w:asciiTheme="majorBidi" w:eastAsia="Cambria" w:hAnsiTheme="majorBidi" w:cstheme="majorBidi"/>
        </w:rPr>
        <w:t xml:space="preserve">+ </w:t>
      </w:r>
      <w:r w:rsidRPr="00C51F85">
        <w:rPr>
          <w:rFonts w:asciiTheme="majorBidi" w:eastAsia="Cambria" w:hAnsiTheme="majorBidi" w:cstheme="majorBidi"/>
          <w:i/>
        </w:rPr>
        <w:t xml:space="preserve">b </w:t>
      </w:r>
      <w:r w:rsidRPr="00C51F85">
        <w:rPr>
          <w:rFonts w:asciiTheme="majorBidi" w:eastAsia="Cambria" w:hAnsiTheme="majorBidi" w:cstheme="majorBidi"/>
        </w:rPr>
        <w:t xml:space="preserve">= </w:t>
      </w:r>
      <w:r w:rsidRPr="00C51F85">
        <w:rPr>
          <w:rFonts w:asciiTheme="majorBidi" w:eastAsia="Cambria" w:hAnsiTheme="majorBidi" w:cstheme="majorBidi"/>
          <w:i/>
        </w:rPr>
        <w:t>γ</w:t>
      </w:r>
      <w:r w:rsidRPr="00C51F85">
        <w:rPr>
          <w:rFonts w:asciiTheme="majorBidi" w:eastAsia="Cambria" w:hAnsiTheme="majorBidi" w:cstheme="majorBidi"/>
          <w:i/>
        </w:rPr>
        <w:tab/>
      </w:r>
      <w:r w:rsidRPr="00C51F85">
        <w:rPr>
          <w:rFonts w:asciiTheme="majorBidi" w:hAnsiTheme="majorBidi" w:cstheme="majorBidi"/>
        </w:rPr>
        <w:t>(1)</w:t>
      </w:r>
    </w:p>
    <w:p w14:paraId="1D2E944B" w14:textId="77777777" w:rsidR="00792C48" w:rsidRPr="00C51F85" w:rsidRDefault="00000000">
      <w:pPr>
        <w:spacing w:after="152"/>
        <w:ind w:left="-15"/>
        <w:rPr>
          <w:rFonts w:asciiTheme="majorBidi" w:hAnsiTheme="majorBidi" w:cstheme="majorBidi"/>
        </w:rPr>
      </w:pPr>
      <w:r w:rsidRPr="00C51F85">
        <w:rPr>
          <w:rFonts w:asciiTheme="majorBidi" w:hAnsiTheme="majorBidi" w:cstheme="majorBidi"/>
        </w:rPr>
        <w:t>Be sure that the symbols in your equation have been defined before or immediately following the equation. Use “(1)”, not “Eq. (1)” or “equation (1)”, except at the beginning of a sentence: “Equation (1) is . . .”</w:t>
      </w:r>
    </w:p>
    <w:p w14:paraId="1EFBAFC7" w14:textId="77777777" w:rsidR="00792C48" w:rsidRPr="00C51F85" w:rsidRDefault="00000000">
      <w:pPr>
        <w:pStyle w:val="Heading2"/>
        <w:spacing w:after="0"/>
        <w:ind w:left="-5"/>
        <w:rPr>
          <w:rFonts w:asciiTheme="majorBidi" w:hAnsiTheme="majorBidi" w:cstheme="majorBidi"/>
        </w:rPr>
      </w:pPr>
      <w:r w:rsidRPr="00C51F85">
        <w:rPr>
          <w:rFonts w:asciiTheme="majorBidi" w:hAnsiTheme="majorBidi" w:cstheme="majorBidi"/>
        </w:rPr>
        <w:t>D. L</w:t>
      </w:r>
      <w:r w:rsidRPr="00C51F85">
        <w:rPr>
          <w:rFonts w:asciiTheme="majorBidi" w:hAnsiTheme="majorBidi" w:cstheme="majorBidi"/>
          <w:vertAlign w:val="superscript"/>
        </w:rPr>
        <w:t>A</w:t>
      </w:r>
      <w:r w:rsidRPr="00C51F85">
        <w:rPr>
          <w:rFonts w:asciiTheme="majorBidi" w:hAnsiTheme="majorBidi" w:cstheme="majorBidi"/>
        </w:rPr>
        <w:t>T</w:t>
      </w:r>
      <w:r w:rsidRPr="00C51F85">
        <w:rPr>
          <w:rFonts w:asciiTheme="majorBidi" w:hAnsiTheme="majorBidi" w:cstheme="majorBidi"/>
          <w:sz w:val="31"/>
          <w:vertAlign w:val="subscript"/>
        </w:rPr>
        <w:t>E</w:t>
      </w:r>
      <w:r w:rsidRPr="00C51F85">
        <w:rPr>
          <w:rFonts w:asciiTheme="majorBidi" w:hAnsiTheme="majorBidi" w:cstheme="majorBidi"/>
        </w:rPr>
        <w:t>X-Specific Advice</w:t>
      </w:r>
    </w:p>
    <w:p w14:paraId="3893376A" w14:textId="77777777" w:rsidR="00792C48" w:rsidRPr="00C51F85" w:rsidRDefault="00000000">
      <w:pPr>
        <w:ind w:left="-15"/>
        <w:rPr>
          <w:rFonts w:asciiTheme="majorBidi" w:hAnsiTheme="majorBidi" w:cstheme="majorBidi"/>
        </w:rPr>
      </w:pPr>
      <w:r w:rsidRPr="00C51F85">
        <w:rPr>
          <w:rFonts w:asciiTheme="majorBidi" w:hAnsiTheme="majorBidi" w:cstheme="majorBidi"/>
        </w:rPr>
        <w:t>Please use “soft” (e.g., \eqref{Eq}) cross references instead of “hard” references (e.g., (1)). That will make it possible to combine sections, add equations, or change the order of figures or citations without having to go through the file line by line.</w:t>
      </w:r>
    </w:p>
    <w:p w14:paraId="02C1BA59" w14:textId="77777777" w:rsidR="00792C48" w:rsidRPr="00C51F85" w:rsidRDefault="00000000">
      <w:pPr>
        <w:ind w:left="-15"/>
        <w:rPr>
          <w:rFonts w:asciiTheme="majorBidi" w:hAnsiTheme="majorBidi" w:cstheme="majorBidi"/>
        </w:rPr>
      </w:pPr>
      <w:r w:rsidRPr="00C51F85">
        <w:rPr>
          <w:rFonts w:asciiTheme="majorBidi" w:hAnsiTheme="majorBidi" w:cstheme="majorBidi"/>
        </w:rPr>
        <w:t>Please don’t use the {eqnarray} equation environment. Use {align} or {IEEEeqnarray} instead. The {eqnarray} environment leaves unsightly spaces around relation symbols.</w:t>
      </w:r>
    </w:p>
    <w:p w14:paraId="5D169DD4" w14:textId="77777777" w:rsidR="00792C48" w:rsidRPr="00C51F85" w:rsidRDefault="00000000">
      <w:pPr>
        <w:ind w:left="-15"/>
        <w:rPr>
          <w:rFonts w:asciiTheme="majorBidi" w:hAnsiTheme="majorBidi" w:cstheme="majorBidi"/>
        </w:rPr>
      </w:pPr>
      <w:r w:rsidRPr="00C51F85">
        <w:rPr>
          <w:rFonts w:asciiTheme="majorBidi" w:hAnsiTheme="majorBidi" w:cstheme="majorBidi"/>
        </w:rPr>
        <w:t>Please note that the {subequations} environment in L</w:t>
      </w:r>
      <w:r w:rsidRPr="00C51F85">
        <w:rPr>
          <w:rFonts w:asciiTheme="majorBidi" w:hAnsiTheme="majorBidi" w:cstheme="majorBidi"/>
          <w:vertAlign w:val="superscript"/>
        </w:rPr>
        <w:t>A</w:t>
      </w:r>
      <w:r w:rsidRPr="00C51F85">
        <w:rPr>
          <w:rFonts w:asciiTheme="majorBidi" w:hAnsiTheme="majorBidi" w:cstheme="majorBidi"/>
        </w:rPr>
        <w:t>T</w:t>
      </w:r>
      <w:r w:rsidRPr="00C51F85">
        <w:rPr>
          <w:rFonts w:asciiTheme="majorBidi" w:hAnsiTheme="majorBidi" w:cstheme="majorBidi"/>
          <w:sz w:val="31"/>
          <w:vertAlign w:val="subscript"/>
        </w:rPr>
        <w:t>E</w:t>
      </w:r>
      <w:r w:rsidRPr="00C51F85">
        <w:rPr>
          <w:rFonts w:asciiTheme="majorBidi" w:hAnsiTheme="majorBidi" w:cstheme="majorBidi"/>
        </w:rPr>
        <w:t>X will increment the main equation counter even when there are no equation numbers displayed. If you forget that, you might write an article in which the equation numbers skip from (17) to (20), causing the copy editors to wonder if you’ve discovered a new method of counting.</w:t>
      </w:r>
    </w:p>
    <w:p w14:paraId="47B1C262" w14:textId="77777777" w:rsidR="00792C48" w:rsidRPr="00C51F85" w:rsidRDefault="00000000">
      <w:pPr>
        <w:spacing w:after="37"/>
        <w:ind w:left="-15"/>
        <w:rPr>
          <w:rFonts w:asciiTheme="majorBidi" w:hAnsiTheme="majorBidi" w:cstheme="majorBidi"/>
        </w:rPr>
      </w:pPr>
      <w:r w:rsidRPr="00C51F85">
        <w:rPr>
          <w:rFonts w:asciiTheme="majorBidi" w:hAnsiTheme="majorBidi" w:cstheme="majorBidi"/>
        </w:rPr>
        <w:t>B</w:t>
      </w:r>
      <w:r w:rsidRPr="00C51F85">
        <w:rPr>
          <w:rFonts w:asciiTheme="majorBidi" w:hAnsiTheme="majorBidi" w:cstheme="majorBidi"/>
          <w:sz w:val="16"/>
        </w:rPr>
        <w:t>IB</w:t>
      </w:r>
      <w:r w:rsidRPr="00C51F85">
        <w:rPr>
          <w:rFonts w:asciiTheme="majorBidi" w:hAnsiTheme="majorBidi" w:cstheme="majorBidi"/>
        </w:rPr>
        <w:t>TEX does not work by magic. It doesn’t get the bibliographic data from thin air but from .bib files. If you use B</w:t>
      </w:r>
      <w:r w:rsidRPr="00C51F85">
        <w:rPr>
          <w:rFonts w:asciiTheme="majorBidi" w:hAnsiTheme="majorBidi" w:cstheme="majorBidi"/>
          <w:sz w:val="16"/>
        </w:rPr>
        <w:t>IB</w:t>
      </w:r>
      <w:r w:rsidRPr="00C51F85">
        <w:rPr>
          <w:rFonts w:asciiTheme="majorBidi" w:hAnsiTheme="majorBidi" w:cstheme="majorBidi"/>
        </w:rPr>
        <w:t>TEX to produce a bibliography you must send the .bib files.</w:t>
      </w:r>
    </w:p>
    <w:p w14:paraId="097AF775" w14:textId="77777777" w:rsidR="00792C48" w:rsidRPr="00C51F85" w:rsidRDefault="00000000">
      <w:pPr>
        <w:ind w:left="-15"/>
        <w:rPr>
          <w:rFonts w:asciiTheme="majorBidi" w:hAnsiTheme="majorBidi" w:cstheme="majorBidi"/>
        </w:rPr>
      </w:pPr>
      <w:r w:rsidRPr="00C51F85">
        <w:rPr>
          <w:rFonts w:asciiTheme="majorBidi" w:hAnsiTheme="majorBidi" w:cstheme="majorBidi"/>
        </w:rPr>
        <w:t>L</w:t>
      </w:r>
      <w:r w:rsidRPr="00C51F85">
        <w:rPr>
          <w:rFonts w:asciiTheme="majorBidi" w:hAnsiTheme="majorBidi" w:cstheme="majorBidi"/>
          <w:vertAlign w:val="superscript"/>
        </w:rPr>
        <w:t>A</w:t>
      </w:r>
      <w:r w:rsidRPr="00C51F85">
        <w:rPr>
          <w:rFonts w:asciiTheme="majorBidi" w:hAnsiTheme="majorBidi" w:cstheme="majorBidi"/>
        </w:rPr>
        <w:t>T</w:t>
      </w:r>
      <w:r w:rsidRPr="00C51F85">
        <w:rPr>
          <w:rFonts w:asciiTheme="majorBidi" w:hAnsiTheme="majorBidi" w:cstheme="majorBidi"/>
          <w:sz w:val="31"/>
          <w:vertAlign w:val="subscript"/>
        </w:rPr>
        <w:t>E</w:t>
      </w:r>
      <w:r w:rsidRPr="00C51F85">
        <w:rPr>
          <w:rFonts w:asciiTheme="majorBidi" w:hAnsiTheme="majorBidi" w:cstheme="majorBidi"/>
        </w:rPr>
        <w:t>X can’t read your mind. If you assign the same label to a subsubsection and a table, you might find that Table I has been cross referenced as Table IV-B3.</w:t>
      </w:r>
    </w:p>
    <w:p w14:paraId="4D73EC6A" w14:textId="77777777" w:rsidR="00792C48" w:rsidRPr="00C51F85" w:rsidRDefault="00000000">
      <w:pPr>
        <w:ind w:left="-15"/>
        <w:rPr>
          <w:rFonts w:asciiTheme="majorBidi" w:hAnsiTheme="majorBidi" w:cstheme="majorBidi"/>
        </w:rPr>
      </w:pPr>
      <w:r w:rsidRPr="00C51F85">
        <w:rPr>
          <w:rFonts w:asciiTheme="majorBidi" w:hAnsiTheme="majorBidi" w:cstheme="majorBidi"/>
        </w:rPr>
        <w:t>L</w:t>
      </w:r>
      <w:r w:rsidRPr="00C51F85">
        <w:rPr>
          <w:rFonts w:asciiTheme="majorBidi" w:hAnsiTheme="majorBidi" w:cstheme="majorBidi"/>
          <w:vertAlign w:val="superscript"/>
        </w:rPr>
        <w:t>A</w:t>
      </w:r>
      <w:r w:rsidRPr="00C51F85">
        <w:rPr>
          <w:rFonts w:asciiTheme="majorBidi" w:hAnsiTheme="majorBidi" w:cstheme="majorBidi"/>
        </w:rPr>
        <w:t>T</w:t>
      </w:r>
      <w:r w:rsidRPr="00C51F85">
        <w:rPr>
          <w:rFonts w:asciiTheme="majorBidi" w:hAnsiTheme="majorBidi" w:cstheme="majorBidi"/>
          <w:sz w:val="31"/>
          <w:vertAlign w:val="subscript"/>
        </w:rPr>
        <w:t>E</w:t>
      </w:r>
      <w:r w:rsidRPr="00C51F85">
        <w:rPr>
          <w:rFonts w:asciiTheme="majorBidi" w:hAnsiTheme="majorBidi" w:cstheme="majorBidi"/>
        </w:rPr>
        <w:t>X does not have precognitive abilities. If you put a \label command before the command that updates the counter it’s supposed to be using, the label will pick up the last counter to be cross referenced instead. In particular, a \label command should not go before the caption of a figure or a table.</w:t>
      </w:r>
    </w:p>
    <w:p w14:paraId="73417F16" w14:textId="77777777" w:rsidR="00792C48" w:rsidRPr="00C51F85" w:rsidRDefault="00000000">
      <w:pPr>
        <w:spacing w:after="146"/>
        <w:ind w:left="-15"/>
        <w:rPr>
          <w:rFonts w:asciiTheme="majorBidi" w:hAnsiTheme="majorBidi" w:cstheme="majorBidi"/>
        </w:rPr>
      </w:pPr>
      <w:r w:rsidRPr="00C51F85">
        <w:rPr>
          <w:rFonts w:asciiTheme="majorBidi" w:hAnsiTheme="majorBidi" w:cstheme="majorBidi"/>
        </w:rPr>
        <w:t>Do not use \nonumber inside the {array} environment. It will not stop equation numbers inside {array} (there won’t be any anyway) and it might stop a wanted equation number in the surrounding equation.</w:t>
      </w:r>
    </w:p>
    <w:p w14:paraId="32B5745E" w14:textId="77777777" w:rsidR="00792C48" w:rsidRPr="00C51F85" w:rsidRDefault="00000000">
      <w:pPr>
        <w:pStyle w:val="Heading2"/>
        <w:ind w:left="-5"/>
        <w:rPr>
          <w:rFonts w:asciiTheme="majorBidi" w:hAnsiTheme="majorBidi" w:cstheme="majorBidi"/>
        </w:rPr>
      </w:pPr>
      <w:r w:rsidRPr="00C51F85">
        <w:rPr>
          <w:rFonts w:asciiTheme="majorBidi" w:hAnsiTheme="majorBidi" w:cstheme="majorBidi"/>
        </w:rPr>
        <w:t>E. Some Common Mistakes</w:t>
      </w:r>
    </w:p>
    <w:p w14:paraId="763DF9E9" w14:textId="77777777" w:rsidR="00792C48" w:rsidRPr="00C51F85" w:rsidRDefault="00000000">
      <w:pPr>
        <w:numPr>
          <w:ilvl w:val="0"/>
          <w:numId w:val="2"/>
        </w:numPr>
        <w:ind w:hanging="201"/>
        <w:rPr>
          <w:rFonts w:asciiTheme="majorBidi" w:hAnsiTheme="majorBidi" w:cstheme="majorBidi"/>
        </w:rPr>
      </w:pPr>
      <w:r w:rsidRPr="00C51F85">
        <w:rPr>
          <w:rFonts w:asciiTheme="majorBidi" w:hAnsiTheme="majorBidi" w:cstheme="majorBidi"/>
        </w:rPr>
        <w:t>The word “data” is plural, not singular.</w:t>
      </w:r>
    </w:p>
    <w:p w14:paraId="42A94F96" w14:textId="77777777" w:rsidR="00792C48" w:rsidRPr="00C51F85" w:rsidRDefault="00000000">
      <w:pPr>
        <w:numPr>
          <w:ilvl w:val="0"/>
          <w:numId w:val="2"/>
        </w:numPr>
        <w:ind w:hanging="201"/>
        <w:rPr>
          <w:rFonts w:asciiTheme="majorBidi" w:hAnsiTheme="majorBidi" w:cstheme="majorBidi"/>
        </w:rPr>
      </w:pPr>
      <w:r w:rsidRPr="00C51F85">
        <w:rPr>
          <w:rFonts w:asciiTheme="majorBidi" w:hAnsiTheme="majorBidi" w:cstheme="majorBidi"/>
        </w:rPr>
        <w:t xml:space="preserve">The subscript for the permeability of vacuum </w:t>
      </w:r>
      <w:r w:rsidRPr="00C51F85">
        <w:rPr>
          <w:rFonts w:asciiTheme="majorBidi" w:eastAsia="Cambria" w:hAnsiTheme="majorBidi" w:cstheme="majorBidi"/>
          <w:i/>
        </w:rPr>
        <w:t>µ</w:t>
      </w:r>
      <w:r w:rsidRPr="00C51F85">
        <w:rPr>
          <w:rFonts w:asciiTheme="majorBidi" w:eastAsia="Cambria" w:hAnsiTheme="majorBidi" w:cstheme="majorBidi"/>
          <w:vertAlign w:val="subscript"/>
        </w:rPr>
        <w:t>0</w:t>
      </w:r>
      <w:r w:rsidRPr="00C51F85">
        <w:rPr>
          <w:rFonts w:asciiTheme="majorBidi" w:hAnsiTheme="majorBidi" w:cstheme="majorBidi"/>
        </w:rPr>
        <w:t>, and other common scientific constants, is zero with subscript formatting, not a lowercase letter “o”.</w:t>
      </w:r>
    </w:p>
    <w:p w14:paraId="745F1591" w14:textId="77777777" w:rsidR="00792C48" w:rsidRPr="00C51F85" w:rsidRDefault="00000000">
      <w:pPr>
        <w:numPr>
          <w:ilvl w:val="0"/>
          <w:numId w:val="2"/>
        </w:numPr>
        <w:ind w:hanging="201"/>
        <w:rPr>
          <w:rFonts w:asciiTheme="majorBidi" w:hAnsiTheme="majorBidi" w:cstheme="majorBidi"/>
        </w:rPr>
      </w:pPr>
      <w:r w:rsidRPr="00C51F85">
        <w:rPr>
          <w:rFonts w:asciiTheme="majorBidi" w:hAnsiTheme="majorBidi" w:cstheme="majorBidi"/>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ECB40FA" w14:textId="77777777" w:rsidR="00792C48" w:rsidRPr="00C51F85" w:rsidRDefault="00000000">
      <w:pPr>
        <w:numPr>
          <w:ilvl w:val="0"/>
          <w:numId w:val="2"/>
        </w:numPr>
        <w:ind w:hanging="201"/>
        <w:rPr>
          <w:rFonts w:asciiTheme="majorBidi" w:hAnsiTheme="majorBidi" w:cstheme="majorBidi"/>
        </w:rPr>
      </w:pPr>
      <w:r w:rsidRPr="00C51F85">
        <w:rPr>
          <w:rFonts w:asciiTheme="majorBidi" w:hAnsiTheme="majorBidi" w:cstheme="majorBidi"/>
        </w:rPr>
        <w:t>A graph within a graph is an “inset”, not an “insert”. The word alternatively is preferred to the word “alternately” (unless you really mean something that alternates).</w:t>
      </w:r>
    </w:p>
    <w:p w14:paraId="5688A6D6" w14:textId="77777777" w:rsidR="00792C48" w:rsidRPr="00C51F85" w:rsidRDefault="00000000">
      <w:pPr>
        <w:numPr>
          <w:ilvl w:val="0"/>
          <w:numId w:val="2"/>
        </w:numPr>
        <w:ind w:hanging="201"/>
        <w:rPr>
          <w:rFonts w:asciiTheme="majorBidi" w:hAnsiTheme="majorBidi" w:cstheme="majorBidi"/>
        </w:rPr>
      </w:pPr>
      <w:r w:rsidRPr="00C51F85">
        <w:rPr>
          <w:rFonts w:asciiTheme="majorBidi" w:hAnsiTheme="majorBidi" w:cstheme="majorBidi"/>
        </w:rPr>
        <w:lastRenderedPageBreak/>
        <w:t>Do not use the word “essentially” to mean “approximately” or “effectively”.</w:t>
      </w:r>
    </w:p>
    <w:p w14:paraId="53754EDC" w14:textId="77777777" w:rsidR="00792C48" w:rsidRPr="00C51F85" w:rsidRDefault="00000000">
      <w:pPr>
        <w:numPr>
          <w:ilvl w:val="0"/>
          <w:numId w:val="2"/>
        </w:numPr>
        <w:ind w:hanging="201"/>
        <w:rPr>
          <w:rFonts w:asciiTheme="majorBidi" w:hAnsiTheme="majorBidi" w:cstheme="majorBidi"/>
        </w:rPr>
      </w:pPr>
      <w:r w:rsidRPr="00C51F85">
        <w:rPr>
          <w:rFonts w:asciiTheme="majorBidi" w:hAnsiTheme="majorBidi" w:cstheme="majorBidi"/>
        </w:rPr>
        <w:t>In your paper title, if the words “that uses” can accurately replace the word “using”, capitalize the “u”; if not, keep using lower-cased.</w:t>
      </w:r>
    </w:p>
    <w:p w14:paraId="565F3612" w14:textId="77777777" w:rsidR="00792C48" w:rsidRPr="00C51F85" w:rsidRDefault="00000000">
      <w:pPr>
        <w:numPr>
          <w:ilvl w:val="0"/>
          <w:numId w:val="2"/>
        </w:numPr>
        <w:ind w:hanging="201"/>
        <w:rPr>
          <w:rFonts w:asciiTheme="majorBidi" w:hAnsiTheme="majorBidi" w:cstheme="majorBidi"/>
        </w:rPr>
      </w:pPr>
      <w:r w:rsidRPr="00C51F85">
        <w:rPr>
          <w:rFonts w:asciiTheme="majorBidi" w:hAnsiTheme="majorBidi" w:cstheme="majorBidi"/>
        </w:rPr>
        <w:t>Be aware of the different meanings of the homophones “affect” and “effect”, “complement” and “compliment”, “discreet” and “discrete”, “principal” and “principle”.</w:t>
      </w:r>
    </w:p>
    <w:p w14:paraId="1DAA3CD0" w14:textId="77777777" w:rsidR="00792C48" w:rsidRPr="00C51F85" w:rsidRDefault="00000000">
      <w:pPr>
        <w:numPr>
          <w:ilvl w:val="0"/>
          <w:numId w:val="2"/>
        </w:numPr>
        <w:ind w:hanging="201"/>
        <w:rPr>
          <w:rFonts w:asciiTheme="majorBidi" w:hAnsiTheme="majorBidi" w:cstheme="majorBidi"/>
        </w:rPr>
      </w:pPr>
      <w:r w:rsidRPr="00C51F85">
        <w:rPr>
          <w:rFonts w:asciiTheme="majorBidi" w:hAnsiTheme="majorBidi" w:cstheme="majorBidi"/>
        </w:rPr>
        <w:t>Do not confuse “imply” and “infer”.</w:t>
      </w:r>
    </w:p>
    <w:p w14:paraId="26EBBD19" w14:textId="77777777" w:rsidR="00792C48" w:rsidRPr="00C51F85" w:rsidRDefault="00000000">
      <w:pPr>
        <w:numPr>
          <w:ilvl w:val="0"/>
          <w:numId w:val="2"/>
        </w:numPr>
        <w:ind w:hanging="201"/>
        <w:rPr>
          <w:rFonts w:asciiTheme="majorBidi" w:hAnsiTheme="majorBidi" w:cstheme="majorBidi"/>
        </w:rPr>
      </w:pPr>
      <w:r w:rsidRPr="00C51F85">
        <w:rPr>
          <w:rFonts w:asciiTheme="majorBidi" w:hAnsiTheme="majorBidi" w:cstheme="majorBidi"/>
        </w:rPr>
        <w:t>The prefix “non” is not a word; it should be joined to the word it modifies, usually without a hyphen.</w:t>
      </w:r>
    </w:p>
    <w:p w14:paraId="3CC23123" w14:textId="77777777" w:rsidR="00792C48" w:rsidRPr="00C51F85" w:rsidRDefault="00000000">
      <w:pPr>
        <w:numPr>
          <w:ilvl w:val="0"/>
          <w:numId w:val="2"/>
        </w:numPr>
        <w:ind w:hanging="201"/>
        <w:rPr>
          <w:rFonts w:asciiTheme="majorBidi" w:hAnsiTheme="majorBidi" w:cstheme="majorBidi"/>
        </w:rPr>
      </w:pPr>
      <w:r w:rsidRPr="00C51F85">
        <w:rPr>
          <w:rFonts w:asciiTheme="majorBidi" w:hAnsiTheme="majorBidi" w:cstheme="majorBidi"/>
        </w:rPr>
        <w:t>There is no period after the “et” in the Latin abbreviation</w:t>
      </w:r>
    </w:p>
    <w:p w14:paraId="00E3E961" w14:textId="77777777" w:rsidR="00792C48" w:rsidRPr="00C51F85" w:rsidRDefault="00000000">
      <w:pPr>
        <w:ind w:left="400" w:firstLine="0"/>
        <w:rPr>
          <w:rFonts w:asciiTheme="majorBidi" w:hAnsiTheme="majorBidi" w:cstheme="majorBidi"/>
        </w:rPr>
      </w:pPr>
      <w:r w:rsidRPr="00C51F85">
        <w:rPr>
          <w:rFonts w:asciiTheme="majorBidi" w:hAnsiTheme="majorBidi" w:cstheme="majorBidi"/>
        </w:rPr>
        <w:t>“et al.”.</w:t>
      </w:r>
    </w:p>
    <w:p w14:paraId="427CE3AA" w14:textId="77777777" w:rsidR="00792C48" w:rsidRPr="00C51F85" w:rsidRDefault="00000000">
      <w:pPr>
        <w:numPr>
          <w:ilvl w:val="0"/>
          <w:numId w:val="2"/>
        </w:numPr>
        <w:spacing w:after="47"/>
        <w:ind w:hanging="201"/>
        <w:rPr>
          <w:rFonts w:asciiTheme="majorBidi" w:hAnsiTheme="majorBidi" w:cstheme="majorBidi"/>
        </w:rPr>
      </w:pPr>
      <w:r w:rsidRPr="00C51F85">
        <w:rPr>
          <w:rFonts w:asciiTheme="majorBidi" w:hAnsiTheme="majorBidi" w:cstheme="majorBidi"/>
        </w:rPr>
        <w:t>The abbreviation “i.e.” means “that is”, and the abbreviation “e.g.” means “for example”.</w:t>
      </w:r>
    </w:p>
    <w:p w14:paraId="4C36B7CA" w14:textId="77777777" w:rsidR="00792C48" w:rsidRPr="00C51F85" w:rsidRDefault="00000000">
      <w:pPr>
        <w:spacing w:after="189"/>
        <w:ind w:left="-15" w:firstLine="0"/>
        <w:rPr>
          <w:rFonts w:asciiTheme="majorBidi" w:hAnsiTheme="majorBidi" w:cstheme="majorBidi"/>
        </w:rPr>
      </w:pPr>
      <w:r w:rsidRPr="00C51F85">
        <w:rPr>
          <w:rFonts w:asciiTheme="majorBidi" w:hAnsiTheme="majorBidi" w:cstheme="majorBidi"/>
        </w:rPr>
        <w:t>An excellent style manual for science writers is [7].</w:t>
      </w:r>
    </w:p>
    <w:p w14:paraId="6A35AD2D" w14:textId="77777777" w:rsidR="00792C48" w:rsidRPr="00C51F85" w:rsidRDefault="00000000">
      <w:pPr>
        <w:pStyle w:val="Heading2"/>
        <w:spacing w:after="68"/>
        <w:ind w:left="-5"/>
        <w:rPr>
          <w:rFonts w:asciiTheme="majorBidi" w:hAnsiTheme="majorBidi" w:cstheme="majorBidi"/>
        </w:rPr>
      </w:pPr>
      <w:r w:rsidRPr="00C51F85">
        <w:rPr>
          <w:rFonts w:asciiTheme="majorBidi" w:hAnsiTheme="majorBidi" w:cstheme="majorBidi"/>
        </w:rPr>
        <w:t>F. Authors and Affiliations</w:t>
      </w:r>
    </w:p>
    <w:p w14:paraId="28418DA9" w14:textId="77777777" w:rsidR="00792C48" w:rsidRPr="00C51F85" w:rsidRDefault="00000000">
      <w:pPr>
        <w:spacing w:after="193"/>
        <w:ind w:left="-15"/>
        <w:rPr>
          <w:rFonts w:asciiTheme="majorBidi" w:hAnsiTheme="majorBidi" w:cstheme="majorBidi"/>
        </w:rPr>
      </w:pPr>
      <w:r w:rsidRPr="00C51F85">
        <w:rPr>
          <w:rFonts w:asciiTheme="majorBidi" w:hAnsiTheme="majorBidi" w:cstheme="majorBidi"/>
        </w:rPr>
        <w:t>The class file is designed for, but not limited to, six authors.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75E45EF6" w14:textId="77777777" w:rsidR="00792C48" w:rsidRPr="00C51F85" w:rsidRDefault="00000000">
      <w:pPr>
        <w:pStyle w:val="Heading2"/>
        <w:spacing w:after="68"/>
        <w:ind w:left="-5"/>
        <w:rPr>
          <w:rFonts w:asciiTheme="majorBidi" w:hAnsiTheme="majorBidi" w:cstheme="majorBidi"/>
        </w:rPr>
      </w:pPr>
      <w:r w:rsidRPr="00C51F85">
        <w:rPr>
          <w:rFonts w:asciiTheme="majorBidi" w:hAnsiTheme="majorBidi" w:cstheme="majorBidi"/>
        </w:rPr>
        <w:t>G. Identify the Headings</w:t>
      </w:r>
    </w:p>
    <w:p w14:paraId="551C0A03" w14:textId="77777777" w:rsidR="00792C48" w:rsidRPr="00C51F85" w:rsidRDefault="00000000">
      <w:pPr>
        <w:ind w:left="-15"/>
        <w:rPr>
          <w:rFonts w:asciiTheme="majorBidi" w:hAnsiTheme="majorBidi" w:cstheme="majorBidi"/>
        </w:rPr>
      </w:pPr>
      <w:r w:rsidRPr="00C51F85">
        <w:rPr>
          <w:rFonts w:asciiTheme="majorBidi" w:hAnsiTheme="majorBidi" w:cstheme="majorBidi"/>
        </w:rPr>
        <w:t>Headings, or heads, are organizational devices that guide the reader through your paper. There are two types: component heads and text heads.</w:t>
      </w:r>
    </w:p>
    <w:p w14:paraId="2FB8FEAA" w14:textId="77777777" w:rsidR="00792C48" w:rsidRPr="00C51F85" w:rsidRDefault="00000000">
      <w:pPr>
        <w:ind w:left="-15"/>
        <w:rPr>
          <w:rFonts w:asciiTheme="majorBidi" w:hAnsiTheme="majorBidi" w:cstheme="majorBidi"/>
        </w:rPr>
      </w:pPr>
      <w:r w:rsidRPr="00C51F85">
        <w:rPr>
          <w:rFonts w:asciiTheme="majorBidi" w:hAnsiTheme="majorBidi" w:cstheme="majorBidi"/>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70E96F9" w14:textId="77777777" w:rsidR="00792C48" w:rsidRPr="00C51F85" w:rsidRDefault="00000000">
      <w:pPr>
        <w:spacing w:after="194"/>
        <w:ind w:left="-15"/>
        <w:rPr>
          <w:rFonts w:asciiTheme="majorBidi" w:hAnsiTheme="majorBidi" w:cstheme="majorBidi"/>
        </w:rPr>
      </w:pPr>
      <w:r w:rsidRPr="00C51F85">
        <w:rPr>
          <w:rFonts w:asciiTheme="majorBidi" w:hAnsiTheme="majorBidi" w:cstheme="majorBidi"/>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w:t>
      </w:r>
    </w:p>
    <w:p w14:paraId="35C2B8C8" w14:textId="77777777" w:rsidR="00792C48" w:rsidRPr="00C51F85" w:rsidRDefault="00000000">
      <w:pPr>
        <w:pStyle w:val="Heading2"/>
        <w:spacing w:after="96"/>
        <w:ind w:left="-5"/>
        <w:rPr>
          <w:rFonts w:asciiTheme="majorBidi" w:hAnsiTheme="majorBidi" w:cstheme="majorBidi"/>
        </w:rPr>
      </w:pPr>
      <w:r w:rsidRPr="00C51F85">
        <w:rPr>
          <w:rFonts w:asciiTheme="majorBidi" w:hAnsiTheme="majorBidi" w:cstheme="majorBidi"/>
        </w:rPr>
        <w:t>H. Figures and Tables</w:t>
      </w:r>
    </w:p>
    <w:p w14:paraId="0A37A0D5" w14:textId="77777777" w:rsidR="00792C48" w:rsidRPr="00C51F85" w:rsidRDefault="00000000">
      <w:pPr>
        <w:ind w:left="-15" w:firstLine="398"/>
        <w:rPr>
          <w:rFonts w:asciiTheme="majorBidi" w:hAnsiTheme="majorBidi" w:cstheme="majorBidi"/>
        </w:rPr>
      </w:pPr>
      <w:r w:rsidRPr="00C51F85">
        <w:rPr>
          <w:rFonts w:asciiTheme="majorBidi" w:hAnsiTheme="majorBidi" w:cstheme="majorBidi"/>
          <w:i/>
        </w:rPr>
        <w:t xml:space="preserve">a) Positioning Figures and Tables: </w:t>
      </w:r>
      <w:r w:rsidRPr="00C51F85">
        <w:rPr>
          <w:rFonts w:asciiTheme="majorBidi" w:hAnsiTheme="majorBidi" w:cstheme="majorBidi"/>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w:t>
      </w:r>
      <w:r w:rsidRPr="00C51F85">
        <w:rPr>
          <w:rFonts w:asciiTheme="majorBidi" w:hAnsiTheme="majorBidi" w:cstheme="majorBidi"/>
        </w:rPr>
        <w:t>tables after they are cited in the text. Use the abbreviation “Fig. 1”, even at the beginning of a sentence.</w:t>
      </w:r>
    </w:p>
    <w:p w14:paraId="1321CC7F" w14:textId="77777777" w:rsidR="00792C48" w:rsidRPr="00C51F85" w:rsidRDefault="00000000">
      <w:pPr>
        <w:pStyle w:val="Heading3"/>
        <w:spacing w:after="0"/>
        <w:rPr>
          <w:rFonts w:asciiTheme="majorBidi" w:hAnsiTheme="majorBidi" w:cstheme="majorBidi"/>
        </w:rPr>
      </w:pPr>
      <w:r w:rsidRPr="00C51F85">
        <w:rPr>
          <w:rFonts w:asciiTheme="majorBidi" w:hAnsiTheme="majorBidi" w:cstheme="majorBidi"/>
        </w:rPr>
        <w:t>TABLE I</w:t>
      </w:r>
    </w:p>
    <w:p w14:paraId="12AED1B2" w14:textId="77777777" w:rsidR="00792C48" w:rsidRPr="00C51F85" w:rsidRDefault="00000000">
      <w:pPr>
        <w:spacing w:after="0" w:line="259" w:lineRule="auto"/>
        <w:ind w:firstLine="0"/>
        <w:jc w:val="center"/>
        <w:rPr>
          <w:rFonts w:asciiTheme="majorBidi" w:hAnsiTheme="majorBidi" w:cstheme="majorBidi"/>
        </w:rPr>
      </w:pPr>
      <w:r w:rsidRPr="00C51F85">
        <w:rPr>
          <w:rFonts w:asciiTheme="majorBidi" w:hAnsiTheme="majorBidi" w:cstheme="majorBidi"/>
          <w:sz w:val="16"/>
        </w:rPr>
        <w:t>T</w:t>
      </w:r>
      <w:r w:rsidRPr="00C51F85">
        <w:rPr>
          <w:rFonts w:asciiTheme="majorBidi" w:hAnsiTheme="majorBidi" w:cstheme="majorBidi"/>
          <w:sz w:val="13"/>
        </w:rPr>
        <w:t xml:space="preserve">ABLE </w:t>
      </w:r>
      <w:r w:rsidRPr="00C51F85">
        <w:rPr>
          <w:rFonts w:asciiTheme="majorBidi" w:hAnsiTheme="majorBidi" w:cstheme="majorBidi"/>
          <w:sz w:val="16"/>
        </w:rPr>
        <w:t>T</w:t>
      </w:r>
      <w:r w:rsidRPr="00C51F85">
        <w:rPr>
          <w:rFonts w:asciiTheme="majorBidi" w:hAnsiTheme="majorBidi" w:cstheme="majorBidi"/>
          <w:sz w:val="13"/>
        </w:rPr>
        <w:t xml:space="preserve">YPE </w:t>
      </w:r>
      <w:r w:rsidRPr="00C51F85">
        <w:rPr>
          <w:rFonts w:asciiTheme="majorBidi" w:hAnsiTheme="majorBidi" w:cstheme="majorBidi"/>
          <w:sz w:val="16"/>
        </w:rPr>
        <w:t>S</w:t>
      </w:r>
      <w:r w:rsidRPr="00C51F85">
        <w:rPr>
          <w:rFonts w:asciiTheme="majorBidi" w:hAnsiTheme="majorBidi" w:cstheme="majorBidi"/>
          <w:sz w:val="13"/>
        </w:rPr>
        <w:t>TYLES</w:t>
      </w:r>
    </w:p>
    <w:tbl>
      <w:tblPr>
        <w:tblStyle w:val="TableGrid"/>
        <w:tblW w:w="4013" w:type="dxa"/>
        <w:tblInd w:w="476" w:type="dxa"/>
        <w:tblCellMar>
          <w:top w:w="12" w:type="dxa"/>
          <w:left w:w="120" w:type="dxa"/>
          <w:right w:w="120" w:type="dxa"/>
        </w:tblCellMar>
        <w:tblLook w:val="04A0" w:firstRow="1" w:lastRow="0" w:firstColumn="1" w:lastColumn="0" w:noHBand="0" w:noVBand="1"/>
      </w:tblPr>
      <w:tblGrid>
        <w:gridCol w:w="614"/>
        <w:gridCol w:w="1763"/>
        <w:gridCol w:w="818"/>
        <w:gridCol w:w="818"/>
      </w:tblGrid>
      <w:tr w:rsidR="00792C48" w:rsidRPr="00C51F85" w14:paraId="28500ACD" w14:textId="77777777">
        <w:trPr>
          <w:trHeight w:val="187"/>
        </w:trPr>
        <w:tc>
          <w:tcPr>
            <w:tcW w:w="614" w:type="dxa"/>
            <w:vMerge w:val="restart"/>
            <w:tcBorders>
              <w:top w:val="single" w:sz="3" w:space="0" w:color="000000"/>
              <w:left w:val="single" w:sz="3" w:space="0" w:color="000000"/>
              <w:bottom w:val="single" w:sz="3" w:space="0" w:color="000000"/>
              <w:right w:val="single" w:sz="3" w:space="0" w:color="000000"/>
            </w:tcBorders>
          </w:tcPr>
          <w:p w14:paraId="57AF5DEC" w14:textId="77777777" w:rsidR="00792C48" w:rsidRPr="00C51F85" w:rsidRDefault="00000000">
            <w:pPr>
              <w:spacing w:after="0" w:line="259" w:lineRule="auto"/>
              <w:ind w:firstLine="0"/>
              <w:jc w:val="center"/>
              <w:rPr>
                <w:rFonts w:asciiTheme="majorBidi" w:hAnsiTheme="majorBidi" w:cstheme="majorBidi"/>
              </w:rPr>
            </w:pPr>
            <w:r w:rsidRPr="00C51F85">
              <w:rPr>
                <w:rFonts w:asciiTheme="majorBidi" w:hAnsiTheme="majorBidi" w:cstheme="majorBidi"/>
                <w:sz w:val="16"/>
              </w:rPr>
              <w:t>Table Head</w:t>
            </w:r>
          </w:p>
        </w:tc>
        <w:tc>
          <w:tcPr>
            <w:tcW w:w="2581" w:type="dxa"/>
            <w:gridSpan w:val="2"/>
            <w:tcBorders>
              <w:top w:val="single" w:sz="3" w:space="0" w:color="000000"/>
              <w:left w:val="single" w:sz="3" w:space="0" w:color="000000"/>
              <w:bottom w:val="single" w:sz="3" w:space="0" w:color="000000"/>
              <w:right w:val="nil"/>
            </w:tcBorders>
          </w:tcPr>
          <w:p w14:paraId="7DB312C7" w14:textId="77777777" w:rsidR="00792C48" w:rsidRPr="00C51F85" w:rsidRDefault="00000000">
            <w:pPr>
              <w:spacing w:after="0" w:line="259" w:lineRule="auto"/>
              <w:ind w:right="59" w:firstLine="0"/>
              <w:jc w:val="right"/>
              <w:rPr>
                <w:rFonts w:asciiTheme="majorBidi" w:hAnsiTheme="majorBidi" w:cstheme="majorBidi"/>
              </w:rPr>
            </w:pPr>
            <w:r w:rsidRPr="00C51F85">
              <w:rPr>
                <w:rFonts w:asciiTheme="majorBidi" w:hAnsiTheme="majorBidi" w:cstheme="majorBidi"/>
                <w:sz w:val="16"/>
              </w:rPr>
              <w:t>Table Column Head</w:t>
            </w:r>
          </w:p>
        </w:tc>
        <w:tc>
          <w:tcPr>
            <w:tcW w:w="818" w:type="dxa"/>
            <w:tcBorders>
              <w:top w:val="single" w:sz="3" w:space="0" w:color="000000"/>
              <w:left w:val="nil"/>
              <w:bottom w:val="single" w:sz="3" w:space="0" w:color="000000"/>
              <w:right w:val="single" w:sz="3" w:space="0" w:color="000000"/>
            </w:tcBorders>
          </w:tcPr>
          <w:p w14:paraId="59E459A6" w14:textId="77777777" w:rsidR="00792C48" w:rsidRPr="00C51F85" w:rsidRDefault="00792C48">
            <w:pPr>
              <w:spacing w:after="160" w:line="259" w:lineRule="auto"/>
              <w:ind w:firstLine="0"/>
              <w:jc w:val="left"/>
              <w:rPr>
                <w:rFonts w:asciiTheme="majorBidi" w:hAnsiTheme="majorBidi" w:cstheme="majorBidi"/>
              </w:rPr>
            </w:pPr>
          </w:p>
        </w:tc>
      </w:tr>
      <w:tr w:rsidR="00792C48" w:rsidRPr="00C51F85" w14:paraId="4393FDAF" w14:textId="77777777">
        <w:trPr>
          <w:trHeight w:val="179"/>
        </w:trPr>
        <w:tc>
          <w:tcPr>
            <w:tcW w:w="0" w:type="auto"/>
            <w:vMerge/>
            <w:tcBorders>
              <w:top w:val="nil"/>
              <w:left w:val="single" w:sz="3" w:space="0" w:color="000000"/>
              <w:bottom w:val="single" w:sz="3" w:space="0" w:color="000000"/>
              <w:right w:val="single" w:sz="3" w:space="0" w:color="000000"/>
            </w:tcBorders>
          </w:tcPr>
          <w:p w14:paraId="21BB179E" w14:textId="77777777" w:rsidR="00792C48" w:rsidRPr="00C51F85" w:rsidRDefault="00792C48">
            <w:pPr>
              <w:spacing w:after="160" w:line="259" w:lineRule="auto"/>
              <w:ind w:firstLine="0"/>
              <w:jc w:val="left"/>
              <w:rPr>
                <w:rFonts w:asciiTheme="majorBidi" w:hAnsiTheme="majorBidi" w:cstheme="majorBidi"/>
              </w:rPr>
            </w:pPr>
          </w:p>
        </w:tc>
        <w:tc>
          <w:tcPr>
            <w:tcW w:w="1764" w:type="dxa"/>
            <w:tcBorders>
              <w:top w:val="single" w:sz="3" w:space="0" w:color="000000"/>
              <w:left w:val="single" w:sz="3" w:space="0" w:color="000000"/>
              <w:bottom w:val="single" w:sz="3" w:space="0" w:color="000000"/>
              <w:right w:val="single" w:sz="3" w:space="0" w:color="000000"/>
            </w:tcBorders>
          </w:tcPr>
          <w:p w14:paraId="2185C445" w14:textId="77777777" w:rsidR="00792C48" w:rsidRPr="00C51F85" w:rsidRDefault="00000000">
            <w:pPr>
              <w:spacing w:after="0" w:line="259" w:lineRule="auto"/>
              <w:ind w:firstLine="0"/>
              <w:jc w:val="left"/>
              <w:rPr>
                <w:rFonts w:asciiTheme="majorBidi" w:hAnsiTheme="majorBidi" w:cstheme="majorBidi"/>
              </w:rPr>
            </w:pPr>
            <w:r w:rsidRPr="00C51F85">
              <w:rPr>
                <w:rFonts w:asciiTheme="majorBidi" w:hAnsiTheme="majorBidi" w:cstheme="majorBidi"/>
                <w:i/>
                <w:sz w:val="16"/>
              </w:rPr>
              <w:t>Table column subhead</w:t>
            </w:r>
          </w:p>
        </w:tc>
        <w:tc>
          <w:tcPr>
            <w:tcW w:w="818" w:type="dxa"/>
            <w:tcBorders>
              <w:top w:val="single" w:sz="3" w:space="0" w:color="000000"/>
              <w:left w:val="single" w:sz="3" w:space="0" w:color="000000"/>
              <w:bottom w:val="single" w:sz="3" w:space="0" w:color="000000"/>
              <w:right w:val="single" w:sz="3" w:space="0" w:color="000000"/>
            </w:tcBorders>
          </w:tcPr>
          <w:p w14:paraId="23C74390" w14:textId="77777777" w:rsidR="00792C48" w:rsidRPr="00C51F85" w:rsidRDefault="00000000">
            <w:pPr>
              <w:spacing w:after="0" w:line="259" w:lineRule="auto"/>
              <w:ind w:firstLine="0"/>
              <w:jc w:val="left"/>
              <w:rPr>
                <w:rFonts w:asciiTheme="majorBidi" w:hAnsiTheme="majorBidi" w:cstheme="majorBidi"/>
              </w:rPr>
            </w:pPr>
            <w:r w:rsidRPr="00C51F85">
              <w:rPr>
                <w:rFonts w:asciiTheme="majorBidi" w:hAnsiTheme="majorBidi" w:cstheme="majorBidi"/>
                <w:i/>
                <w:sz w:val="16"/>
              </w:rPr>
              <w:t>Subhead</w:t>
            </w:r>
          </w:p>
        </w:tc>
        <w:tc>
          <w:tcPr>
            <w:tcW w:w="818" w:type="dxa"/>
            <w:tcBorders>
              <w:top w:val="single" w:sz="3" w:space="0" w:color="000000"/>
              <w:left w:val="single" w:sz="3" w:space="0" w:color="000000"/>
              <w:bottom w:val="single" w:sz="3" w:space="0" w:color="000000"/>
              <w:right w:val="single" w:sz="3" w:space="0" w:color="000000"/>
            </w:tcBorders>
          </w:tcPr>
          <w:p w14:paraId="2E77C381" w14:textId="77777777" w:rsidR="00792C48" w:rsidRPr="00C51F85" w:rsidRDefault="00000000">
            <w:pPr>
              <w:spacing w:after="0" w:line="259" w:lineRule="auto"/>
              <w:ind w:firstLine="0"/>
              <w:jc w:val="left"/>
              <w:rPr>
                <w:rFonts w:asciiTheme="majorBidi" w:hAnsiTheme="majorBidi" w:cstheme="majorBidi"/>
              </w:rPr>
            </w:pPr>
            <w:r w:rsidRPr="00C51F85">
              <w:rPr>
                <w:rFonts w:asciiTheme="majorBidi" w:hAnsiTheme="majorBidi" w:cstheme="majorBidi"/>
                <w:i/>
                <w:sz w:val="16"/>
              </w:rPr>
              <w:t>Subhead</w:t>
            </w:r>
          </w:p>
        </w:tc>
      </w:tr>
      <w:tr w:rsidR="00792C48" w:rsidRPr="00C51F85" w14:paraId="732F75A7" w14:textId="77777777">
        <w:trPr>
          <w:trHeight w:val="187"/>
        </w:trPr>
        <w:tc>
          <w:tcPr>
            <w:tcW w:w="614" w:type="dxa"/>
            <w:tcBorders>
              <w:top w:val="single" w:sz="3" w:space="0" w:color="000000"/>
              <w:left w:val="single" w:sz="3" w:space="0" w:color="000000"/>
              <w:bottom w:val="single" w:sz="3" w:space="0" w:color="000000"/>
              <w:right w:val="single" w:sz="3" w:space="0" w:color="000000"/>
            </w:tcBorders>
          </w:tcPr>
          <w:p w14:paraId="1F7809E7" w14:textId="77777777" w:rsidR="00792C48" w:rsidRPr="00C51F85" w:rsidRDefault="00000000">
            <w:pPr>
              <w:spacing w:after="0" w:line="259" w:lineRule="auto"/>
              <w:ind w:left="33" w:firstLine="0"/>
              <w:jc w:val="left"/>
              <w:rPr>
                <w:rFonts w:asciiTheme="majorBidi" w:hAnsiTheme="majorBidi" w:cstheme="majorBidi"/>
              </w:rPr>
            </w:pPr>
            <w:r w:rsidRPr="00C51F85">
              <w:rPr>
                <w:rFonts w:asciiTheme="majorBidi" w:hAnsiTheme="majorBidi" w:cstheme="majorBidi"/>
                <w:sz w:val="16"/>
              </w:rPr>
              <w:t>copy</w:t>
            </w:r>
          </w:p>
        </w:tc>
        <w:tc>
          <w:tcPr>
            <w:tcW w:w="1764" w:type="dxa"/>
            <w:tcBorders>
              <w:top w:val="single" w:sz="3" w:space="0" w:color="000000"/>
              <w:left w:val="single" w:sz="3" w:space="0" w:color="000000"/>
              <w:bottom w:val="single" w:sz="3" w:space="0" w:color="000000"/>
              <w:right w:val="single" w:sz="3" w:space="0" w:color="000000"/>
            </w:tcBorders>
          </w:tcPr>
          <w:p w14:paraId="5B20A8E6" w14:textId="77777777" w:rsidR="00792C48" w:rsidRPr="00C51F85" w:rsidRDefault="00000000">
            <w:pPr>
              <w:spacing w:after="0" w:line="259" w:lineRule="auto"/>
              <w:ind w:right="10" w:firstLine="0"/>
              <w:jc w:val="center"/>
              <w:rPr>
                <w:rFonts w:asciiTheme="majorBidi" w:hAnsiTheme="majorBidi" w:cstheme="majorBidi"/>
              </w:rPr>
            </w:pPr>
            <w:r w:rsidRPr="00C51F85">
              <w:rPr>
                <w:rFonts w:asciiTheme="majorBidi" w:hAnsiTheme="majorBidi" w:cstheme="majorBidi"/>
                <w:sz w:val="16"/>
              </w:rPr>
              <w:t>More table copy</w:t>
            </w:r>
            <w:r w:rsidRPr="00C51F85">
              <w:rPr>
                <w:rFonts w:asciiTheme="majorBidi" w:eastAsia="Cambria" w:hAnsiTheme="majorBidi" w:cstheme="majorBidi"/>
                <w:sz w:val="16"/>
                <w:vertAlign w:val="superscript"/>
              </w:rPr>
              <w:t>a</w:t>
            </w:r>
          </w:p>
        </w:tc>
        <w:tc>
          <w:tcPr>
            <w:tcW w:w="818" w:type="dxa"/>
            <w:tcBorders>
              <w:top w:val="single" w:sz="3" w:space="0" w:color="000000"/>
              <w:left w:val="single" w:sz="3" w:space="0" w:color="000000"/>
              <w:bottom w:val="single" w:sz="3" w:space="0" w:color="000000"/>
              <w:right w:val="single" w:sz="3" w:space="0" w:color="000000"/>
            </w:tcBorders>
          </w:tcPr>
          <w:p w14:paraId="0EFC726C" w14:textId="77777777" w:rsidR="00792C48" w:rsidRPr="00C51F85" w:rsidRDefault="00792C48">
            <w:pPr>
              <w:spacing w:after="160" w:line="259" w:lineRule="auto"/>
              <w:ind w:firstLine="0"/>
              <w:jc w:val="left"/>
              <w:rPr>
                <w:rFonts w:asciiTheme="majorBidi" w:hAnsiTheme="majorBidi" w:cstheme="majorBidi"/>
              </w:rPr>
            </w:pPr>
          </w:p>
        </w:tc>
        <w:tc>
          <w:tcPr>
            <w:tcW w:w="818" w:type="dxa"/>
            <w:tcBorders>
              <w:top w:val="single" w:sz="3" w:space="0" w:color="000000"/>
              <w:left w:val="single" w:sz="3" w:space="0" w:color="000000"/>
              <w:bottom w:val="single" w:sz="3" w:space="0" w:color="000000"/>
              <w:right w:val="single" w:sz="3" w:space="0" w:color="000000"/>
            </w:tcBorders>
          </w:tcPr>
          <w:p w14:paraId="05BE5E2C" w14:textId="77777777" w:rsidR="00792C48" w:rsidRPr="00C51F85" w:rsidRDefault="00792C48">
            <w:pPr>
              <w:spacing w:after="160" w:line="259" w:lineRule="auto"/>
              <w:ind w:firstLine="0"/>
              <w:jc w:val="left"/>
              <w:rPr>
                <w:rFonts w:asciiTheme="majorBidi" w:hAnsiTheme="majorBidi" w:cstheme="majorBidi"/>
              </w:rPr>
            </w:pPr>
          </w:p>
        </w:tc>
      </w:tr>
    </w:tbl>
    <w:p w14:paraId="7EC1864B" w14:textId="77777777" w:rsidR="00792C48" w:rsidRPr="00C51F85" w:rsidRDefault="00000000">
      <w:pPr>
        <w:spacing w:after="229" w:line="225" w:lineRule="auto"/>
        <w:ind w:left="596" w:firstLine="0"/>
        <w:rPr>
          <w:rFonts w:asciiTheme="majorBidi" w:hAnsiTheme="majorBidi" w:cstheme="majorBidi"/>
        </w:rPr>
      </w:pPr>
      <w:r w:rsidRPr="00C51F85">
        <w:rPr>
          <w:rFonts w:asciiTheme="majorBidi" w:eastAsia="Cambria" w:hAnsiTheme="majorBidi" w:cstheme="majorBidi"/>
          <w:sz w:val="16"/>
          <w:vertAlign w:val="superscript"/>
        </w:rPr>
        <w:t>a</w:t>
      </w:r>
      <w:r w:rsidRPr="00C51F85">
        <w:rPr>
          <w:rFonts w:asciiTheme="majorBidi" w:hAnsiTheme="majorBidi" w:cstheme="majorBidi"/>
          <w:sz w:val="16"/>
        </w:rPr>
        <w:t>Sample of a Table footnote.</w:t>
      </w:r>
    </w:p>
    <w:p w14:paraId="6149EA66" w14:textId="77777777" w:rsidR="00792C48" w:rsidRPr="00C51F85" w:rsidRDefault="00000000">
      <w:pPr>
        <w:spacing w:after="251" w:line="259" w:lineRule="auto"/>
        <w:ind w:left="27" w:firstLine="0"/>
        <w:jc w:val="left"/>
        <w:rPr>
          <w:rFonts w:asciiTheme="majorBidi" w:hAnsiTheme="majorBidi" w:cstheme="majorBidi"/>
        </w:rPr>
      </w:pPr>
      <w:r w:rsidRPr="00C51F85">
        <w:rPr>
          <w:rFonts w:asciiTheme="majorBidi" w:hAnsiTheme="majorBidi" w:cstheme="majorBidi"/>
          <w:noProof/>
        </w:rPr>
        <w:drawing>
          <wp:inline distT="0" distB="0" distL="0" distR="0" wp14:anchorId="5FE8AAC6" wp14:editId="7BEC6A88">
            <wp:extent cx="3154680" cy="2394204"/>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5"/>
                    <a:stretch>
                      <a:fillRect/>
                    </a:stretch>
                  </pic:blipFill>
                  <pic:spPr>
                    <a:xfrm>
                      <a:off x="0" y="0"/>
                      <a:ext cx="3154680" cy="2394204"/>
                    </a:xfrm>
                    <a:prstGeom prst="rect">
                      <a:avLst/>
                    </a:prstGeom>
                  </pic:spPr>
                </pic:pic>
              </a:graphicData>
            </a:graphic>
          </wp:inline>
        </w:drawing>
      </w:r>
    </w:p>
    <w:p w14:paraId="6BB22E55" w14:textId="77777777" w:rsidR="00792C48" w:rsidRPr="00C51F85" w:rsidRDefault="00000000">
      <w:pPr>
        <w:spacing w:after="430" w:line="265" w:lineRule="auto"/>
        <w:ind w:left="10" w:hanging="10"/>
        <w:jc w:val="center"/>
        <w:rPr>
          <w:rFonts w:asciiTheme="majorBidi" w:hAnsiTheme="majorBidi" w:cstheme="majorBidi"/>
        </w:rPr>
      </w:pPr>
      <w:r w:rsidRPr="00C51F85">
        <w:rPr>
          <w:rFonts w:asciiTheme="majorBidi" w:hAnsiTheme="majorBidi" w:cstheme="majorBidi"/>
          <w:sz w:val="16"/>
        </w:rPr>
        <w:t>Fig. 1. Example of a figure caption.</w:t>
      </w:r>
    </w:p>
    <w:p w14:paraId="2DA86692" w14:textId="77777777" w:rsidR="00792C48" w:rsidRPr="00C51F85" w:rsidRDefault="00000000">
      <w:pPr>
        <w:spacing w:after="150"/>
        <w:ind w:left="-15"/>
        <w:rPr>
          <w:rFonts w:asciiTheme="majorBidi" w:hAnsiTheme="majorBidi" w:cstheme="majorBidi"/>
        </w:rPr>
      </w:pPr>
      <w:r w:rsidRPr="00C51F85">
        <w:rPr>
          <w:rFonts w:asciiTheme="majorBidi" w:hAnsiTheme="majorBidi" w:cstheme="majorBidi"/>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r w:rsidRPr="00C51F85">
        <w:rPr>
          <w:rFonts w:asciiTheme="majorBidi" w:eastAsia="Cambria" w:hAnsiTheme="majorBidi" w:cstheme="majorBidi"/>
        </w:rPr>
        <w:t>{</w:t>
      </w:r>
      <w:r w:rsidRPr="00C51F85">
        <w:rPr>
          <w:rFonts w:asciiTheme="majorBidi" w:hAnsiTheme="majorBidi" w:cstheme="majorBidi"/>
        </w:rPr>
        <w:t>A[m(1)]</w:t>
      </w:r>
      <w:r w:rsidRPr="00C51F85">
        <w:rPr>
          <w:rFonts w:asciiTheme="majorBidi" w:eastAsia="Cambria" w:hAnsiTheme="majorBidi" w:cstheme="majorBidi"/>
        </w:rPr>
        <w:t>}</w:t>
      </w:r>
      <w:r w:rsidRPr="00C51F85">
        <w:rPr>
          <w:rFonts w:asciiTheme="majorBidi" w:hAnsiTheme="majorBidi" w:cstheme="majorBidi"/>
        </w:rPr>
        <w:t>”, not just “A/m”. Do not label axes with a ratio of quantities and units. For example, write “Temperature (K)”, not “Temperature/K”.</w:t>
      </w:r>
    </w:p>
    <w:p w14:paraId="3073B3E6" w14:textId="77777777" w:rsidR="00792C48" w:rsidRPr="00C51F85" w:rsidRDefault="00000000">
      <w:pPr>
        <w:pStyle w:val="Heading3"/>
        <w:rPr>
          <w:rFonts w:asciiTheme="majorBidi" w:hAnsiTheme="majorBidi" w:cstheme="majorBidi"/>
        </w:rPr>
      </w:pPr>
      <w:r w:rsidRPr="00C51F85">
        <w:rPr>
          <w:rFonts w:asciiTheme="majorBidi" w:hAnsiTheme="majorBidi" w:cstheme="majorBidi"/>
          <w:sz w:val="20"/>
        </w:rPr>
        <w:t>A</w:t>
      </w:r>
      <w:r w:rsidRPr="00C51F85">
        <w:rPr>
          <w:rFonts w:asciiTheme="majorBidi" w:hAnsiTheme="majorBidi" w:cstheme="majorBidi"/>
        </w:rPr>
        <w:t>CKNOWLEDGMENT</w:t>
      </w:r>
    </w:p>
    <w:p w14:paraId="61C9559F" w14:textId="77777777" w:rsidR="00792C48" w:rsidRPr="00C51F85" w:rsidRDefault="00000000">
      <w:pPr>
        <w:spacing w:after="147"/>
        <w:ind w:left="-15"/>
        <w:rPr>
          <w:rFonts w:asciiTheme="majorBidi" w:hAnsiTheme="majorBidi" w:cstheme="majorBidi"/>
        </w:rPr>
      </w:pPr>
      <w:r w:rsidRPr="00C51F85">
        <w:rPr>
          <w:rFonts w:asciiTheme="majorBidi" w:hAnsiTheme="majorBidi" w:cstheme="majorBidi"/>
        </w:rPr>
        <w:t xml:space="preserve">The preferred spelling of the word “acknowledgment” in America is without an “e” after the “g”. Avoid the stilted expression “one of us (R. B. G.) thanks </w:t>
      </w:r>
      <w:r w:rsidRPr="00C51F85">
        <w:rPr>
          <w:rFonts w:asciiTheme="majorBidi" w:eastAsia="Cambria" w:hAnsiTheme="majorBidi" w:cstheme="majorBidi"/>
          <w:i/>
        </w:rPr>
        <w:t>...</w:t>
      </w:r>
      <w:r w:rsidRPr="00C51F85">
        <w:rPr>
          <w:rFonts w:asciiTheme="majorBidi" w:hAnsiTheme="majorBidi" w:cstheme="majorBidi"/>
        </w:rPr>
        <w:t>”. Instead, try “R. B. G. thanks</w:t>
      </w:r>
      <w:r w:rsidRPr="00C51F85">
        <w:rPr>
          <w:rFonts w:asciiTheme="majorBidi" w:eastAsia="Cambria" w:hAnsiTheme="majorBidi" w:cstheme="majorBidi"/>
          <w:i/>
        </w:rPr>
        <w:t>...</w:t>
      </w:r>
      <w:r w:rsidRPr="00C51F85">
        <w:rPr>
          <w:rFonts w:asciiTheme="majorBidi" w:hAnsiTheme="majorBidi" w:cstheme="majorBidi"/>
        </w:rPr>
        <w:t>”. Put sponsor acknowledgments in the unnumbered footnote on the first page.</w:t>
      </w:r>
    </w:p>
    <w:p w14:paraId="03E69127" w14:textId="77777777" w:rsidR="00792C48" w:rsidRPr="00C51F85" w:rsidRDefault="00000000">
      <w:pPr>
        <w:pStyle w:val="Heading3"/>
        <w:rPr>
          <w:rFonts w:asciiTheme="majorBidi" w:hAnsiTheme="majorBidi" w:cstheme="majorBidi"/>
        </w:rPr>
      </w:pPr>
      <w:r w:rsidRPr="00C51F85">
        <w:rPr>
          <w:rFonts w:asciiTheme="majorBidi" w:hAnsiTheme="majorBidi" w:cstheme="majorBidi"/>
          <w:sz w:val="20"/>
        </w:rPr>
        <w:t>R</w:t>
      </w:r>
      <w:r w:rsidRPr="00C51F85">
        <w:rPr>
          <w:rFonts w:asciiTheme="majorBidi" w:hAnsiTheme="majorBidi" w:cstheme="majorBidi"/>
        </w:rPr>
        <w:t>EFERENCES</w:t>
      </w:r>
    </w:p>
    <w:p w14:paraId="3F5B3738" w14:textId="77777777" w:rsidR="00792C48" w:rsidRPr="00C51F85" w:rsidRDefault="00000000">
      <w:pPr>
        <w:ind w:left="-15"/>
        <w:rPr>
          <w:rFonts w:asciiTheme="majorBidi" w:hAnsiTheme="majorBidi" w:cstheme="majorBidi"/>
        </w:rPr>
      </w:pPr>
      <w:r w:rsidRPr="00C51F85">
        <w:rPr>
          <w:rFonts w:asciiTheme="majorBidi" w:hAnsiTheme="majorBidi" w:cstheme="majorBidi"/>
        </w:rPr>
        <w:t xml:space="preserve">Please number citations consecutively within brackets [1]. The sentence punctuation follows the bracket [2]. Refer simply to the reference number, as in [3]—do not use “Ref. [3]” or “reference [3]” except at the beginning of a sentence: “Reference [3] was the first </w:t>
      </w:r>
      <w:r w:rsidRPr="00C51F85">
        <w:rPr>
          <w:rFonts w:asciiTheme="majorBidi" w:eastAsia="Cambria" w:hAnsiTheme="majorBidi" w:cstheme="majorBidi"/>
          <w:i/>
        </w:rPr>
        <w:t>...</w:t>
      </w:r>
      <w:r w:rsidRPr="00C51F85">
        <w:rPr>
          <w:rFonts w:asciiTheme="majorBidi" w:hAnsiTheme="majorBidi" w:cstheme="majorBidi"/>
        </w:rPr>
        <w:t>”</w:t>
      </w:r>
    </w:p>
    <w:p w14:paraId="29624612" w14:textId="77777777" w:rsidR="00792C48" w:rsidRPr="00C51F85" w:rsidRDefault="00000000">
      <w:pPr>
        <w:ind w:left="-15"/>
        <w:rPr>
          <w:rFonts w:asciiTheme="majorBidi" w:hAnsiTheme="majorBidi" w:cstheme="majorBidi"/>
        </w:rPr>
      </w:pPr>
      <w:r w:rsidRPr="00C51F85">
        <w:rPr>
          <w:rFonts w:asciiTheme="majorBidi" w:hAnsiTheme="majorBidi" w:cstheme="majorBidi"/>
        </w:rPr>
        <w:t xml:space="preserve">Number footnotes separately in superscripts. Place the actual footnote at the bottom of the column in which it was cited. Do </w:t>
      </w:r>
      <w:r w:rsidRPr="00C51F85">
        <w:rPr>
          <w:rFonts w:asciiTheme="majorBidi" w:hAnsiTheme="majorBidi" w:cstheme="majorBidi"/>
        </w:rPr>
        <w:lastRenderedPageBreak/>
        <w:t>not put footnotes in the abstract or reference list. Use letters for table footnotes.</w:t>
      </w:r>
    </w:p>
    <w:p w14:paraId="3A26FB81" w14:textId="77777777" w:rsidR="00792C48" w:rsidRPr="00C51F85" w:rsidRDefault="00000000">
      <w:pPr>
        <w:ind w:left="-15"/>
        <w:rPr>
          <w:rFonts w:asciiTheme="majorBidi" w:hAnsiTheme="majorBidi" w:cstheme="majorBidi"/>
        </w:rPr>
      </w:pPr>
      <w:r w:rsidRPr="00C51F85">
        <w:rPr>
          <w:rFonts w:asciiTheme="majorBidi" w:hAnsiTheme="majorBidi" w:cstheme="majorBidi"/>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48B4AF9" w14:textId="77777777" w:rsidR="00792C48" w:rsidRPr="00C51F85" w:rsidRDefault="00000000">
      <w:pPr>
        <w:spacing w:after="149"/>
        <w:ind w:left="-15"/>
        <w:rPr>
          <w:rFonts w:asciiTheme="majorBidi" w:hAnsiTheme="majorBidi" w:cstheme="majorBidi"/>
        </w:rPr>
      </w:pPr>
      <w:r w:rsidRPr="00C51F85">
        <w:rPr>
          <w:rFonts w:asciiTheme="majorBidi" w:hAnsiTheme="majorBidi" w:cstheme="majorBidi"/>
        </w:rPr>
        <w:t>For papers published in translation journals, please give the English citation first, followed by the original foreign-language citation [6].</w:t>
      </w:r>
    </w:p>
    <w:p w14:paraId="6EC7F464" w14:textId="77777777" w:rsidR="00792C48" w:rsidRPr="00C51F85" w:rsidRDefault="00000000">
      <w:pPr>
        <w:pStyle w:val="Heading3"/>
        <w:rPr>
          <w:rFonts w:asciiTheme="majorBidi" w:hAnsiTheme="majorBidi" w:cstheme="majorBidi"/>
        </w:rPr>
      </w:pPr>
      <w:r w:rsidRPr="00C51F85">
        <w:rPr>
          <w:rFonts w:asciiTheme="majorBidi" w:hAnsiTheme="majorBidi" w:cstheme="majorBidi"/>
          <w:sz w:val="20"/>
        </w:rPr>
        <w:t>R</w:t>
      </w:r>
      <w:r w:rsidRPr="00C51F85">
        <w:rPr>
          <w:rFonts w:asciiTheme="majorBidi" w:hAnsiTheme="majorBidi" w:cstheme="majorBidi"/>
        </w:rPr>
        <w:t>EFERENCES</w:t>
      </w:r>
    </w:p>
    <w:p w14:paraId="40F05D80" w14:textId="1F6AD569" w:rsidR="00792C48" w:rsidRPr="00E80259" w:rsidRDefault="00480A8C" w:rsidP="00480A8C">
      <w:pPr>
        <w:numPr>
          <w:ilvl w:val="0"/>
          <w:numId w:val="3"/>
        </w:numPr>
        <w:spacing w:after="23" w:line="225" w:lineRule="auto"/>
        <w:ind w:hanging="365"/>
        <w:rPr>
          <w:rFonts w:asciiTheme="majorBidi" w:hAnsiTheme="majorBidi" w:cstheme="majorBidi"/>
          <w:color w:val="FF0000"/>
        </w:rPr>
      </w:pPr>
      <w:r w:rsidRPr="00E80259">
        <w:rPr>
          <w:rFonts w:asciiTheme="majorBidi" w:hAnsiTheme="majorBidi" w:cstheme="majorBidi"/>
          <w:color w:val="FF0000"/>
          <w:sz w:val="16"/>
        </w:rPr>
        <w:t xml:space="preserve">X. Han, Y. Zhang, M. Liu, and Z. Wang, "A robust and consistent stack generalized ensemble-learning framework for image segmentation," </w:t>
      </w:r>
      <w:r w:rsidRPr="00E80259">
        <w:rPr>
          <w:rFonts w:asciiTheme="majorBidi" w:hAnsiTheme="majorBidi" w:cstheme="majorBidi"/>
          <w:i/>
          <w:iCs/>
          <w:color w:val="FF0000"/>
          <w:sz w:val="16"/>
        </w:rPr>
        <w:t>Journal of Engineering and Applied Science</w:t>
      </w:r>
      <w:r w:rsidRPr="00E80259">
        <w:rPr>
          <w:rFonts w:asciiTheme="majorBidi" w:hAnsiTheme="majorBidi" w:cstheme="majorBidi"/>
          <w:color w:val="FF0000"/>
          <w:sz w:val="16"/>
        </w:rPr>
        <w:t>, 2023.</w:t>
      </w:r>
      <w:r w:rsidR="00000000" w:rsidRPr="00E80259">
        <w:rPr>
          <w:rFonts w:asciiTheme="majorBidi" w:hAnsiTheme="majorBidi" w:cstheme="majorBidi"/>
          <w:color w:val="FF0000"/>
          <w:sz w:val="16"/>
        </w:rPr>
        <w:t>J. Clerk Maxwell, A Treatise on Electricity and Magnetism, 3rd ed., vol. 2. Oxford: Clarendon, 1892, pp.68–73.</w:t>
      </w:r>
    </w:p>
    <w:p w14:paraId="09F2F7EE" w14:textId="2D2AA39E" w:rsidR="00792C48" w:rsidRPr="00E80259" w:rsidRDefault="00480A8C" w:rsidP="00480A8C">
      <w:pPr>
        <w:numPr>
          <w:ilvl w:val="0"/>
          <w:numId w:val="3"/>
        </w:numPr>
        <w:spacing w:after="23" w:line="225" w:lineRule="auto"/>
        <w:ind w:hanging="365"/>
        <w:rPr>
          <w:rFonts w:asciiTheme="majorBidi" w:hAnsiTheme="majorBidi" w:cstheme="majorBidi"/>
          <w:color w:val="FF0000"/>
        </w:rPr>
      </w:pPr>
      <w:r w:rsidRPr="00E80259">
        <w:rPr>
          <w:rFonts w:asciiTheme="majorBidi" w:hAnsiTheme="majorBidi" w:cstheme="majorBidi"/>
          <w:color w:val="FF0000"/>
          <w:sz w:val="16"/>
        </w:rPr>
        <w:t xml:space="preserve">M. Gao, J. Li, and L. Zhao, "Exploring the combination of CNN and transformer models for multi-modal image analysis," in </w:t>
      </w:r>
      <w:r w:rsidRPr="00E80259">
        <w:rPr>
          <w:rFonts w:asciiTheme="majorBidi" w:hAnsiTheme="majorBidi" w:cstheme="majorBidi"/>
          <w:i/>
          <w:iCs/>
          <w:color w:val="FF0000"/>
          <w:sz w:val="16"/>
        </w:rPr>
        <w:t>Proceedings of the 2022 International Conference on Machine Learning and Applications</w:t>
      </w:r>
      <w:r w:rsidRPr="00E80259">
        <w:rPr>
          <w:rFonts w:asciiTheme="majorBidi" w:hAnsiTheme="majorBidi" w:cstheme="majorBidi"/>
          <w:color w:val="FF0000"/>
          <w:sz w:val="16"/>
        </w:rPr>
        <w:t>, 2022.</w:t>
      </w:r>
    </w:p>
    <w:p w14:paraId="57420D7F" w14:textId="1D1C4DE0" w:rsidR="00480A8C" w:rsidRPr="00E80259" w:rsidRDefault="00480A8C" w:rsidP="006C081A">
      <w:pPr>
        <w:numPr>
          <w:ilvl w:val="0"/>
          <w:numId w:val="3"/>
        </w:numPr>
        <w:spacing w:after="23" w:line="225" w:lineRule="auto"/>
        <w:ind w:hanging="365"/>
        <w:rPr>
          <w:rFonts w:asciiTheme="majorBidi" w:hAnsiTheme="majorBidi" w:cstheme="majorBidi"/>
          <w:color w:val="FF0000"/>
        </w:rPr>
      </w:pPr>
      <w:r w:rsidRPr="00E80259">
        <w:rPr>
          <w:rFonts w:asciiTheme="majorBidi" w:hAnsiTheme="majorBidi" w:cstheme="majorBidi"/>
          <w:color w:val="FF0000"/>
          <w:sz w:val="16"/>
        </w:rPr>
        <w:t xml:space="preserve">Y. Wu, Y. He, and Y. Wang, "Multi-class weed recognition using hybrid CNN-SVM classifier," </w:t>
      </w:r>
      <w:r w:rsidRPr="00E80259">
        <w:rPr>
          <w:rFonts w:asciiTheme="majorBidi" w:hAnsiTheme="majorBidi" w:cstheme="majorBidi"/>
          <w:i/>
          <w:iCs/>
          <w:color w:val="FF0000"/>
          <w:sz w:val="16"/>
        </w:rPr>
        <w:t>Sensors</w:t>
      </w:r>
      <w:r w:rsidRPr="00E80259">
        <w:rPr>
          <w:rFonts w:asciiTheme="majorBidi" w:hAnsiTheme="majorBidi" w:cstheme="majorBidi"/>
          <w:color w:val="FF0000"/>
          <w:sz w:val="16"/>
        </w:rPr>
        <w:t>, vol. 23, no. 16, p. 7153, 2023.</w:t>
      </w:r>
    </w:p>
    <w:p w14:paraId="0F173A59" w14:textId="40235F6A" w:rsidR="006C081A" w:rsidRPr="00480BC1" w:rsidRDefault="00080097" w:rsidP="00080097">
      <w:pPr>
        <w:numPr>
          <w:ilvl w:val="0"/>
          <w:numId w:val="3"/>
        </w:numPr>
        <w:spacing w:after="21" w:line="223" w:lineRule="auto"/>
        <w:ind w:hanging="365"/>
        <w:rPr>
          <w:rFonts w:asciiTheme="majorBidi" w:hAnsiTheme="majorBidi" w:cstheme="majorBidi"/>
          <w:color w:val="FF0000"/>
        </w:rPr>
      </w:pPr>
      <w:r w:rsidRPr="00480BC1">
        <w:rPr>
          <w:rFonts w:asciiTheme="majorBidi" w:hAnsiTheme="majorBidi" w:cstheme="majorBidi"/>
          <w:color w:val="FF0000"/>
          <w:sz w:val="16"/>
        </w:rPr>
        <w:t xml:space="preserve">M. Shaikh, F. Alsunaidi, and S. Alamoudi, "Improved prediction of ovarian cancer using ensemble classifier and Shaply explainable AI," </w:t>
      </w:r>
      <w:r w:rsidRPr="00480BC1">
        <w:rPr>
          <w:rFonts w:asciiTheme="majorBidi" w:hAnsiTheme="majorBidi" w:cstheme="majorBidi"/>
          <w:i/>
          <w:iCs/>
          <w:color w:val="FF0000"/>
          <w:sz w:val="16"/>
        </w:rPr>
        <w:t>MDPI</w:t>
      </w:r>
      <w:r w:rsidRPr="00480BC1">
        <w:rPr>
          <w:rFonts w:asciiTheme="majorBidi" w:hAnsiTheme="majorBidi" w:cstheme="majorBidi"/>
          <w:color w:val="FF0000"/>
          <w:sz w:val="16"/>
        </w:rPr>
        <w:t>, 2022</w:t>
      </w:r>
    </w:p>
    <w:p w14:paraId="7B7ACF78" w14:textId="28780FE3" w:rsidR="006C081A" w:rsidRPr="00480BC1" w:rsidRDefault="00080097" w:rsidP="00080097">
      <w:pPr>
        <w:numPr>
          <w:ilvl w:val="0"/>
          <w:numId w:val="3"/>
        </w:numPr>
        <w:spacing w:after="23" w:line="225" w:lineRule="auto"/>
        <w:ind w:hanging="365"/>
        <w:rPr>
          <w:rFonts w:asciiTheme="majorBidi" w:hAnsiTheme="majorBidi" w:cstheme="majorBidi"/>
          <w:color w:val="FF0000"/>
        </w:rPr>
      </w:pPr>
      <w:r w:rsidRPr="00480BC1">
        <w:rPr>
          <w:rFonts w:asciiTheme="majorBidi" w:hAnsiTheme="majorBidi" w:cstheme="majorBidi"/>
          <w:color w:val="FF0000"/>
          <w:sz w:val="16"/>
        </w:rPr>
        <w:t xml:space="preserve">S. Guha, A. Kumar, and S. Dey, "Explainable AI for interpretation of ovarian tumor classification using enhanced ResNet50," </w:t>
      </w:r>
      <w:r w:rsidRPr="00480BC1">
        <w:rPr>
          <w:rFonts w:asciiTheme="majorBidi" w:hAnsiTheme="majorBidi" w:cstheme="majorBidi"/>
          <w:i/>
          <w:iCs/>
          <w:color w:val="FF0000"/>
          <w:sz w:val="16"/>
        </w:rPr>
        <w:t>MDPI</w:t>
      </w:r>
      <w:r w:rsidRPr="00480BC1">
        <w:rPr>
          <w:rFonts w:asciiTheme="majorBidi" w:hAnsiTheme="majorBidi" w:cstheme="majorBidi"/>
          <w:color w:val="FF0000"/>
          <w:sz w:val="16"/>
        </w:rPr>
        <w:t>, 2024</w:t>
      </w:r>
    </w:p>
    <w:p w14:paraId="3A86AA82" w14:textId="7518AA5C" w:rsidR="006C081A" w:rsidRPr="00480BC1" w:rsidRDefault="00F23A63" w:rsidP="00F23A63">
      <w:pPr>
        <w:numPr>
          <w:ilvl w:val="0"/>
          <w:numId w:val="3"/>
        </w:numPr>
        <w:spacing w:after="23" w:line="225" w:lineRule="auto"/>
        <w:ind w:hanging="365"/>
        <w:rPr>
          <w:rFonts w:asciiTheme="majorBidi" w:hAnsiTheme="majorBidi" w:cstheme="majorBidi"/>
          <w:color w:val="FF0000"/>
        </w:rPr>
      </w:pPr>
      <w:r w:rsidRPr="00480BC1">
        <w:rPr>
          <w:rFonts w:asciiTheme="majorBidi" w:hAnsiTheme="majorBidi" w:cstheme="majorBidi"/>
          <w:color w:val="FF0000"/>
          <w:sz w:val="16"/>
        </w:rPr>
        <w:t xml:space="preserve">Srinadh Bhojanapalli et al., "Understanding Robustness of Transformers for Image Classification," </w:t>
      </w:r>
      <w:r w:rsidRPr="00480BC1">
        <w:rPr>
          <w:rFonts w:asciiTheme="majorBidi" w:hAnsiTheme="majorBidi" w:cstheme="majorBidi"/>
          <w:i/>
          <w:iCs/>
          <w:color w:val="FF0000"/>
          <w:sz w:val="16"/>
        </w:rPr>
        <w:t>arXiv</w:t>
      </w:r>
      <w:r w:rsidRPr="00480BC1">
        <w:rPr>
          <w:rFonts w:asciiTheme="majorBidi" w:hAnsiTheme="majorBidi" w:cstheme="majorBidi"/>
          <w:color w:val="FF0000"/>
          <w:sz w:val="16"/>
        </w:rPr>
        <w:t>, 2021</w:t>
      </w:r>
    </w:p>
    <w:p w14:paraId="09A1B373" w14:textId="3E793879" w:rsidR="006C081A" w:rsidRPr="00E80259" w:rsidRDefault="006C081A" w:rsidP="006C081A">
      <w:pPr>
        <w:numPr>
          <w:ilvl w:val="0"/>
          <w:numId w:val="3"/>
        </w:numPr>
        <w:spacing w:after="23" w:line="225" w:lineRule="auto"/>
        <w:ind w:hanging="365"/>
        <w:rPr>
          <w:rFonts w:asciiTheme="majorBidi" w:hAnsiTheme="majorBidi" w:cstheme="majorBidi"/>
          <w:color w:val="FF0000"/>
        </w:rPr>
      </w:pPr>
      <w:r w:rsidRPr="00E80259">
        <w:rPr>
          <w:rFonts w:asciiTheme="majorBidi" w:hAnsiTheme="majorBidi" w:cstheme="majorBidi"/>
          <w:color w:val="FF0000"/>
          <w:sz w:val="16"/>
        </w:rPr>
        <w:t xml:space="preserve">F. Özyurt, "Efficient deep feature selection for remote sensing image recognition with fused deep learning architectures," </w:t>
      </w:r>
      <w:r w:rsidRPr="00E80259">
        <w:rPr>
          <w:rFonts w:asciiTheme="majorBidi" w:hAnsiTheme="majorBidi" w:cstheme="majorBidi"/>
          <w:i/>
          <w:iCs/>
          <w:color w:val="FF0000"/>
          <w:sz w:val="16"/>
        </w:rPr>
        <w:t>The Journal of Supercomputing</w:t>
      </w:r>
      <w:r w:rsidRPr="00E80259">
        <w:rPr>
          <w:rFonts w:asciiTheme="majorBidi" w:hAnsiTheme="majorBidi" w:cstheme="majorBidi"/>
          <w:color w:val="FF0000"/>
          <w:sz w:val="16"/>
        </w:rPr>
        <w:t>, vol. 76, pp. 1–19, 2020.</w:t>
      </w:r>
    </w:p>
    <w:p w14:paraId="729765F3" w14:textId="7F87934D" w:rsidR="006C081A" w:rsidRPr="00E80259" w:rsidRDefault="006C081A" w:rsidP="006C081A">
      <w:pPr>
        <w:numPr>
          <w:ilvl w:val="0"/>
          <w:numId w:val="3"/>
        </w:numPr>
        <w:spacing w:after="23" w:line="225" w:lineRule="auto"/>
        <w:ind w:hanging="365"/>
        <w:rPr>
          <w:rFonts w:asciiTheme="majorBidi" w:hAnsiTheme="majorBidi" w:cstheme="majorBidi"/>
          <w:color w:val="FF0000"/>
        </w:rPr>
      </w:pPr>
      <w:r w:rsidRPr="00E80259">
        <w:rPr>
          <w:rFonts w:asciiTheme="majorBidi" w:hAnsiTheme="majorBidi" w:cstheme="majorBidi"/>
          <w:color w:val="FF0000"/>
          <w:sz w:val="16"/>
        </w:rPr>
        <w:t xml:space="preserve">H. Kibriya, M. Rahman, R. Ferdous, and S. Mahmud, "A novel and effective brain tumor classification model using deep feature fusion and famous machine learning classifiers," </w:t>
      </w:r>
      <w:r w:rsidRPr="00E80259">
        <w:rPr>
          <w:rFonts w:asciiTheme="majorBidi" w:hAnsiTheme="majorBidi" w:cstheme="majorBidi"/>
          <w:i/>
          <w:iCs/>
          <w:color w:val="FF0000"/>
          <w:sz w:val="16"/>
        </w:rPr>
        <w:t>Computational Intelligence and Neuroscience</w:t>
      </w:r>
      <w:r w:rsidRPr="00E80259">
        <w:rPr>
          <w:rFonts w:asciiTheme="majorBidi" w:hAnsiTheme="majorBidi" w:cstheme="majorBidi"/>
          <w:color w:val="FF0000"/>
          <w:sz w:val="16"/>
        </w:rPr>
        <w:t>, vol. 2022, Article ID 7897669, 2022.</w:t>
      </w:r>
    </w:p>
    <w:p w14:paraId="6B3830D0" w14:textId="328B0711" w:rsidR="006C081A" w:rsidRPr="00E80259" w:rsidRDefault="006C081A" w:rsidP="006C081A">
      <w:pPr>
        <w:numPr>
          <w:ilvl w:val="0"/>
          <w:numId w:val="3"/>
        </w:numPr>
        <w:spacing w:after="23" w:line="225" w:lineRule="auto"/>
        <w:ind w:hanging="365"/>
        <w:rPr>
          <w:rFonts w:asciiTheme="majorBidi" w:hAnsiTheme="majorBidi" w:cstheme="majorBidi"/>
          <w:color w:val="FF0000"/>
        </w:rPr>
      </w:pPr>
      <w:r w:rsidRPr="00E80259">
        <w:rPr>
          <w:rFonts w:asciiTheme="majorBidi" w:hAnsiTheme="majorBidi" w:cstheme="majorBidi"/>
          <w:color w:val="FF0000"/>
          <w:sz w:val="16"/>
        </w:rPr>
        <w:t xml:space="preserve">H. Kibriya, M. Rahman, R. Ferdous, and S. Mahmud, "Multiclass brain tumor classification using convolutional neural network and support vector machine," in </w:t>
      </w:r>
      <w:r w:rsidRPr="00E80259">
        <w:rPr>
          <w:rFonts w:asciiTheme="majorBidi" w:hAnsiTheme="majorBidi" w:cstheme="majorBidi"/>
          <w:i/>
          <w:iCs/>
          <w:color w:val="FF0000"/>
          <w:sz w:val="16"/>
        </w:rPr>
        <w:t>2021 Mohammad Ali Jinnah University International Conference on Computing (MAJICC)</w:t>
      </w:r>
      <w:r w:rsidRPr="00E80259">
        <w:rPr>
          <w:rFonts w:asciiTheme="majorBidi" w:hAnsiTheme="majorBidi" w:cstheme="majorBidi"/>
          <w:color w:val="FF0000"/>
          <w:sz w:val="16"/>
        </w:rPr>
        <w:t>, Karachi, Pakistan, 2021, pp. 1–4.</w:t>
      </w:r>
      <w:r w:rsidRPr="00E80259">
        <w:rPr>
          <w:rFonts w:asciiTheme="majorBidi" w:hAnsiTheme="majorBidi" w:cstheme="majorBidi"/>
          <w:color w:val="FF0000"/>
          <w:sz w:val="16"/>
        </w:rPr>
        <w:t xml:space="preserve"> </w:t>
      </w:r>
    </w:p>
    <w:p w14:paraId="20BE7FB7" w14:textId="7BDE786C" w:rsidR="006C081A" w:rsidRPr="006C081A" w:rsidRDefault="006C081A" w:rsidP="006C081A">
      <w:pPr>
        <w:numPr>
          <w:ilvl w:val="0"/>
          <w:numId w:val="3"/>
        </w:numPr>
        <w:spacing w:after="336" w:line="225" w:lineRule="auto"/>
        <w:ind w:hanging="365"/>
        <w:rPr>
          <w:rFonts w:asciiTheme="majorBidi" w:hAnsiTheme="majorBidi" w:cstheme="majorBidi"/>
        </w:rPr>
      </w:pPr>
    </w:p>
    <w:p w14:paraId="2570F685" w14:textId="77777777" w:rsidR="006C081A" w:rsidRPr="00C51F85" w:rsidRDefault="006C081A" w:rsidP="006C081A">
      <w:pPr>
        <w:spacing w:after="336" w:line="225" w:lineRule="auto"/>
        <w:ind w:left="430" w:firstLine="0"/>
        <w:rPr>
          <w:rFonts w:asciiTheme="majorBidi" w:hAnsiTheme="majorBidi" w:cstheme="majorBidi"/>
        </w:rPr>
      </w:pPr>
    </w:p>
    <w:p w14:paraId="7DAC8EA1" w14:textId="77777777" w:rsidR="00792C48" w:rsidRDefault="00000000">
      <w:pPr>
        <w:spacing w:after="0" w:line="236" w:lineRule="auto"/>
        <w:ind w:firstLine="199"/>
        <w:rPr>
          <w:rFonts w:asciiTheme="majorBidi" w:hAnsiTheme="majorBidi" w:cstheme="majorBidi"/>
          <w:color w:val="FF0000"/>
        </w:rPr>
      </w:pPr>
      <w:r w:rsidRPr="00C51F85">
        <w:rPr>
          <w:rFonts w:asciiTheme="majorBidi" w:hAnsiTheme="majorBidi" w:cstheme="majorBidi"/>
          <w:color w:val="FF0000"/>
        </w:rPr>
        <w:t>IEEE conference templates contain guidance text for composing and formatting conference papers. Please ensure that all template text is removed from your conference paper prior to submission to the conference. Failure to remove the template text from your paper may result in your paper not being published.</w:t>
      </w:r>
    </w:p>
    <w:p w14:paraId="0A6E8024" w14:textId="77777777" w:rsidR="009A4B71" w:rsidRDefault="009A4B71">
      <w:pPr>
        <w:spacing w:after="0" w:line="236" w:lineRule="auto"/>
        <w:ind w:firstLine="199"/>
        <w:rPr>
          <w:rFonts w:asciiTheme="majorBidi" w:hAnsiTheme="majorBidi" w:cstheme="majorBidi"/>
          <w:color w:val="FF0000"/>
        </w:rPr>
      </w:pPr>
    </w:p>
    <w:p w14:paraId="6667872B" w14:textId="77777777" w:rsidR="009A4B71" w:rsidRPr="00C51F85" w:rsidRDefault="009A4B71">
      <w:pPr>
        <w:spacing w:after="0" w:line="236" w:lineRule="auto"/>
        <w:ind w:firstLine="199"/>
        <w:rPr>
          <w:rFonts w:asciiTheme="majorBidi" w:hAnsiTheme="majorBidi" w:cstheme="majorBidi"/>
        </w:rPr>
      </w:pPr>
    </w:p>
    <w:sectPr w:rsidR="009A4B71" w:rsidRPr="00C51F85">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9F178A"/>
    <w:multiLevelType w:val="hybridMultilevel"/>
    <w:tmpl w:val="9760B034"/>
    <w:lvl w:ilvl="0" w:tplc="5BCE5E6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DDACAF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AE72D5B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DCDEB8C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E52C7F0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B550621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2E44AC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3822BC3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2207E9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785F1FE5"/>
    <w:multiLevelType w:val="hybridMultilevel"/>
    <w:tmpl w:val="A488856A"/>
    <w:lvl w:ilvl="0" w:tplc="CE96E394">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38A30EE">
      <w:start w:val="1"/>
      <w:numFmt w:val="lowerLetter"/>
      <w:lvlText w:val="%2"/>
      <w:lvlJc w:val="left"/>
      <w:pPr>
        <w:ind w:left="11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0606CF2">
      <w:start w:val="1"/>
      <w:numFmt w:val="lowerRoman"/>
      <w:lvlText w:val="%3"/>
      <w:lvlJc w:val="left"/>
      <w:pPr>
        <w:ind w:left="18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67E24D4">
      <w:start w:val="1"/>
      <w:numFmt w:val="decimal"/>
      <w:lvlText w:val="%4"/>
      <w:lvlJc w:val="left"/>
      <w:pPr>
        <w:ind w:left="25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8D61AF6">
      <w:start w:val="1"/>
      <w:numFmt w:val="lowerLetter"/>
      <w:lvlText w:val="%5"/>
      <w:lvlJc w:val="left"/>
      <w:pPr>
        <w:ind w:left="33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7A8F67E">
      <w:start w:val="1"/>
      <w:numFmt w:val="lowerRoman"/>
      <w:lvlText w:val="%6"/>
      <w:lvlJc w:val="left"/>
      <w:pPr>
        <w:ind w:left="40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A547EB0">
      <w:start w:val="1"/>
      <w:numFmt w:val="decimal"/>
      <w:lvlText w:val="%7"/>
      <w:lvlJc w:val="left"/>
      <w:pPr>
        <w:ind w:left="47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63C6D4E">
      <w:start w:val="1"/>
      <w:numFmt w:val="lowerLetter"/>
      <w:lvlText w:val="%8"/>
      <w:lvlJc w:val="left"/>
      <w:pPr>
        <w:ind w:left="54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93E0D78">
      <w:start w:val="1"/>
      <w:numFmt w:val="lowerRoman"/>
      <w:lvlText w:val="%9"/>
      <w:lvlJc w:val="left"/>
      <w:pPr>
        <w:ind w:left="61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7BE55F48"/>
    <w:multiLevelType w:val="hybridMultilevel"/>
    <w:tmpl w:val="53AA1BD0"/>
    <w:lvl w:ilvl="0" w:tplc="844E4B5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5D808E8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55D09B7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A4EDBF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8618C406">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963ACA4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8BA675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2307CC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FB6B9D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1215504963">
    <w:abstractNumId w:val="2"/>
  </w:num>
  <w:num w:numId="2" w16cid:durableId="1093740545">
    <w:abstractNumId w:val="0"/>
  </w:num>
  <w:num w:numId="3" w16cid:durableId="1072318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C48"/>
    <w:rsid w:val="000017E8"/>
    <w:rsid w:val="00080097"/>
    <w:rsid w:val="0028262B"/>
    <w:rsid w:val="002E6E4A"/>
    <w:rsid w:val="00480A8C"/>
    <w:rsid w:val="00480BC1"/>
    <w:rsid w:val="004A0D15"/>
    <w:rsid w:val="004A2896"/>
    <w:rsid w:val="004A73AC"/>
    <w:rsid w:val="006C081A"/>
    <w:rsid w:val="006F6BA3"/>
    <w:rsid w:val="00792C48"/>
    <w:rsid w:val="00805F11"/>
    <w:rsid w:val="009606E6"/>
    <w:rsid w:val="009A4B71"/>
    <w:rsid w:val="00B5714D"/>
    <w:rsid w:val="00B66322"/>
    <w:rsid w:val="00BB397B"/>
    <w:rsid w:val="00C51F85"/>
    <w:rsid w:val="00C55EED"/>
    <w:rsid w:val="00CE3C26"/>
    <w:rsid w:val="00E669AE"/>
    <w:rsid w:val="00E80259"/>
    <w:rsid w:val="00F16AD6"/>
    <w:rsid w:val="00F23A63"/>
    <w:rsid w:val="00F735B2"/>
    <w:rsid w:val="00FE1AD3"/>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decimalSymbol w:val="."/>
  <w:listSeparator w:val=","/>
  <w14:docId w14:val="378CE888"/>
  <w15:docId w15:val="{0C5FBE83-2603-FF4E-8090-1A936980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L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3" w:line="265"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43" w:line="265" w:lineRule="auto"/>
      <w:ind w:left="10" w:hanging="10"/>
      <w:jc w:val="center"/>
      <w:outlineLvl w:val="2"/>
    </w:pPr>
    <w:rPr>
      <w:rFonts w:ascii="Calibri" w:eastAsia="Calibri" w:hAnsi="Calibri" w:cs="Calibri"/>
      <w:color w:val="000000"/>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A0D15"/>
    <w:rPr>
      <w:color w:val="467886" w:themeColor="hyperlink"/>
      <w:u w:val="single"/>
    </w:rPr>
  </w:style>
  <w:style w:type="character" w:styleId="UnresolvedMention">
    <w:name w:val="Unresolved Mention"/>
    <w:basedOn w:val="DefaultParagraphFont"/>
    <w:uiPriority w:val="99"/>
    <w:semiHidden/>
    <w:unhideWhenUsed/>
    <w:rsid w:val="004A0D15"/>
    <w:rPr>
      <w:color w:val="605E5C"/>
      <w:shd w:val="clear" w:color="auto" w:fill="E1DFDD"/>
    </w:rPr>
  </w:style>
  <w:style w:type="paragraph" w:styleId="ListParagraph">
    <w:name w:val="List Paragraph"/>
    <w:basedOn w:val="Normal"/>
    <w:uiPriority w:val="34"/>
    <w:qFormat/>
    <w:rsid w:val="006C0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3492">
      <w:bodyDiv w:val="1"/>
      <w:marLeft w:val="0"/>
      <w:marRight w:val="0"/>
      <w:marTop w:val="0"/>
      <w:marBottom w:val="0"/>
      <w:divBdr>
        <w:top w:val="none" w:sz="0" w:space="0" w:color="auto"/>
        <w:left w:val="none" w:sz="0" w:space="0" w:color="auto"/>
        <w:bottom w:val="none" w:sz="0" w:space="0" w:color="auto"/>
        <w:right w:val="none" w:sz="0" w:space="0" w:color="auto"/>
      </w:divBdr>
    </w:div>
    <w:div w:id="89473875">
      <w:bodyDiv w:val="1"/>
      <w:marLeft w:val="0"/>
      <w:marRight w:val="0"/>
      <w:marTop w:val="0"/>
      <w:marBottom w:val="0"/>
      <w:divBdr>
        <w:top w:val="none" w:sz="0" w:space="0" w:color="auto"/>
        <w:left w:val="none" w:sz="0" w:space="0" w:color="auto"/>
        <w:bottom w:val="none" w:sz="0" w:space="0" w:color="auto"/>
        <w:right w:val="none" w:sz="0" w:space="0" w:color="auto"/>
      </w:divBdr>
    </w:div>
    <w:div w:id="90514208">
      <w:bodyDiv w:val="1"/>
      <w:marLeft w:val="0"/>
      <w:marRight w:val="0"/>
      <w:marTop w:val="0"/>
      <w:marBottom w:val="0"/>
      <w:divBdr>
        <w:top w:val="none" w:sz="0" w:space="0" w:color="auto"/>
        <w:left w:val="none" w:sz="0" w:space="0" w:color="auto"/>
        <w:bottom w:val="none" w:sz="0" w:space="0" w:color="auto"/>
        <w:right w:val="none" w:sz="0" w:space="0" w:color="auto"/>
      </w:divBdr>
    </w:div>
    <w:div w:id="697504806">
      <w:bodyDiv w:val="1"/>
      <w:marLeft w:val="0"/>
      <w:marRight w:val="0"/>
      <w:marTop w:val="0"/>
      <w:marBottom w:val="0"/>
      <w:divBdr>
        <w:top w:val="none" w:sz="0" w:space="0" w:color="auto"/>
        <w:left w:val="none" w:sz="0" w:space="0" w:color="auto"/>
        <w:bottom w:val="none" w:sz="0" w:space="0" w:color="auto"/>
        <w:right w:val="none" w:sz="0" w:space="0" w:color="auto"/>
      </w:divBdr>
    </w:div>
    <w:div w:id="868684623">
      <w:bodyDiv w:val="1"/>
      <w:marLeft w:val="0"/>
      <w:marRight w:val="0"/>
      <w:marTop w:val="0"/>
      <w:marBottom w:val="0"/>
      <w:divBdr>
        <w:top w:val="none" w:sz="0" w:space="0" w:color="auto"/>
        <w:left w:val="none" w:sz="0" w:space="0" w:color="auto"/>
        <w:bottom w:val="none" w:sz="0" w:space="0" w:color="auto"/>
        <w:right w:val="none" w:sz="0" w:space="0" w:color="auto"/>
      </w:divBdr>
    </w:div>
    <w:div w:id="912785661">
      <w:bodyDiv w:val="1"/>
      <w:marLeft w:val="0"/>
      <w:marRight w:val="0"/>
      <w:marTop w:val="0"/>
      <w:marBottom w:val="0"/>
      <w:divBdr>
        <w:top w:val="none" w:sz="0" w:space="0" w:color="auto"/>
        <w:left w:val="none" w:sz="0" w:space="0" w:color="auto"/>
        <w:bottom w:val="none" w:sz="0" w:space="0" w:color="auto"/>
        <w:right w:val="none" w:sz="0" w:space="0" w:color="auto"/>
      </w:divBdr>
    </w:div>
    <w:div w:id="919409484">
      <w:bodyDiv w:val="1"/>
      <w:marLeft w:val="0"/>
      <w:marRight w:val="0"/>
      <w:marTop w:val="0"/>
      <w:marBottom w:val="0"/>
      <w:divBdr>
        <w:top w:val="none" w:sz="0" w:space="0" w:color="auto"/>
        <w:left w:val="none" w:sz="0" w:space="0" w:color="auto"/>
        <w:bottom w:val="none" w:sz="0" w:space="0" w:color="auto"/>
        <w:right w:val="none" w:sz="0" w:space="0" w:color="auto"/>
      </w:divBdr>
    </w:div>
    <w:div w:id="1091506459">
      <w:bodyDiv w:val="1"/>
      <w:marLeft w:val="0"/>
      <w:marRight w:val="0"/>
      <w:marTop w:val="0"/>
      <w:marBottom w:val="0"/>
      <w:divBdr>
        <w:top w:val="none" w:sz="0" w:space="0" w:color="auto"/>
        <w:left w:val="none" w:sz="0" w:space="0" w:color="auto"/>
        <w:bottom w:val="none" w:sz="0" w:space="0" w:color="auto"/>
        <w:right w:val="none" w:sz="0" w:space="0" w:color="auto"/>
      </w:divBdr>
    </w:div>
    <w:div w:id="1428505251">
      <w:bodyDiv w:val="1"/>
      <w:marLeft w:val="0"/>
      <w:marRight w:val="0"/>
      <w:marTop w:val="0"/>
      <w:marBottom w:val="0"/>
      <w:divBdr>
        <w:top w:val="none" w:sz="0" w:space="0" w:color="auto"/>
        <w:left w:val="none" w:sz="0" w:space="0" w:color="auto"/>
        <w:bottom w:val="none" w:sz="0" w:space="0" w:color="auto"/>
        <w:right w:val="none" w:sz="0" w:space="0" w:color="auto"/>
      </w:divBdr>
    </w:div>
    <w:div w:id="1709142274">
      <w:bodyDiv w:val="1"/>
      <w:marLeft w:val="0"/>
      <w:marRight w:val="0"/>
      <w:marTop w:val="0"/>
      <w:marBottom w:val="0"/>
      <w:divBdr>
        <w:top w:val="none" w:sz="0" w:space="0" w:color="auto"/>
        <w:left w:val="none" w:sz="0" w:space="0" w:color="auto"/>
        <w:bottom w:val="none" w:sz="0" w:space="0" w:color="auto"/>
        <w:right w:val="none" w:sz="0" w:space="0" w:color="auto"/>
      </w:divBdr>
    </w:div>
    <w:div w:id="1821992583">
      <w:bodyDiv w:val="1"/>
      <w:marLeft w:val="0"/>
      <w:marRight w:val="0"/>
      <w:marTop w:val="0"/>
      <w:marBottom w:val="0"/>
      <w:divBdr>
        <w:top w:val="none" w:sz="0" w:space="0" w:color="auto"/>
        <w:left w:val="none" w:sz="0" w:space="0" w:color="auto"/>
        <w:bottom w:val="none" w:sz="0" w:space="0" w:color="auto"/>
        <w:right w:val="none" w:sz="0" w:space="0" w:color="auto"/>
      </w:divBdr>
    </w:div>
    <w:div w:id="2043287911">
      <w:bodyDiv w:val="1"/>
      <w:marLeft w:val="0"/>
      <w:marRight w:val="0"/>
      <w:marTop w:val="0"/>
      <w:marBottom w:val="0"/>
      <w:divBdr>
        <w:top w:val="none" w:sz="0" w:space="0" w:color="auto"/>
        <w:left w:val="none" w:sz="0" w:space="0" w:color="auto"/>
        <w:bottom w:val="none" w:sz="0" w:space="0" w:color="auto"/>
        <w:right w:val="none" w:sz="0" w:space="0" w:color="auto"/>
      </w:divBdr>
    </w:div>
    <w:div w:id="2063207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cp:lastModifiedBy>NADUN SENARATHNE (2117538)</cp:lastModifiedBy>
  <cp:revision>19</cp:revision>
  <dcterms:created xsi:type="dcterms:W3CDTF">2024-10-12T05:47:00Z</dcterms:created>
  <dcterms:modified xsi:type="dcterms:W3CDTF">2024-10-21T07:18:00Z</dcterms:modified>
</cp:coreProperties>
</file>