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915" w:rsidRDefault="00C85336" w:rsidP="00C85336">
      <w:pPr>
        <w:jc w:val="center"/>
        <w:rPr>
          <w:rFonts w:ascii="Times New Roman" w:hAnsi="Times New Roman" w:cs="Times New Roman"/>
          <w:b/>
          <w:sz w:val="24"/>
        </w:rPr>
      </w:pPr>
      <w:r w:rsidRPr="001A474C">
        <w:rPr>
          <w:rFonts w:ascii="Times New Roman" w:hAnsi="Times New Roman" w:cs="Times New Roman"/>
          <w:b/>
          <w:sz w:val="24"/>
        </w:rPr>
        <w:t>TUGAS AKHIR PEMODELAN FUZZY</w:t>
      </w:r>
    </w:p>
    <w:p w:rsidR="001A474C" w:rsidRDefault="001A474C" w:rsidP="001A474C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Nadya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Putri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W</w:t>
      </w:r>
    </w:p>
    <w:p w:rsidR="001A474C" w:rsidRPr="001A474C" w:rsidRDefault="001A474C" w:rsidP="001A474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NIM</w:t>
      </w:r>
      <w:r>
        <w:rPr>
          <w:rFonts w:ascii="Times New Roman" w:hAnsi="Times New Roman" w:cs="Times New Roman"/>
          <w:b/>
          <w:sz w:val="24"/>
        </w:rPr>
        <w:tab/>
        <w:t>: 662020011</w:t>
      </w:r>
    </w:p>
    <w:p w:rsidR="00C85336" w:rsidRDefault="00D6050B" w:rsidP="001A474C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Keputusan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Penentuan</w:t>
      </w:r>
      <w:proofErr w:type="spellEnd"/>
      <w:r>
        <w:rPr>
          <w:rFonts w:ascii="Times New Roman" w:hAnsi="Times New Roman" w:cs="Times New Roman"/>
          <w:sz w:val="28"/>
        </w:rPr>
        <w:t xml:space="preserve"> Tingkat </w:t>
      </w:r>
      <w:proofErr w:type="spellStart"/>
      <w:r w:rsidR="001A474C">
        <w:rPr>
          <w:rFonts w:ascii="Times New Roman" w:hAnsi="Times New Roman" w:cs="Times New Roman"/>
          <w:sz w:val="28"/>
        </w:rPr>
        <w:t>P</w:t>
      </w:r>
      <w:r>
        <w:rPr>
          <w:rFonts w:ascii="Times New Roman" w:hAnsi="Times New Roman" w:cs="Times New Roman"/>
          <w:sz w:val="28"/>
        </w:rPr>
        <w:t>rioritas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Pemilihan</w:t>
      </w:r>
      <w:proofErr w:type="spellEnd"/>
      <w:r w:rsidR="008E79D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E79D8">
        <w:rPr>
          <w:rFonts w:ascii="Times New Roman" w:hAnsi="Times New Roman" w:cs="Times New Roman"/>
          <w:sz w:val="28"/>
        </w:rPr>
        <w:t>Universitas</w:t>
      </w:r>
      <w:proofErr w:type="spellEnd"/>
      <w:r w:rsidR="008E79D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A474C" w:rsidRPr="001A474C">
        <w:rPr>
          <w:rFonts w:ascii="Times New Roman" w:hAnsi="Times New Roman" w:cs="Times New Roman"/>
          <w:sz w:val="28"/>
        </w:rPr>
        <w:t>dengan</w:t>
      </w:r>
      <w:proofErr w:type="spellEnd"/>
      <w:r w:rsidR="001A474C" w:rsidRPr="001A474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A474C" w:rsidRPr="001A474C">
        <w:rPr>
          <w:rFonts w:ascii="Times New Roman" w:hAnsi="Times New Roman" w:cs="Times New Roman"/>
          <w:sz w:val="28"/>
        </w:rPr>
        <w:t>Sistem</w:t>
      </w:r>
      <w:proofErr w:type="spellEnd"/>
      <w:r w:rsidR="001A474C" w:rsidRPr="001A474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A474C" w:rsidRPr="001A474C">
        <w:rPr>
          <w:rFonts w:ascii="Times New Roman" w:hAnsi="Times New Roman" w:cs="Times New Roman"/>
          <w:sz w:val="28"/>
        </w:rPr>
        <w:t>Inferensi</w:t>
      </w:r>
      <w:proofErr w:type="spellEnd"/>
      <w:r w:rsidR="001A474C" w:rsidRPr="001A474C">
        <w:rPr>
          <w:rFonts w:ascii="Times New Roman" w:hAnsi="Times New Roman" w:cs="Times New Roman"/>
          <w:sz w:val="28"/>
        </w:rPr>
        <w:t xml:space="preserve"> Fuzzy</w:t>
      </w:r>
    </w:p>
    <w:p w:rsidR="001A474C" w:rsidRPr="00226428" w:rsidRDefault="001A474C" w:rsidP="001A474C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Pendahuluan</w:t>
      </w:r>
      <w:proofErr w:type="spellEnd"/>
    </w:p>
    <w:p w:rsidR="008E79D8" w:rsidRDefault="00617923" w:rsidP="00617923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menduduki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(SMA).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556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11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5561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5611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entuny</w:t>
      </w:r>
      <w:r w:rsidR="0055611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56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119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556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119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556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119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5561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55611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556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119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556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11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56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119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556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11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56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11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561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611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556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11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556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119">
        <w:rPr>
          <w:rFonts w:ascii="Times New Roman" w:hAnsi="Times New Roman" w:cs="Times New Roman"/>
          <w:sz w:val="24"/>
          <w:szCs w:val="24"/>
        </w:rPr>
        <w:t>mahasisw</w:t>
      </w:r>
      <w:r w:rsidR="008E79D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8E7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9D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8E79D8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="008E79D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8E7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9D8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="008E7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9D8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556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119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8E79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79D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E79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79D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E7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9D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8E7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9D8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="008E7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9D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E7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9D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8E7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9D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8E79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79D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8E7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9D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8E79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79D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8E7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9D8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8E79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79D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8E7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9D8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8E79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79D8"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 w:rsidR="008E7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9D8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8E7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9D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8E79D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8E79D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8E79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79D8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8E79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79D8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8E79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79D8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8E79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79D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8E7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9D8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="008E79D8"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 w:rsidR="008E79D8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8E79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79D8">
        <w:rPr>
          <w:rFonts w:ascii="Times New Roman" w:hAnsi="Times New Roman" w:cs="Times New Roman"/>
          <w:sz w:val="24"/>
          <w:szCs w:val="24"/>
        </w:rPr>
        <w:t>dituju</w:t>
      </w:r>
      <w:proofErr w:type="spellEnd"/>
      <w:r w:rsidR="008E79D8">
        <w:rPr>
          <w:rFonts w:ascii="Times New Roman" w:hAnsi="Times New Roman" w:cs="Times New Roman"/>
          <w:sz w:val="24"/>
          <w:szCs w:val="24"/>
        </w:rPr>
        <w:t>.</w:t>
      </w:r>
      <w:r w:rsidRPr="006179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3524" w:rsidRDefault="00E53524" w:rsidP="00617923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617923" w:rsidRDefault="008E79D8" w:rsidP="00E53524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923" w:rsidRPr="006179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17923" w:rsidRPr="006179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7923" w:rsidRPr="006179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17923" w:rsidRPr="0061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923" w:rsidRPr="00617923">
        <w:rPr>
          <w:rFonts w:ascii="Times New Roman" w:hAnsi="Times New Roman" w:cs="Times New Roman"/>
          <w:sz w:val="24"/>
          <w:szCs w:val="24"/>
        </w:rPr>
        <w:t>inferensi</w:t>
      </w:r>
      <w:proofErr w:type="spellEnd"/>
      <w:r w:rsidR="00617923" w:rsidRPr="00617923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="00617923" w:rsidRPr="006179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17923" w:rsidRPr="0061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923" w:rsidRPr="006179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17923" w:rsidRPr="0061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923" w:rsidRPr="006179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17923" w:rsidRPr="0061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923" w:rsidRPr="0061792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617923" w:rsidRPr="0061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923" w:rsidRPr="0061792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17923" w:rsidRPr="0061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923" w:rsidRPr="0061792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617923" w:rsidRPr="0061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alumni. </w:t>
      </w:r>
      <w:proofErr w:type="spellStart"/>
      <w:r w:rsidR="00617923" w:rsidRPr="006179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17923" w:rsidRPr="0061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923" w:rsidRPr="0061792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617923" w:rsidRPr="0061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923" w:rsidRPr="006179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17923" w:rsidRPr="006179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7923" w:rsidRPr="006179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17923" w:rsidRPr="0061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923" w:rsidRPr="00617923">
        <w:rPr>
          <w:rFonts w:ascii="Times New Roman" w:hAnsi="Times New Roman" w:cs="Times New Roman"/>
          <w:sz w:val="24"/>
          <w:szCs w:val="24"/>
        </w:rPr>
        <w:t>inferensi</w:t>
      </w:r>
      <w:proofErr w:type="spellEnd"/>
      <w:r w:rsidR="00617923" w:rsidRPr="00617923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="00617923" w:rsidRPr="006179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17923" w:rsidRPr="0061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923" w:rsidRPr="006179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17923" w:rsidRPr="0061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923" w:rsidRPr="006179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17923" w:rsidRPr="0061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923" w:rsidRPr="00617923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617923" w:rsidRPr="0061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923" w:rsidRPr="0061792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617923" w:rsidRPr="0061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923" w:rsidRPr="0061792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617923" w:rsidRPr="00617923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="00617923" w:rsidRPr="0061792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17923" w:rsidRPr="0061792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 w:rsidR="00617923" w:rsidRPr="0061792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617923" w:rsidRPr="006179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17923" w:rsidRPr="0061792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617923" w:rsidRPr="00617923">
        <w:rPr>
          <w:rFonts w:ascii="Times New Roman" w:hAnsi="Times New Roman" w:cs="Times New Roman"/>
          <w:sz w:val="24"/>
          <w:szCs w:val="24"/>
        </w:rPr>
        <w:t>Ke</w:t>
      </w:r>
      <w:r>
        <w:rPr>
          <w:rFonts w:ascii="Times New Roman" w:hAnsi="Times New Roman" w:cs="Times New Roman"/>
          <w:sz w:val="24"/>
          <w:szCs w:val="24"/>
        </w:rPr>
        <w:t>suksesan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3524">
        <w:rPr>
          <w:rFonts w:ascii="Times New Roman" w:hAnsi="Times New Roman" w:cs="Times New Roman"/>
          <w:sz w:val="24"/>
          <w:szCs w:val="24"/>
        </w:rPr>
        <w:t>Alumni</w:t>
      </w:r>
      <w:r w:rsidR="00617923" w:rsidRPr="00617923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="00617923" w:rsidRPr="006179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17923" w:rsidRPr="0061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923" w:rsidRPr="0061792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617923" w:rsidRPr="0061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923" w:rsidRPr="0061792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617923" w:rsidRPr="0061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923" w:rsidRPr="00617923">
        <w:rPr>
          <w:rFonts w:ascii="Times New Roman" w:hAnsi="Times New Roman" w:cs="Times New Roman"/>
          <w:sz w:val="24"/>
          <w:szCs w:val="24"/>
        </w:rPr>
        <w:t>priori</w:t>
      </w:r>
      <w:r w:rsidR="00E53524">
        <w:rPr>
          <w:rFonts w:ascii="Times New Roman" w:hAnsi="Times New Roman" w:cs="Times New Roman"/>
          <w:sz w:val="24"/>
          <w:szCs w:val="24"/>
        </w:rPr>
        <w:t>tas</w:t>
      </w:r>
      <w:proofErr w:type="spellEnd"/>
      <w:r w:rsidR="00E53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524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E53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524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E53524">
        <w:rPr>
          <w:rFonts w:ascii="Times New Roman" w:hAnsi="Times New Roman" w:cs="Times New Roman"/>
          <w:sz w:val="24"/>
          <w:szCs w:val="24"/>
        </w:rPr>
        <w:t>.</w:t>
      </w:r>
    </w:p>
    <w:p w:rsidR="00E53524" w:rsidRDefault="00E53524" w:rsidP="00E53524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1A474C" w:rsidRPr="00617923" w:rsidRDefault="001A474C" w:rsidP="001A474C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17923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</w:p>
    <w:p w:rsidR="00D6050B" w:rsidRDefault="00B162A6" w:rsidP="00D6050B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fuzzy.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F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1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F06">
        <w:rPr>
          <w:rFonts w:ascii="Times New Roman" w:hAnsi="Times New Roman" w:cs="Times New Roman"/>
          <w:sz w:val="24"/>
          <w:szCs w:val="24"/>
        </w:rPr>
        <w:t>inferensi</w:t>
      </w:r>
      <w:proofErr w:type="spellEnd"/>
      <w:r w:rsidR="00215F06">
        <w:rPr>
          <w:rFonts w:ascii="Times New Roman" w:hAnsi="Times New Roman" w:cs="Times New Roman"/>
          <w:sz w:val="24"/>
          <w:szCs w:val="24"/>
        </w:rPr>
        <w:t xml:space="preserve"> fuzzy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mamdani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tsukamoto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sugeno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larsen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E53524" w:rsidRDefault="00E53524" w:rsidP="00D6050B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E56676" w:rsidRPr="00E56676" w:rsidRDefault="00E56676" w:rsidP="00E56676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mamdani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larsen</w:t>
      </w:r>
      <w:bookmarkStart w:id="0" w:name="_GoBack"/>
      <w:bookmarkEnd w:id="0"/>
    </w:p>
    <w:p w:rsidR="00B162A6" w:rsidRDefault="00215F06" w:rsidP="00D6050B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2F5">
        <w:rPr>
          <w:rFonts w:ascii="Times New Roman" w:hAnsi="Times New Roman" w:cs="Times New Roman"/>
          <w:sz w:val="24"/>
          <w:szCs w:val="24"/>
        </w:rPr>
        <w:t>tahap-tahap</w:t>
      </w:r>
      <w:proofErr w:type="spellEnd"/>
      <w:r w:rsidR="00DA1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mamdani</w:t>
      </w:r>
      <w:proofErr w:type="spellEnd"/>
      <w:r w:rsidR="00DA1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2F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A1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A12F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A12F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53524" w:rsidRDefault="00DA12F5" w:rsidP="00E53524">
      <w:pPr>
        <w:pStyle w:val="ListParagraph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</w:t>
      </w:r>
      <w:r w:rsidR="00E53524">
        <w:rPr>
          <w:rFonts w:ascii="Times New Roman" w:hAnsi="Times New Roman" w:cs="Times New Roman"/>
          <w:sz w:val="24"/>
          <w:szCs w:val="24"/>
        </w:rPr>
        <w:t>zzifikasi</w:t>
      </w:r>
      <w:proofErr w:type="spellEnd"/>
      <w:r w:rsidR="00E5352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linguistik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</w:t>
      </w:r>
      <w:r w:rsidR="00E5352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535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fuzz</w:t>
      </w:r>
      <w:r w:rsidR="00617923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="0061792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1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92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1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923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="006179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792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61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92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1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923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="0061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9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1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92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61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923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617923">
        <w:rPr>
          <w:rFonts w:ascii="Times New Roman" w:hAnsi="Times New Roman" w:cs="Times New Roman"/>
          <w:sz w:val="24"/>
          <w:szCs w:val="24"/>
        </w:rPr>
        <w:t xml:space="preserve"> fuzzy input.</w:t>
      </w:r>
    </w:p>
    <w:p w:rsidR="00E53524" w:rsidRDefault="00E53524" w:rsidP="00E53524">
      <w:pPr>
        <w:pStyle w:val="ListParagraph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E53524">
        <w:rPr>
          <w:rFonts w:ascii="Times New Roman" w:hAnsi="Times New Roman" w:cs="Times New Roman"/>
          <w:sz w:val="24"/>
          <w:szCs w:val="24"/>
        </w:rPr>
        <w:t>Inferensi</w:t>
      </w:r>
      <w:proofErr w:type="spellEnd"/>
      <w:r w:rsidRPr="00E53524">
        <w:rPr>
          <w:rFonts w:ascii="Times New Roman" w:hAnsi="Times New Roman" w:cs="Times New Roman"/>
          <w:sz w:val="24"/>
          <w:szCs w:val="24"/>
        </w:rPr>
        <w:tab/>
      </w:r>
      <w:r w:rsidRPr="00E53524">
        <w:rPr>
          <w:rFonts w:ascii="Times New Roman" w:hAnsi="Times New Roman" w:cs="Times New Roman"/>
          <w:sz w:val="24"/>
          <w:szCs w:val="24"/>
        </w:rPr>
        <w:tab/>
      </w:r>
      <w:r w:rsidR="00DA12F5" w:rsidRPr="00E5352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A12F5" w:rsidRPr="00E5352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DA12F5" w:rsidRPr="00E53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2F5" w:rsidRPr="00E53524">
        <w:rPr>
          <w:rFonts w:ascii="Times New Roman" w:hAnsi="Times New Roman" w:cs="Times New Roman"/>
          <w:sz w:val="24"/>
          <w:szCs w:val="24"/>
        </w:rPr>
        <w:t>aturan-aturan</w:t>
      </w:r>
      <w:proofErr w:type="spellEnd"/>
      <w:r w:rsidR="00DA12F5" w:rsidRPr="00E535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12F5" w:rsidRPr="00E53524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DA12F5" w:rsidRPr="00E53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2F5" w:rsidRPr="00E53524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DA12F5" w:rsidRPr="00E53524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="00DA12F5" w:rsidRPr="00E535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A12F5" w:rsidRPr="00E53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2F5" w:rsidRPr="00E5352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DA12F5" w:rsidRPr="00E5352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DA12F5" w:rsidRPr="00E5352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A12F5" w:rsidRPr="00E53524"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 w:rsidR="00DA12F5" w:rsidRPr="00E535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A12F5" w:rsidRPr="00E53524">
        <w:rPr>
          <w:rFonts w:ascii="Times New Roman" w:hAnsi="Times New Roman" w:cs="Times New Roman"/>
          <w:sz w:val="24"/>
          <w:szCs w:val="24"/>
        </w:rPr>
        <w:t>…</w:t>
      </w:r>
      <w:proofErr w:type="gramStart"/>
      <w:r w:rsidR="00DA12F5" w:rsidRPr="00E53524">
        <w:rPr>
          <w:rFonts w:ascii="Times New Roman" w:hAnsi="Times New Roman" w:cs="Times New Roman"/>
          <w:sz w:val="24"/>
          <w:szCs w:val="24"/>
        </w:rPr>
        <w:t>”</w:t>
      </w:r>
      <w:r w:rsidRPr="00E5352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3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52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53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5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53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52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53524">
        <w:rPr>
          <w:rFonts w:ascii="Times New Roman" w:hAnsi="Times New Roman" w:cs="Times New Roman"/>
          <w:sz w:val="24"/>
          <w:szCs w:val="24"/>
        </w:rPr>
        <w:t xml:space="preserve"> min </w:t>
      </w:r>
      <w:proofErr w:type="spellStart"/>
      <w:r w:rsidRPr="00E535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3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52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53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524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E53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524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E53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52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53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52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53524">
        <w:rPr>
          <w:rFonts w:ascii="Times New Roman" w:hAnsi="Times New Roman" w:cs="Times New Roman"/>
          <w:sz w:val="24"/>
          <w:szCs w:val="24"/>
        </w:rPr>
        <w:t xml:space="preserve"> max </w:t>
      </w:r>
      <w:proofErr w:type="spellStart"/>
      <w:r w:rsidRPr="00E535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3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524">
        <w:rPr>
          <w:rFonts w:ascii="Times New Roman" w:hAnsi="Times New Roman" w:cs="Times New Roman"/>
          <w:sz w:val="24"/>
          <w:szCs w:val="24"/>
        </w:rPr>
        <w:t>m</w:t>
      </w:r>
      <w:r w:rsidR="00E56676">
        <w:rPr>
          <w:rFonts w:ascii="Times New Roman" w:hAnsi="Times New Roman" w:cs="Times New Roman"/>
          <w:sz w:val="24"/>
          <w:szCs w:val="24"/>
        </w:rPr>
        <w:t>enghasilkan</w:t>
      </w:r>
      <w:proofErr w:type="spellEnd"/>
      <w:r w:rsidR="00E56676">
        <w:rPr>
          <w:rFonts w:ascii="Times New Roman" w:hAnsi="Times New Roman" w:cs="Times New Roman"/>
          <w:sz w:val="24"/>
          <w:szCs w:val="24"/>
        </w:rPr>
        <w:t xml:space="preserve"> output fuzzy </w:t>
      </w:r>
      <w:proofErr w:type="spellStart"/>
      <w:r w:rsidR="00E56676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E53524">
        <w:rPr>
          <w:rFonts w:ascii="Times New Roman" w:hAnsi="Times New Roman" w:cs="Times New Roman"/>
          <w:sz w:val="24"/>
          <w:szCs w:val="24"/>
        </w:rPr>
        <w:t>.</w:t>
      </w:r>
    </w:p>
    <w:p w:rsidR="00E56676" w:rsidRDefault="00E53524" w:rsidP="00E56676">
      <w:pPr>
        <w:pStyle w:val="ListParagraph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E53524">
        <w:rPr>
          <w:rFonts w:ascii="Times New Roman" w:hAnsi="Times New Roman" w:cs="Times New Roman"/>
          <w:sz w:val="24"/>
          <w:szCs w:val="24"/>
        </w:rPr>
        <w:t>Defuzzifikasi</w:t>
      </w:r>
      <w:proofErr w:type="spellEnd"/>
      <w:r w:rsidRPr="00E53524">
        <w:rPr>
          <w:rFonts w:ascii="Times New Roman" w:hAnsi="Times New Roman" w:cs="Times New Roman"/>
          <w:sz w:val="24"/>
          <w:szCs w:val="24"/>
        </w:rPr>
        <w:t xml:space="preserve"> </w:t>
      </w:r>
      <w:r w:rsidRPr="00E53524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535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53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52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53524">
        <w:rPr>
          <w:rFonts w:ascii="Times New Roman" w:hAnsi="Times New Roman" w:cs="Times New Roman"/>
          <w:sz w:val="24"/>
          <w:szCs w:val="24"/>
        </w:rPr>
        <w:t xml:space="preserve"> centroid </w:t>
      </w:r>
      <w:proofErr w:type="spellStart"/>
      <w:r w:rsidRPr="00E535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53524">
        <w:rPr>
          <w:rFonts w:ascii="Times New Roman" w:hAnsi="Times New Roman" w:cs="Times New Roman"/>
          <w:sz w:val="24"/>
          <w:szCs w:val="24"/>
        </w:rPr>
        <w:t xml:space="preserve"> bisector </w:t>
      </w:r>
      <w:proofErr w:type="spellStart"/>
      <w:r w:rsidRPr="00E535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3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524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E56676">
        <w:rPr>
          <w:rFonts w:ascii="Times New Roman" w:hAnsi="Times New Roman" w:cs="Times New Roman"/>
          <w:sz w:val="24"/>
          <w:szCs w:val="24"/>
        </w:rPr>
        <w:t xml:space="preserve"> output fuzzy </w:t>
      </w:r>
      <w:proofErr w:type="spellStart"/>
      <w:r w:rsidR="00E56676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E53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52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53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5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53524">
        <w:rPr>
          <w:rFonts w:ascii="Times New Roman" w:hAnsi="Times New Roman" w:cs="Times New Roman"/>
          <w:sz w:val="24"/>
          <w:szCs w:val="24"/>
        </w:rPr>
        <w:t xml:space="preserve"> crisp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E56676">
        <w:rPr>
          <w:rFonts w:ascii="Times New Roman" w:hAnsi="Times New Roman" w:cs="Times New Roman"/>
          <w:sz w:val="24"/>
          <w:szCs w:val="24"/>
        </w:rPr>
        <w:t>.</w:t>
      </w:r>
    </w:p>
    <w:p w:rsidR="00E56676" w:rsidRDefault="00E56676" w:rsidP="00E56676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E56676" w:rsidRDefault="00E56676" w:rsidP="00E56676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E56676" w:rsidRDefault="00E56676" w:rsidP="00E56676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E56676">
        <w:rPr>
          <w:rFonts w:ascii="Times New Roman" w:hAnsi="Times New Roman" w:cs="Times New Roman"/>
          <w:sz w:val="24"/>
          <w:szCs w:val="24"/>
        </w:rPr>
        <w:lastRenderedPageBreak/>
        <w:t>Sedangkan</w:t>
      </w:r>
      <w:proofErr w:type="spellEnd"/>
      <w:r w:rsidRPr="00E56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7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56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76">
        <w:rPr>
          <w:rFonts w:ascii="Times New Roman" w:hAnsi="Times New Roman" w:cs="Times New Roman"/>
          <w:sz w:val="24"/>
          <w:szCs w:val="24"/>
        </w:rPr>
        <w:t>larsen</w:t>
      </w:r>
      <w:proofErr w:type="spellEnd"/>
      <w:r w:rsidRPr="00E56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6676">
        <w:rPr>
          <w:rFonts w:ascii="Times New Roman" w:hAnsi="Times New Roman" w:cs="Times New Roman"/>
          <w:sz w:val="24"/>
          <w:szCs w:val="24"/>
        </w:rPr>
        <w:t>tahap-tahap</w:t>
      </w:r>
      <w:proofErr w:type="spellEnd"/>
      <w:r w:rsidRPr="00E56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76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E56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7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56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667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5667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56676" w:rsidRDefault="00E56676" w:rsidP="00E56676">
      <w:pPr>
        <w:pStyle w:val="ListParagraph"/>
        <w:numPr>
          <w:ilvl w:val="0"/>
          <w:numId w:val="6"/>
        </w:numPr>
        <w:ind w:left="567" w:hanging="28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Fuzzifikasi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fuzzy</w:t>
      </w:r>
    </w:p>
    <w:p w:rsidR="00E56676" w:rsidRDefault="00E56676" w:rsidP="00E56676">
      <w:pPr>
        <w:pStyle w:val="ListParagraph"/>
        <w:numPr>
          <w:ilvl w:val="0"/>
          <w:numId w:val="6"/>
        </w:numPr>
        <w:ind w:left="567" w:hanging="28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Inferensi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aturan-aturan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fuzzy,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56676" w:rsidRPr="00E56676" w:rsidRDefault="00E56676" w:rsidP="00E56676">
      <w:pPr>
        <w:pStyle w:val="ListParagraph"/>
        <w:numPr>
          <w:ilvl w:val="0"/>
          <w:numId w:val="6"/>
        </w:numPr>
        <w:ind w:left="567" w:hanging="28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Defuzzifikasi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fuzzy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crisp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A12F5" w:rsidRPr="00DA12F5" w:rsidRDefault="00DA12F5" w:rsidP="00DA12F5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E53524" w:rsidRDefault="00E53524" w:rsidP="001A474C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E53524" w:rsidRDefault="00E53524" w:rsidP="001A474C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695"/>
        <w:gridCol w:w="3258"/>
        <w:gridCol w:w="2410"/>
      </w:tblGrid>
      <w:tr w:rsidR="00E53524" w:rsidTr="00E21A4C">
        <w:tc>
          <w:tcPr>
            <w:tcW w:w="2695" w:type="dxa"/>
            <w:vAlign w:val="center"/>
          </w:tcPr>
          <w:p w:rsidR="00E53524" w:rsidRPr="00226428" w:rsidRDefault="00E53524" w:rsidP="00E21A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26428">
              <w:rPr>
                <w:rFonts w:ascii="Times New Roman" w:hAnsi="Times New Roman" w:cs="Times New Roman"/>
                <w:b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3258" w:type="dxa"/>
            <w:vAlign w:val="center"/>
          </w:tcPr>
          <w:p w:rsidR="00E53524" w:rsidRPr="00226428" w:rsidRDefault="00E53524" w:rsidP="00E21A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26428">
              <w:rPr>
                <w:rFonts w:ascii="Times New Roman" w:hAnsi="Times New Roman" w:cs="Times New Roman"/>
                <w:b/>
                <w:sz w:val="24"/>
                <w:szCs w:val="24"/>
              </w:rPr>
              <w:t>Himpunan</w:t>
            </w:r>
            <w:proofErr w:type="spellEnd"/>
          </w:p>
        </w:tc>
        <w:tc>
          <w:tcPr>
            <w:tcW w:w="2410" w:type="dxa"/>
            <w:vAlign w:val="center"/>
          </w:tcPr>
          <w:p w:rsidR="00E53524" w:rsidRPr="00226428" w:rsidRDefault="00E53524" w:rsidP="00E21A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26428">
              <w:rPr>
                <w:rFonts w:ascii="Times New Roman" w:hAnsi="Times New Roman" w:cs="Times New Roman"/>
                <w:b/>
                <w:sz w:val="24"/>
                <w:szCs w:val="24"/>
              </w:rPr>
              <w:t>Himpunan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Semesta</w:t>
            </w:r>
            <w:proofErr w:type="spellEnd"/>
          </w:p>
        </w:tc>
      </w:tr>
      <w:tr w:rsidR="00E53524" w:rsidTr="00E21A4C">
        <w:tc>
          <w:tcPr>
            <w:tcW w:w="2695" w:type="dxa"/>
            <w:vMerge w:val="restart"/>
            <w:vAlign w:val="center"/>
          </w:tcPr>
          <w:p w:rsidR="00E53524" w:rsidRPr="00D6050B" w:rsidRDefault="00E53524" w:rsidP="00E21A4C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proofErr w:type="spellStart"/>
            <w:r w:rsidRPr="00D6050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Akreditasi</w:t>
            </w:r>
            <w:proofErr w:type="spellEnd"/>
            <w:r w:rsidRPr="00D6050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cyan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cyan"/>
                    </w:rPr>
                    <m:t>1</m:t>
                  </m:r>
                </m:sub>
              </m:sSub>
            </m:oMath>
            <w:r w:rsidRPr="00D6050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)</w:t>
            </w:r>
          </w:p>
        </w:tc>
        <w:tc>
          <w:tcPr>
            <w:tcW w:w="3258" w:type="dxa"/>
          </w:tcPr>
          <w:p w:rsidR="00E53524" w:rsidRDefault="00E53524" w:rsidP="00E21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D6050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:rsidR="00E53524" w:rsidRDefault="00E53524" w:rsidP="00E21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25-40</w:t>
            </w:r>
          </w:p>
        </w:tc>
      </w:tr>
      <w:tr w:rsidR="00E53524" w:rsidTr="00E21A4C">
        <w:tc>
          <w:tcPr>
            <w:tcW w:w="2695" w:type="dxa"/>
            <w:vMerge/>
          </w:tcPr>
          <w:p w:rsidR="00E53524" w:rsidRPr="00D6050B" w:rsidRDefault="00E53524" w:rsidP="00E21A4C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</w:tc>
        <w:tc>
          <w:tcPr>
            <w:tcW w:w="3258" w:type="dxa"/>
          </w:tcPr>
          <w:p w:rsidR="00E53524" w:rsidRDefault="00E53524" w:rsidP="00E21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D6050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:rsidR="00E53524" w:rsidRDefault="00E53524" w:rsidP="00E21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40-70</w:t>
            </w:r>
          </w:p>
        </w:tc>
      </w:tr>
      <w:tr w:rsidR="00E53524" w:rsidTr="00E21A4C">
        <w:tc>
          <w:tcPr>
            <w:tcW w:w="2695" w:type="dxa"/>
            <w:vMerge/>
          </w:tcPr>
          <w:p w:rsidR="00E53524" w:rsidRPr="00D6050B" w:rsidRDefault="00E53524" w:rsidP="00E21A4C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</w:tc>
        <w:tc>
          <w:tcPr>
            <w:tcW w:w="3258" w:type="dxa"/>
          </w:tcPr>
          <w:p w:rsidR="00E53524" w:rsidRDefault="00E53524" w:rsidP="00E21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D6050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:rsidR="00E53524" w:rsidRDefault="00E53524" w:rsidP="00E21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60-80</w:t>
            </w:r>
          </w:p>
        </w:tc>
      </w:tr>
      <w:tr w:rsidR="00E53524" w:rsidTr="00E21A4C">
        <w:trPr>
          <w:trHeight w:val="70"/>
        </w:trPr>
        <w:tc>
          <w:tcPr>
            <w:tcW w:w="2695" w:type="dxa"/>
            <w:vMerge w:val="restart"/>
            <w:vAlign w:val="center"/>
          </w:tcPr>
          <w:p w:rsidR="00E53524" w:rsidRPr="00D6050B" w:rsidRDefault="00E53524" w:rsidP="00E21A4C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proofErr w:type="spellStart"/>
            <w:r w:rsidRPr="00D6050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Kesuksesan</w:t>
            </w:r>
            <w:proofErr w:type="spellEnd"/>
            <w:r w:rsidRPr="00D6050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Alumni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cyan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cyan"/>
                    </w:rPr>
                    <m:t>2</m:t>
                  </m:r>
                </m:sub>
              </m:sSub>
            </m:oMath>
            <w:r w:rsidRPr="00D6050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)</w:t>
            </w:r>
          </w:p>
        </w:tc>
        <w:tc>
          <w:tcPr>
            <w:tcW w:w="3258" w:type="dxa"/>
          </w:tcPr>
          <w:p w:rsidR="00E53524" w:rsidRDefault="00E53524" w:rsidP="00E21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D6050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KM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:rsidR="00E53524" w:rsidRDefault="00E53524" w:rsidP="00E21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20-70</w:t>
            </w:r>
          </w:p>
        </w:tc>
      </w:tr>
      <w:tr w:rsidR="00E53524" w:rsidTr="00E21A4C">
        <w:tc>
          <w:tcPr>
            <w:tcW w:w="2695" w:type="dxa"/>
            <w:vMerge/>
          </w:tcPr>
          <w:p w:rsidR="00E53524" w:rsidRDefault="00E53524" w:rsidP="00E21A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8" w:type="dxa"/>
          </w:tcPr>
          <w:p w:rsidR="00E53524" w:rsidRDefault="00E53524" w:rsidP="00E21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D6050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:rsidR="00E53524" w:rsidRDefault="00E53524" w:rsidP="00E21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50-85</w:t>
            </w:r>
          </w:p>
        </w:tc>
      </w:tr>
      <w:tr w:rsidR="00E53524" w:rsidTr="00E21A4C">
        <w:tc>
          <w:tcPr>
            <w:tcW w:w="8363" w:type="dxa"/>
            <w:gridSpan w:val="3"/>
          </w:tcPr>
          <w:p w:rsidR="00E53524" w:rsidRDefault="00E53524" w:rsidP="00E21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3524" w:rsidTr="00E21A4C">
        <w:tc>
          <w:tcPr>
            <w:tcW w:w="2695" w:type="dxa"/>
            <w:vMerge w:val="restart"/>
            <w:vAlign w:val="center"/>
          </w:tcPr>
          <w:p w:rsidR="00E53524" w:rsidRDefault="00E53524" w:rsidP="00E21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050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Tingkat </w:t>
            </w:r>
            <w:proofErr w:type="spellStart"/>
            <w:r w:rsidRPr="00D6050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Prioritas</w:t>
            </w:r>
            <w:proofErr w:type="spellEnd"/>
            <w:r w:rsidRPr="00D6050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D6050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Universitas</w:t>
            </w:r>
            <w:proofErr w:type="spellEnd"/>
            <w:r w:rsidRPr="00D6050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D6050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Swasta</w:t>
            </w:r>
            <w:proofErr w:type="spellEnd"/>
            <w:r w:rsidRPr="00D6050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  <w:highlight w:val="gree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green"/>
                    </w:rPr>
                    <m:t>O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highlight w:val="green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</w:rPr>
                    <m:t>t</m:t>
                  </m:r>
                </m:sub>
              </m:sSub>
            </m:oMath>
            <w:r w:rsidRPr="00D6050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)</w:t>
            </w:r>
          </w:p>
        </w:tc>
        <w:tc>
          <w:tcPr>
            <w:tcW w:w="3258" w:type="dxa"/>
          </w:tcPr>
          <w:p w:rsidR="00E53524" w:rsidRDefault="00E53524" w:rsidP="00E21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D6050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:rsidR="00E53524" w:rsidRDefault="00E53524" w:rsidP="00E21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10-30</w:t>
            </w:r>
          </w:p>
        </w:tc>
      </w:tr>
      <w:tr w:rsidR="00E53524" w:rsidTr="00E21A4C">
        <w:tc>
          <w:tcPr>
            <w:tcW w:w="2695" w:type="dxa"/>
            <w:vMerge/>
          </w:tcPr>
          <w:p w:rsidR="00E53524" w:rsidRDefault="00E53524" w:rsidP="00E21A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8" w:type="dxa"/>
          </w:tcPr>
          <w:p w:rsidR="00E53524" w:rsidRDefault="00E53524" w:rsidP="00E21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D6050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:rsidR="00E53524" w:rsidRDefault="00E53524" w:rsidP="00E21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30-80</w:t>
            </w:r>
          </w:p>
        </w:tc>
      </w:tr>
      <w:tr w:rsidR="00E53524" w:rsidTr="00E21A4C">
        <w:tc>
          <w:tcPr>
            <w:tcW w:w="2695" w:type="dxa"/>
            <w:vMerge/>
          </w:tcPr>
          <w:p w:rsidR="00E53524" w:rsidRDefault="00E53524" w:rsidP="00E21A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8" w:type="dxa"/>
          </w:tcPr>
          <w:p w:rsidR="00E53524" w:rsidRDefault="00E53524" w:rsidP="00E21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D6050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:rsidR="00E53524" w:rsidRDefault="00E53524" w:rsidP="00E21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70-95</w:t>
            </w:r>
          </w:p>
        </w:tc>
      </w:tr>
    </w:tbl>
    <w:p w:rsidR="00E53524" w:rsidRPr="00226428" w:rsidRDefault="00E53524" w:rsidP="001A474C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1A474C" w:rsidRDefault="001A474C" w:rsidP="001A474C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17923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61792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7923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61792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7923">
        <w:rPr>
          <w:rFonts w:ascii="Times New Roman" w:hAnsi="Times New Roman" w:cs="Times New Roman"/>
          <w:b/>
          <w:sz w:val="24"/>
          <w:szCs w:val="24"/>
        </w:rPr>
        <w:t>Pembahasan</w:t>
      </w:r>
      <w:proofErr w:type="spellEnd"/>
    </w:p>
    <w:p w:rsidR="00E53524" w:rsidRPr="00617923" w:rsidRDefault="00E53524" w:rsidP="001A474C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Referensi</w:t>
      </w:r>
      <w:proofErr w:type="spellEnd"/>
    </w:p>
    <w:p w:rsidR="00226428" w:rsidRPr="00226428" w:rsidRDefault="00226428" w:rsidP="002264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A474C" w:rsidRDefault="001A474C" w:rsidP="001A474C">
      <w:pPr>
        <w:jc w:val="both"/>
        <w:rPr>
          <w:rFonts w:ascii="Times New Roman" w:hAnsi="Times New Roman" w:cs="Times New Roman"/>
          <w:sz w:val="28"/>
        </w:rPr>
      </w:pPr>
    </w:p>
    <w:p w:rsidR="001A474C" w:rsidRPr="001A474C" w:rsidRDefault="001A474C" w:rsidP="001A474C">
      <w:pPr>
        <w:jc w:val="both"/>
        <w:rPr>
          <w:rFonts w:ascii="Times New Roman" w:hAnsi="Times New Roman" w:cs="Times New Roman"/>
          <w:sz w:val="28"/>
        </w:rPr>
      </w:pPr>
    </w:p>
    <w:sectPr w:rsidR="001A474C" w:rsidRPr="001A47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72B77"/>
    <w:multiLevelType w:val="hybridMultilevel"/>
    <w:tmpl w:val="64905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E71A9"/>
    <w:multiLevelType w:val="hybridMultilevel"/>
    <w:tmpl w:val="3D6485CE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6CA7698"/>
    <w:multiLevelType w:val="hybridMultilevel"/>
    <w:tmpl w:val="96967F9C"/>
    <w:lvl w:ilvl="0" w:tplc="B15E074E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2EB0569B"/>
    <w:multiLevelType w:val="hybridMultilevel"/>
    <w:tmpl w:val="2E04DE8A"/>
    <w:lvl w:ilvl="0" w:tplc="0F7C47C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DD77AD"/>
    <w:multiLevelType w:val="hybridMultilevel"/>
    <w:tmpl w:val="3154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6D6F80"/>
    <w:multiLevelType w:val="hybridMultilevel"/>
    <w:tmpl w:val="A9A0D69C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E4C"/>
    <w:rsid w:val="001A474C"/>
    <w:rsid w:val="00215F06"/>
    <w:rsid w:val="00226428"/>
    <w:rsid w:val="002507E6"/>
    <w:rsid w:val="00320207"/>
    <w:rsid w:val="00556119"/>
    <w:rsid w:val="00583915"/>
    <w:rsid w:val="00596E4C"/>
    <w:rsid w:val="00617923"/>
    <w:rsid w:val="008E79D8"/>
    <w:rsid w:val="00B162A6"/>
    <w:rsid w:val="00C85336"/>
    <w:rsid w:val="00D6050B"/>
    <w:rsid w:val="00DA12F5"/>
    <w:rsid w:val="00E53524"/>
    <w:rsid w:val="00E5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54562E-DA18-4A99-991E-FE4C3DDE8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74C"/>
    <w:pPr>
      <w:ind w:left="720"/>
      <w:contextualSpacing/>
    </w:pPr>
  </w:style>
  <w:style w:type="table" w:styleId="TableGrid">
    <w:name w:val="Table Grid"/>
    <w:basedOn w:val="TableNormal"/>
    <w:uiPriority w:val="39"/>
    <w:rsid w:val="002264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264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2024-03-01T06:22:00Z</dcterms:created>
  <dcterms:modified xsi:type="dcterms:W3CDTF">2024-03-01T16:45:00Z</dcterms:modified>
</cp:coreProperties>
</file>