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1486" w14:textId="77777777" w:rsidR="00FB1E0E" w:rsidRDefault="00873774">
      <w:pPr>
        <w:spacing w:after="60"/>
      </w:pPr>
      <w:r>
        <w:rPr>
          <w:b/>
          <w:bCs/>
          <w:color w:val="1F4E79"/>
          <w:sz w:val="40"/>
          <w:szCs w:val="40"/>
        </w:rPr>
        <w:t>Strategic Justification for Databricks within NOVA</w:t>
      </w:r>
    </w:p>
    <w:p w14:paraId="4E801D2A" w14:textId="3A7FEEF8" w:rsidR="00FB1E0E" w:rsidRDefault="00736875">
      <w:pPr>
        <w:pBdr>
          <w:bottom w:val="single" w:sz="12" w:space="6" w:color="1F4E79"/>
        </w:pBdr>
        <w:spacing w:after="360"/>
      </w:pPr>
      <w:r>
        <w:rPr>
          <w:color w:val="595959"/>
        </w:rPr>
        <w:t>NAB</w:t>
      </w:r>
      <w:r w:rsidR="00873774">
        <w:rPr>
          <w:color w:val="595959"/>
        </w:rPr>
        <w:t xml:space="preserve"> Corporate </w:t>
      </w:r>
      <w:proofErr w:type="gramStart"/>
      <w:r w:rsidR="00873774">
        <w:rPr>
          <w:color w:val="595959"/>
        </w:rPr>
        <w:t>Treasury  |</w:t>
      </w:r>
      <w:proofErr w:type="gramEnd"/>
      <w:r w:rsidR="00873774">
        <w:rPr>
          <w:color w:val="595959"/>
        </w:rPr>
        <w:t xml:space="preserve">  NOVA (</w:t>
      </w:r>
      <w:proofErr w:type="gramStart"/>
      <w:r w:rsidR="00873774">
        <w:rPr>
          <w:color w:val="595959"/>
        </w:rPr>
        <w:t>App</w:t>
      </w:r>
      <w:r w:rsidR="00873774">
        <w:rPr>
          <w:color w:val="595959"/>
        </w:rPr>
        <w:t>)  |</w:t>
      </w:r>
      <w:proofErr w:type="gramEnd"/>
      <w:r w:rsidR="00873774">
        <w:rPr>
          <w:color w:val="595959"/>
        </w:rPr>
        <w:t xml:space="preserve">  September 2026</w:t>
      </w:r>
    </w:p>
    <w:p w14:paraId="23EBAED9" w14:textId="77777777" w:rsidR="00FB1E0E" w:rsidRDefault="00873774">
      <w:pPr>
        <w:pStyle w:val="Heading1"/>
      </w:pPr>
      <w:r>
        <w:t>Executive Summary</w:t>
      </w:r>
    </w:p>
    <w:p w14:paraId="239F8576" w14:textId="77777777" w:rsidR="00FB1E0E" w:rsidRDefault="00873774">
      <w:pPr>
        <w:spacing w:after="160" w:line="276" w:lineRule="auto"/>
      </w:pPr>
      <w:r>
        <w:t>As financial institutions face evolving regulatory expectations around artificial intelligence, robust governance frameworks have transitioned from best practices to regulatory mandates. For federally regulated financial institutions in Canada, the Office of the Superintendent of Financial Institutions (OSFI) revised Guideline E-23 – Model Risk Management (2027), effective May 1, 2027, establishing rigorous risk management requirements that explicitly encompass artificial intelligence, machine learning, and</w:t>
      </w:r>
      <w:r>
        <w:t xml:space="preserve"> advanced analytical models.</w:t>
      </w:r>
    </w:p>
    <w:p w14:paraId="39CFD669" w14:textId="77777777" w:rsidR="00FB1E0E" w:rsidRDefault="00873774">
      <w:pPr>
        <w:spacing w:after="160" w:line="276" w:lineRule="auto"/>
      </w:pPr>
      <w:r>
        <w:t>Within Corporate Treasury's strategic multi-agent artificial intelligence and advanced analytics platform, NOVA (Navigational Orchestrator for Value, Analytics &amp; Intelligence), meeting these heightened expectations requires end-to-end traceability. Every material answer, risk calculation, or model output generated by NOVA must be accountable, reproducible, and tied directly to its underlying sources: approved enterprise datasets, official policy passages, calculation versions, and agent execution traces.</w:t>
      </w:r>
    </w:p>
    <w:p w14:paraId="75614C1D" w14:textId="77777777" w:rsidR="00FB1E0E" w:rsidRDefault="00873774">
      <w:pPr>
        <w:spacing w:after="160" w:line="276" w:lineRule="auto"/>
      </w:pPr>
      <w:r>
        <w:t xml:space="preserve">Databricks gives NOVA a governed processing path for enterprise data, Treasury documents, distributed analytics, and AI/ML development on ADLS Gen2. Its document pipeline operates today, and extending it to structured-data refinement, full-portfolio scenarios, and </w:t>
      </w:r>
      <w:proofErr w:type="spellStart"/>
      <w:r>
        <w:t>GraphRAG</w:t>
      </w:r>
      <w:proofErr w:type="spellEnd"/>
      <w:r>
        <w:t xml:space="preserve"> offers NOVA an integrated route to its planned capabilities. Databricks is not the lowest-cost option on raw compute pricing, but it is the best fit for NOVA's combined workload, and moving to an alternative would add migration and integration costs without delivering a better fit.</w:t>
      </w:r>
    </w:p>
    <w:p w14:paraId="30B1E9CD" w14:textId="77777777" w:rsidR="00FB1E0E" w:rsidRDefault="00873774">
      <w:pPr>
        <w:pStyle w:val="Heading1"/>
      </w:pPr>
      <w:r>
        <w:t>Regulatory Landscape and Architectural Implications</w:t>
      </w:r>
    </w:p>
    <w:p w14:paraId="34631B4A" w14:textId="77777777" w:rsidR="00FB1E0E" w:rsidRDefault="00873774">
      <w:pPr>
        <w:pStyle w:val="Heading2"/>
      </w:pPr>
      <w:r>
        <w:t>Primary Mandate: OSFI Guideline E-23</w:t>
      </w:r>
    </w:p>
    <w:p w14:paraId="591ABA1A" w14:textId="77777777" w:rsidR="00FB1E0E" w:rsidRDefault="00873774">
      <w:pPr>
        <w:spacing w:after="160" w:line="276" w:lineRule="auto"/>
      </w:pPr>
      <w:r>
        <w:t>The primary regulatory driver for NOVA's architectural governance is OSFI Guideline E-23. The revised framework mandates comprehensive lifecycle management and traceability for analytical models, particularly AI and ML systems. Compliance necessitates an architecture capable of proving data provenance, model versioning, and execution history.</w:t>
      </w:r>
    </w:p>
    <w:p w14:paraId="71625793" w14:textId="77777777" w:rsidR="00FB1E0E" w:rsidRDefault="00873774">
      <w:pPr>
        <w:pStyle w:val="Heading2"/>
      </w:pPr>
      <w:r>
        <w:t>Cross-Border Considerations: U.S. Interagency SR 26-2</w:t>
      </w:r>
    </w:p>
    <w:p w14:paraId="64C6A453" w14:textId="77777777" w:rsidR="00FB1E0E" w:rsidRDefault="00873774">
      <w:pPr>
        <w:spacing w:after="160" w:line="276" w:lineRule="auto"/>
      </w:pPr>
      <w:r>
        <w:t>For institutions maintaining a U.S. banking presence, the joint issuance of SR 26-2 by the U.S. Federal Reserve, OCC, and FDIC (replacing SR 11-7) represents a modernized, materiality-based framework for model risk. While SR 26-2 currently directs institutions to apply overarching risk management principles to novel generative and agentic AI systems rather than strict quantitative model governance, its focus on rigorous traceability aligns with the requirements of E-23. An architecture optimized for E-23 co</w:t>
      </w:r>
      <w:r>
        <w:t>mpliance inherently supports the foundational data lineage and governance required by evolving cross-border standards.</w:t>
      </w:r>
    </w:p>
    <w:p w14:paraId="6F408912" w14:textId="77777777" w:rsidR="00FB1E0E" w:rsidRDefault="00873774">
      <w:pPr>
        <w:pStyle w:val="Heading1"/>
      </w:pPr>
      <w:r>
        <w:lastRenderedPageBreak/>
        <w:t>Core Capabilities Powered by Databricks</w:t>
      </w:r>
    </w:p>
    <w:p w14:paraId="19D76623" w14:textId="77777777" w:rsidR="00FB1E0E" w:rsidRDefault="00873774">
      <w:pPr>
        <w:spacing w:after="160" w:line="276" w:lineRule="auto"/>
      </w:pPr>
      <w:r>
        <w:t>Databricks underpins NOVA by providing a unified environment for heavy data engineering and advanced analytics across both structured and unstructured domains:</w:t>
      </w:r>
    </w:p>
    <w:p w14:paraId="77760415" w14:textId="77777777" w:rsidR="00FB1E0E" w:rsidRDefault="00873774">
      <w:pPr>
        <w:pStyle w:val="ListParagraph"/>
        <w:numPr>
          <w:ilvl w:val="0"/>
          <w:numId w:val="2"/>
        </w:numPr>
        <w:spacing w:after="100" w:line="276" w:lineRule="auto"/>
      </w:pPr>
      <w:r>
        <w:rPr>
          <w:b/>
          <w:bCs/>
        </w:rPr>
        <w:t xml:space="preserve">Structured Data Processing and Medallion Refinement: </w:t>
      </w:r>
      <w:r>
        <w:t>The architecture positions Databricks to run bronze, silver, and gold medallion pipelines to ingest, clean, and transform approved enterprise data from primary sources (such as LRM, EDW, EDL, and PDS) into trusted, analysis-ready structured tables.</w:t>
      </w:r>
    </w:p>
    <w:p w14:paraId="0587A2C0" w14:textId="77777777" w:rsidR="00FB1E0E" w:rsidRDefault="00873774">
      <w:pPr>
        <w:pStyle w:val="ListParagraph"/>
        <w:numPr>
          <w:ilvl w:val="0"/>
          <w:numId w:val="2"/>
        </w:numPr>
        <w:spacing w:after="100" w:line="276" w:lineRule="auto"/>
      </w:pPr>
      <w:r>
        <w:rPr>
          <w:b/>
          <w:bCs/>
        </w:rPr>
        <w:t xml:space="preserve">Massive-Scale Processing and Risk Calculations: </w:t>
      </w:r>
      <w:r>
        <w:t>NOVA is designed to execute full-portfolio risk, capital, and multi-scenario stress calculations that require distributed Python and Apache Spark compute capacity. These workloads cannot run efficiently at full scale in standard operational databases or single-node environments.</w:t>
      </w:r>
    </w:p>
    <w:p w14:paraId="3F7B62D0" w14:textId="77777777" w:rsidR="00FB1E0E" w:rsidRDefault="00873774">
      <w:pPr>
        <w:pStyle w:val="ListParagraph"/>
        <w:numPr>
          <w:ilvl w:val="0"/>
          <w:numId w:val="2"/>
        </w:numPr>
        <w:spacing w:after="100" w:line="276" w:lineRule="auto"/>
      </w:pPr>
      <w:r>
        <w:rPr>
          <w:b/>
          <w:bCs/>
        </w:rPr>
        <w:t xml:space="preserve">Document Ingestion and Retrieval Architecture: </w:t>
      </w:r>
      <w:r>
        <w:t xml:space="preserve">Databricks processes regulatory texts, internal policies, and unstructured documents at scale, feeding structured indexes in Elasticsearch and </w:t>
      </w:r>
      <w:proofErr w:type="spellStart"/>
      <w:r>
        <w:t>PGVector</w:t>
      </w:r>
      <w:proofErr w:type="spellEnd"/>
      <w:r>
        <w:t xml:space="preserve"> to support retrieval-augmented generation. This runs today.</w:t>
      </w:r>
    </w:p>
    <w:p w14:paraId="7B8A8ED7" w14:textId="77777777" w:rsidR="00FB1E0E" w:rsidRDefault="00873774">
      <w:pPr>
        <w:pStyle w:val="ListParagraph"/>
        <w:numPr>
          <w:ilvl w:val="0"/>
          <w:numId w:val="2"/>
        </w:numPr>
        <w:spacing w:after="100" w:line="276" w:lineRule="auto"/>
      </w:pPr>
      <w:r>
        <w:rPr>
          <w:b/>
          <w:bCs/>
        </w:rPr>
        <w:t xml:space="preserve">Knowledge Graph Preparation: </w:t>
      </w:r>
      <w:r>
        <w:t xml:space="preserve">Databricks will process NOVA's structured enterprise data and unstructured documents to identify and refresh relationships among Treasury entities, products, measures, policies, and regulatory requirements. The architecture includes Neo4j as the knowledge graph database for those relationships. NOVA plans to use the graph alongside source passages and enterprise data to provide richer context for </w:t>
      </w:r>
      <w:proofErr w:type="spellStart"/>
      <w:r>
        <w:t>GraphRAG</w:t>
      </w:r>
      <w:proofErr w:type="spellEnd"/>
      <w:r>
        <w:t xml:space="preserve"> answers.</w:t>
      </w:r>
    </w:p>
    <w:p w14:paraId="0D96C0AD" w14:textId="77777777" w:rsidR="00FB1E0E" w:rsidRDefault="00873774">
      <w:pPr>
        <w:pStyle w:val="Heading1"/>
      </w:pPr>
      <w:r>
        <w:t>Why Databricks Was Chosen over Alternative Platforms</w:t>
      </w:r>
    </w:p>
    <w:p w14:paraId="6B6A55FB" w14:textId="77777777" w:rsidR="00FB1E0E" w:rsidRDefault="00873774">
      <w:pPr>
        <w:spacing w:after="160" w:line="276" w:lineRule="auto"/>
      </w:pPr>
      <w:r>
        <w:t>When NOVA was onboarded, Databricks was evaluated against alternative enterprise data platforms such as Snowflake and Microsoft Fabric. It was selected because its combined architecture best aligns with NOVA's dual requirements for structured analytics and unstructured intelligence:</w:t>
      </w:r>
    </w:p>
    <w:p w14:paraId="697173AB" w14:textId="77777777" w:rsidR="00FB1E0E" w:rsidRDefault="00873774">
      <w:pPr>
        <w:pStyle w:val="ListParagraph"/>
        <w:numPr>
          <w:ilvl w:val="0"/>
          <w:numId w:val="2"/>
        </w:numPr>
        <w:spacing w:after="100" w:line="276" w:lineRule="auto"/>
      </w:pPr>
      <w:r>
        <w:rPr>
          <w:b/>
          <w:bCs/>
        </w:rPr>
        <w:t xml:space="preserve">The Lakehouse Advantage: </w:t>
      </w:r>
      <w:r>
        <w:t>Traditional data warehouses are optimized primarily for SQL analytics. Databricks natively unifies flexible raw storage with Atomicity, Consistency, Isolation, and Durability (ACID) compliant structured tables via Delta Lake and distributed Python execution.</w:t>
      </w:r>
    </w:p>
    <w:p w14:paraId="406F6021" w14:textId="77777777" w:rsidR="00FB1E0E" w:rsidRDefault="00873774">
      <w:pPr>
        <w:pStyle w:val="ListParagraph"/>
        <w:numPr>
          <w:ilvl w:val="0"/>
          <w:numId w:val="2"/>
        </w:numPr>
        <w:spacing w:after="100" w:line="276" w:lineRule="auto"/>
      </w:pPr>
      <w:r>
        <w:rPr>
          <w:b/>
          <w:bCs/>
        </w:rPr>
        <w:t xml:space="preserve">Platform Comparison and Workload Fit: </w:t>
      </w:r>
      <w:r>
        <w:t>Snowflake and Fabric can support substantial parts of NOVA's workload, and PostgreSQL remains well suited to NOVA's application data. Databricks is the more mature environment for NOVA's heaviest workloads: custom Python processing, large-scale document pipelines, and model development. Moving to either alternative would also require migrating NOVA's existing document pipeline and establishing an equivalent approach to distributed processing, governance, and source-to-result evidence.</w:t>
      </w:r>
    </w:p>
    <w:p w14:paraId="0BC7B93E" w14:textId="77777777" w:rsidR="00FB1E0E" w:rsidRDefault="00873774">
      <w:pPr>
        <w:pStyle w:val="Heading1"/>
      </w:pPr>
      <w:r>
        <w:lastRenderedPageBreak/>
        <w:t>Investment Case and Cost Controls</w:t>
      </w:r>
    </w:p>
    <w:p w14:paraId="081A3E8B" w14:textId="77777777" w:rsidR="00FB1E0E" w:rsidRDefault="00873774">
      <w:pPr>
        <w:pStyle w:val="Heading2"/>
      </w:pPr>
      <w:r>
        <w:t>Platform Costs and Workflow Economics</w:t>
      </w:r>
    </w:p>
    <w:p w14:paraId="71DE04C1" w14:textId="77777777" w:rsidR="00FB1E0E" w:rsidRDefault="00873774">
      <w:pPr>
        <w:spacing w:after="160" w:line="276" w:lineRule="auto"/>
      </w:pPr>
      <w:r>
        <w:t>Databricks' investment case rests on the cost and value of NOVA's complete workflow, not an assumed advantage in unit pricing. To assess comparable costs accurately, platforms must be evaluated on equivalent terms.</w:t>
      </w:r>
    </w:p>
    <w:p w14:paraId="6D694B09" w14:textId="77777777" w:rsidR="00FB1E0E" w:rsidRDefault="00873774">
      <w:pPr>
        <w:spacing w:after="160" w:line="276" w:lineRule="auto"/>
      </w:pPr>
      <w:r>
        <w:t>Snowflake bills in credits per hour, with infrastructure included. Databricks bills in Databricks Units (DBUs); on classic compute, underlying Azure virtual machine (VM) costs are billed in addition, while serverless compute includes infrastructure in the DBU rate. The most direct like-for-like comparison is therefore a Snowflake warehouse against a Databricks Serverless SQL warehouse of the same size.</w:t>
      </w:r>
    </w:p>
    <w:p w14:paraId="7B7079E6" w14:textId="77777777" w:rsidR="00FB1E0E" w:rsidRDefault="00873774">
      <w:pPr>
        <w:keepNext/>
        <w:spacing w:before="200" w:after="80"/>
      </w:pPr>
      <w:r>
        <w:rPr>
          <w:b/>
          <w:bCs/>
          <w:color w:val="1F4E79"/>
        </w:rPr>
        <w:t xml:space="preserve">Table 1. Snowflake: Medium warehouse, 100 hours (Azure Canada Central, </w:t>
      </w:r>
      <w:proofErr w:type="gramStart"/>
      <w:r>
        <w:rPr>
          <w:b/>
          <w:bCs/>
          <w:color w:val="1F4E79"/>
        </w:rPr>
        <w:t>on-demand</w:t>
      </w:r>
      <w:proofErr w:type="gramEnd"/>
      <w:r>
        <w:rPr>
          <w:b/>
          <w:bCs/>
          <w:color w:val="1F4E7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FB1E0E" w14:paraId="56C27EC4" w14:textId="77777777">
        <w:tblPrEx>
          <w:tblCellMar>
            <w:top w:w="0" w:type="dxa"/>
            <w:bottom w:w="0" w:type="dxa"/>
          </w:tblCellMar>
        </w:tblPrEx>
        <w:trPr>
          <w:cantSplit/>
          <w:tblHeader/>
        </w:trPr>
        <w:tc>
          <w:tcPr>
            <w:tcW w:w="312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25016079" w14:textId="77777777" w:rsidR="00FB1E0E" w:rsidRDefault="00873774">
            <w:pPr>
              <w:keepNext/>
            </w:pPr>
            <w:r>
              <w:rPr>
                <w:b/>
                <w:bCs/>
                <w:color w:val="FFFFFF"/>
                <w:sz w:val="20"/>
                <w:szCs w:val="20"/>
              </w:rPr>
              <w:t>Edition</w:t>
            </w:r>
          </w:p>
        </w:tc>
        <w:tc>
          <w:tcPr>
            <w:tcW w:w="208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40DEB56F" w14:textId="77777777" w:rsidR="00FB1E0E" w:rsidRDefault="00873774">
            <w:pPr>
              <w:keepNext/>
              <w:jc w:val="right"/>
            </w:pPr>
            <w:r>
              <w:rPr>
                <w:b/>
                <w:bCs/>
                <w:color w:val="FFFFFF"/>
                <w:sz w:val="20"/>
                <w:szCs w:val="20"/>
              </w:rPr>
              <w:t>Credits consumed</w:t>
            </w:r>
          </w:p>
        </w:tc>
        <w:tc>
          <w:tcPr>
            <w:tcW w:w="208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3AE334FF" w14:textId="77777777" w:rsidR="00FB1E0E" w:rsidRDefault="00873774">
            <w:pPr>
              <w:keepNext/>
              <w:jc w:val="right"/>
            </w:pPr>
            <w:r>
              <w:rPr>
                <w:b/>
                <w:bCs/>
                <w:color w:val="FFFFFF"/>
                <w:sz w:val="20"/>
                <w:szCs w:val="20"/>
              </w:rPr>
              <w:t>Price per credit</w:t>
            </w:r>
          </w:p>
        </w:tc>
        <w:tc>
          <w:tcPr>
            <w:tcW w:w="208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3974F407" w14:textId="77777777" w:rsidR="00FB1E0E" w:rsidRDefault="00873774">
            <w:pPr>
              <w:keepNext/>
              <w:jc w:val="right"/>
            </w:pPr>
            <w:r>
              <w:rPr>
                <w:b/>
                <w:bCs/>
                <w:color w:val="FFFFFF"/>
                <w:sz w:val="20"/>
                <w:szCs w:val="20"/>
              </w:rPr>
              <w:t>Compute cost</w:t>
            </w:r>
          </w:p>
        </w:tc>
      </w:tr>
      <w:tr w:rsidR="00FB1E0E" w14:paraId="04573AE4"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7E861751" w14:textId="77777777" w:rsidR="00FB1E0E" w:rsidRDefault="00873774">
            <w:pPr>
              <w:keepNext/>
            </w:pPr>
            <w:r>
              <w:rPr>
                <w:color w:val="000000"/>
                <w:sz w:val="20"/>
                <w:szCs w:val="20"/>
              </w:rPr>
              <w:t>Standard</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793970C3" w14:textId="77777777" w:rsidR="00FB1E0E" w:rsidRDefault="00873774">
            <w:pPr>
              <w:keepNext/>
              <w:jc w:val="right"/>
            </w:pPr>
            <w:r>
              <w:rPr>
                <w:color w:val="000000"/>
                <w:sz w:val="20"/>
                <w:szCs w:val="20"/>
              </w:rPr>
              <w:t>400</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2BA7F03D" w14:textId="77777777" w:rsidR="00FB1E0E" w:rsidRDefault="00873774">
            <w:pPr>
              <w:keepNext/>
              <w:jc w:val="right"/>
            </w:pPr>
            <w:r>
              <w:rPr>
                <w:color w:val="000000"/>
                <w:sz w:val="20"/>
                <w:szCs w:val="20"/>
              </w:rPr>
              <w:t>US$2.25</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64B81053" w14:textId="77777777" w:rsidR="00FB1E0E" w:rsidRDefault="00873774">
            <w:pPr>
              <w:keepNext/>
              <w:jc w:val="right"/>
            </w:pPr>
            <w:r>
              <w:rPr>
                <w:color w:val="000000"/>
                <w:sz w:val="20"/>
                <w:szCs w:val="20"/>
              </w:rPr>
              <w:t>US$900</w:t>
            </w:r>
          </w:p>
        </w:tc>
      </w:tr>
      <w:tr w:rsidR="00FB1E0E" w14:paraId="2916549F"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17ADE2C" w14:textId="77777777" w:rsidR="00FB1E0E" w:rsidRDefault="00873774">
            <w:pPr>
              <w:keepNext/>
            </w:pPr>
            <w:r>
              <w:rPr>
                <w:color w:val="000000"/>
                <w:sz w:val="20"/>
                <w:szCs w:val="20"/>
              </w:rPr>
              <w:t>Enterprise</w:t>
            </w:r>
          </w:p>
        </w:tc>
        <w:tc>
          <w:tcPr>
            <w:tcW w:w="208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1AA114F" w14:textId="77777777" w:rsidR="00FB1E0E" w:rsidRDefault="00873774">
            <w:pPr>
              <w:keepNext/>
              <w:jc w:val="right"/>
            </w:pPr>
            <w:r>
              <w:rPr>
                <w:color w:val="000000"/>
                <w:sz w:val="20"/>
                <w:szCs w:val="20"/>
              </w:rPr>
              <w:t>400</w:t>
            </w:r>
          </w:p>
        </w:tc>
        <w:tc>
          <w:tcPr>
            <w:tcW w:w="208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466B693" w14:textId="77777777" w:rsidR="00FB1E0E" w:rsidRDefault="00873774">
            <w:pPr>
              <w:keepNext/>
              <w:jc w:val="right"/>
            </w:pPr>
            <w:r>
              <w:rPr>
                <w:color w:val="000000"/>
                <w:sz w:val="20"/>
                <w:szCs w:val="20"/>
              </w:rPr>
              <w:t>US$3.50</w:t>
            </w:r>
          </w:p>
        </w:tc>
        <w:tc>
          <w:tcPr>
            <w:tcW w:w="208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3770C0F" w14:textId="77777777" w:rsidR="00FB1E0E" w:rsidRDefault="00873774">
            <w:pPr>
              <w:keepNext/>
              <w:jc w:val="right"/>
            </w:pPr>
            <w:r>
              <w:rPr>
                <w:color w:val="000000"/>
                <w:sz w:val="20"/>
                <w:szCs w:val="20"/>
              </w:rPr>
              <w:t>US$1,400</w:t>
            </w:r>
          </w:p>
        </w:tc>
      </w:tr>
      <w:tr w:rsidR="00FB1E0E" w14:paraId="196AEF4F"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58B921F1" w14:textId="77777777" w:rsidR="00FB1E0E" w:rsidRDefault="00873774">
            <w:r>
              <w:rPr>
                <w:color w:val="000000"/>
                <w:sz w:val="20"/>
                <w:szCs w:val="20"/>
              </w:rPr>
              <w:t>Business Critical</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5157EDA5" w14:textId="77777777" w:rsidR="00FB1E0E" w:rsidRDefault="00873774">
            <w:pPr>
              <w:jc w:val="right"/>
            </w:pPr>
            <w:r>
              <w:rPr>
                <w:color w:val="000000"/>
                <w:sz w:val="20"/>
                <w:szCs w:val="20"/>
              </w:rPr>
              <w:t>400</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3544BDA4" w14:textId="77777777" w:rsidR="00FB1E0E" w:rsidRDefault="00873774">
            <w:pPr>
              <w:jc w:val="right"/>
            </w:pPr>
            <w:r>
              <w:rPr>
                <w:color w:val="000000"/>
                <w:sz w:val="20"/>
                <w:szCs w:val="20"/>
              </w:rPr>
              <w:t>US$4.50</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292C093B" w14:textId="77777777" w:rsidR="00FB1E0E" w:rsidRDefault="00873774">
            <w:pPr>
              <w:jc w:val="right"/>
            </w:pPr>
            <w:r>
              <w:rPr>
                <w:color w:val="000000"/>
                <w:sz w:val="20"/>
                <w:szCs w:val="20"/>
              </w:rPr>
              <w:t>US$1,800</w:t>
            </w:r>
          </w:p>
        </w:tc>
      </w:tr>
    </w:tbl>
    <w:p w14:paraId="366B5921" w14:textId="0DA1916A" w:rsidR="00FB1E0E" w:rsidRDefault="00873774">
      <w:pPr>
        <w:spacing w:before="60" w:after="200"/>
      </w:pPr>
      <w:r>
        <w:rPr>
          <w:i/>
          <w:iCs/>
          <w:color w:val="595959"/>
          <w:sz w:val="18"/>
          <w:szCs w:val="18"/>
        </w:rPr>
        <w:t xml:space="preserve">A Medium warehouse consumes 4 credits per hour (4 × 100 hours = 400 credits). Excludes storage, AI services, data transfer, and </w:t>
      </w:r>
      <w:r w:rsidR="00736875">
        <w:rPr>
          <w:i/>
          <w:iCs/>
          <w:color w:val="595959"/>
          <w:sz w:val="18"/>
          <w:szCs w:val="18"/>
        </w:rPr>
        <w:t>NAB</w:t>
      </w:r>
      <w:r>
        <w:rPr>
          <w:i/>
          <w:iCs/>
          <w:color w:val="595959"/>
          <w:sz w:val="18"/>
          <w:szCs w:val="18"/>
        </w:rPr>
        <w:t>'s contractual terms.</w:t>
      </w:r>
    </w:p>
    <w:p w14:paraId="4F472001" w14:textId="77777777" w:rsidR="00FB1E0E" w:rsidRDefault="00873774">
      <w:pPr>
        <w:keepNext/>
        <w:spacing w:before="200" w:after="80"/>
      </w:pPr>
      <w:r>
        <w:rPr>
          <w:b/>
          <w:bCs/>
          <w:color w:val="1F4E79"/>
        </w:rPr>
        <w:t>Table 2. Databricks: Serverless SQL Medium warehouse, 100 hours (Premium tier, pay-as-you-go)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FB1E0E" w14:paraId="6293DCF3" w14:textId="77777777">
        <w:tblPrEx>
          <w:tblCellMar>
            <w:top w:w="0" w:type="dxa"/>
            <w:bottom w:w="0" w:type="dxa"/>
          </w:tblCellMar>
        </w:tblPrEx>
        <w:trPr>
          <w:cantSplit/>
          <w:tblHeader/>
        </w:trPr>
        <w:tc>
          <w:tcPr>
            <w:tcW w:w="312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76A3981B" w14:textId="77777777" w:rsidR="00FB1E0E" w:rsidRDefault="00873774">
            <w:pPr>
              <w:keepNext/>
            </w:pPr>
            <w:r>
              <w:rPr>
                <w:b/>
                <w:bCs/>
                <w:color w:val="FFFFFF"/>
                <w:sz w:val="20"/>
                <w:szCs w:val="20"/>
              </w:rPr>
              <w:t>Configuration</w:t>
            </w:r>
          </w:p>
        </w:tc>
        <w:tc>
          <w:tcPr>
            <w:tcW w:w="208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7D0F4A87" w14:textId="77777777" w:rsidR="00FB1E0E" w:rsidRDefault="00873774">
            <w:pPr>
              <w:keepNext/>
              <w:jc w:val="right"/>
            </w:pPr>
            <w:r>
              <w:rPr>
                <w:b/>
                <w:bCs/>
                <w:color w:val="FFFFFF"/>
                <w:sz w:val="20"/>
                <w:szCs w:val="20"/>
              </w:rPr>
              <w:t>DBUs consumed</w:t>
            </w:r>
          </w:p>
        </w:tc>
        <w:tc>
          <w:tcPr>
            <w:tcW w:w="208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4EAB0DA9" w14:textId="77777777" w:rsidR="00FB1E0E" w:rsidRDefault="00873774">
            <w:pPr>
              <w:keepNext/>
              <w:jc w:val="right"/>
            </w:pPr>
            <w:r>
              <w:rPr>
                <w:b/>
                <w:bCs/>
                <w:color w:val="FFFFFF"/>
                <w:sz w:val="20"/>
                <w:szCs w:val="20"/>
              </w:rPr>
              <w:t>Price per DBU</w:t>
            </w:r>
          </w:p>
        </w:tc>
        <w:tc>
          <w:tcPr>
            <w:tcW w:w="208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1337E689" w14:textId="77777777" w:rsidR="00FB1E0E" w:rsidRDefault="00873774">
            <w:pPr>
              <w:keepNext/>
              <w:jc w:val="right"/>
            </w:pPr>
            <w:r>
              <w:rPr>
                <w:b/>
                <w:bCs/>
                <w:color w:val="FFFFFF"/>
                <w:sz w:val="20"/>
                <w:szCs w:val="20"/>
              </w:rPr>
              <w:t>Compute cost</w:t>
            </w:r>
          </w:p>
        </w:tc>
      </w:tr>
      <w:tr w:rsidR="00FB1E0E" w14:paraId="50D85BCD"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5D90458B" w14:textId="77777777" w:rsidR="00FB1E0E" w:rsidRDefault="00873774">
            <w:pPr>
              <w:keepNext/>
            </w:pPr>
            <w:r>
              <w:rPr>
                <w:color w:val="000000"/>
                <w:sz w:val="20"/>
                <w:szCs w:val="20"/>
              </w:rPr>
              <w:t>Serverless SQL (infrastructure included)</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02C8DB96" w14:textId="77777777" w:rsidR="00FB1E0E" w:rsidRDefault="00873774">
            <w:pPr>
              <w:keepNext/>
              <w:jc w:val="right"/>
            </w:pPr>
            <w:r>
              <w:rPr>
                <w:color w:val="000000"/>
                <w:sz w:val="20"/>
                <w:szCs w:val="20"/>
              </w:rPr>
              <w:t>2,400</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6E9CC728" w14:textId="77777777" w:rsidR="00FB1E0E" w:rsidRDefault="00873774">
            <w:pPr>
              <w:keepNext/>
              <w:jc w:val="right"/>
            </w:pPr>
            <w:r>
              <w:rPr>
                <w:color w:val="000000"/>
                <w:sz w:val="20"/>
                <w:szCs w:val="20"/>
              </w:rPr>
              <w:t>US$0.70</w:t>
            </w:r>
          </w:p>
        </w:tc>
        <w:tc>
          <w:tcPr>
            <w:tcW w:w="20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0F91362F" w14:textId="77777777" w:rsidR="00FB1E0E" w:rsidRDefault="00873774">
            <w:pPr>
              <w:keepNext/>
              <w:jc w:val="right"/>
            </w:pPr>
            <w:r>
              <w:rPr>
                <w:color w:val="000000"/>
                <w:sz w:val="20"/>
                <w:szCs w:val="20"/>
              </w:rPr>
              <w:t>US$1,680</w:t>
            </w:r>
          </w:p>
        </w:tc>
      </w:tr>
      <w:tr w:rsidR="00FB1E0E" w14:paraId="7A789279"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746A031" w14:textId="77777777" w:rsidR="00FB1E0E" w:rsidRDefault="00873774">
            <w:r>
              <w:rPr>
                <w:color w:val="000000"/>
                <w:sz w:val="20"/>
                <w:szCs w:val="20"/>
              </w:rPr>
              <w:t>With Enhanced Security and Compliance add-on (+10%)</w:t>
            </w:r>
          </w:p>
        </w:tc>
        <w:tc>
          <w:tcPr>
            <w:tcW w:w="208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B7C2DAE" w14:textId="77777777" w:rsidR="00FB1E0E" w:rsidRDefault="00873774">
            <w:pPr>
              <w:jc w:val="right"/>
            </w:pPr>
            <w:r>
              <w:rPr>
                <w:color w:val="000000"/>
                <w:sz w:val="20"/>
                <w:szCs w:val="20"/>
              </w:rPr>
              <w:t>2,400</w:t>
            </w:r>
          </w:p>
        </w:tc>
        <w:tc>
          <w:tcPr>
            <w:tcW w:w="208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5F11054" w14:textId="77777777" w:rsidR="00FB1E0E" w:rsidRDefault="00873774">
            <w:pPr>
              <w:jc w:val="right"/>
            </w:pPr>
            <w:r>
              <w:rPr>
                <w:color w:val="000000"/>
                <w:sz w:val="20"/>
                <w:szCs w:val="20"/>
              </w:rPr>
              <w:t>US$0.77</w:t>
            </w:r>
          </w:p>
        </w:tc>
        <w:tc>
          <w:tcPr>
            <w:tcW w:w="208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C0C2F1E" w14:textId="77777777" w:rsidR="00FB1E0E" w:rsidRDefault="00873774">
            <w:pPr>
              <w:jc w:val="right"/>
            </w:pPr>
            <w:r>
              <w:rPr>
                <w:color w:val="000000"/>
                <w:sz w:val="20"/>
                <w:szCs w:val="20"/>
              </w:rPr>
              <w:t>US$1,848</w:t>
            </w:r>
          </w:p>
        </w:tc>
      </w:tr>
    </w:tbl>
    <w:p w14:paraId="7E982078" w14:textId="5C260AFA" w:rsidR="00FB1E0E" w:rsidRDefault="00873774">
      <w:pPr>
        <w:spacing w:before="60" w:after="200"/>
      </w:pPr>
      <w:r>
        <w:rPr>
          <w:i/>
          <w:iCs/>
          <w:color w:val="595959"/>
          <w:sz w:val="18"/>
          <w:szCs w:val="18"/>
        </w:rPr>
        <w:t xml:space="preserve">A Medium Serverless SQL warehouse consumes 24 DBUs per hour (24 × 100 hours = 2,400 DBUs). Rates are published U.S. list prices; confirm the Canada Central rate and </w:t>
      </w:r>
      <w:r w:rsidR="00736875">
        <w:rPr>
          <w:i/>
          <w:iCs/>
          <w:color w:val="595959"/>
          <w:sz w:val="18"/>
          <w:szCs w:val="18"/>
        </w:rPr>
        <w:t>NAB</w:t>
      </w:r>
      <w:r>
        <w:rPr>
          <w:i/>
          <w:iCs/>
          <w:color w:val="595959"/>
          <w:sz w:val="18"/>
          <w:szCs w:val="18"/>
        </w:rPr>
        <w:t>'s contracted rate before use.</w:t>
      </w:r>
    </w:p>
    <w:p w14:paraId="2D2286D1" w14:textId="77777777" w:rsidR="00FB1E0E" w:rsidRDefault="00873774">
      <w:pPr>
        <w:keepNext/>
        <w:spacing w:before="200" w:after="80"/>
      </w:pPr>
      <w:r>
        <w:rPr>
          <w:b/>
          <w:bCs/>
          <w:color w:val="1F4E79"/>
        </w:rPr>
        <w:t xml:space="preserve">Table 3. Like-for-like summary for regulated workloads (100 hours, </w:t>
      </w:r>
      <w:proofErr w:type="gramStart"/>
      <w:r>
        <w:rPr>
          <w:b/>
          <w:bCs/>
          <w:color w:val="1F4E79"/>
        </w:rPr>
        <w:t>Medium</w:t>
      </w:r>
      <w:proofErr w:type="gramEnd"/>
      <w:r>
        <w:rPr>
          <w:b/>
          <w:bCs/>
          <w:color w:val="1F4E79"/>
        </w:rPr>
        <w:t xml:space="preserve">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0"/>
        <w:gridCol w:w="3480"/>
      </w:tblGrid>
      <w:tr w:rsidR="00FB1E0E" w14:paraId="0D8457B4" w14:textId="77777777">
        <w:tblPrEx>
          <w:tblCellMar>
            <w:top w:w="0" w:type="dxa"/>
            <w:bottom w:w="0" w:type="dxa"/>
          </w:tblCellMar>
        </w:tblPrEx>
        <w:trPr>
          <w:cantSplit/>
          <w:tblHeader/>
        </w:trPr>
        <w:tc>
          <w:tcPr>
            <w:tcW w:w="588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209AD712" w14:textId="77777777" w:rsidR="00FB1E0E" w:rsidRDefault="00873774">
            <w:pPr>
              <w:keepNext/>
            </w:pPr>
            <w:r>
              <w:rPr>
                <w:b/>
                <w:bCs/>
                <w:color w:val="FFFFFF"/>
                <w:sz w:val="20"/>
                <w:szCs w:val="20"/>
              </w:rPr>
              <w:t>Platform and tier</w:t>
            </w:r>
          </w:p>
        </w:tc>
        <w:tc>
          <w:tcPr>
            <w:tcW w:w="348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6F398A87" w14:textId="77777777" w:rsidR="00FB1E0E" w:rsidRDefault="00873774">
            <w:pPr>
              <w:keepNext/>
              <w:jc w:val="right"/>
            </w:pPr>
            <w:r>
              <w:rPr>
                <w:b/>
                <w:bCs/>
                <w:color w:val="FFFFFF"/>
                <w:sz w:val="20"/>
                <w:szCs w:val="20"/>
              </w:rPr>
              <w:t>Compute cost</w:t>
            </w:r>
          </w:p>
        </w:tc>
      </w:tr>
      <w:tr w:rsidR="00FB1E0E" w14:paraId="4BC080B7" w14:textId="77777777">
        <w:tblPrEx>
          <w:tblCellMar>
            <w:top w:w="0" w:type="dxa"/>
            <w:bottom w:w="0" w:type="dxa"/>
          </w:tblCellMar>
        </w:tblPrEx>
        <w:trPr>
          <w:cantSplit/>
        </w:trPr>
        <w:tc>
          <w:tcPr>
            <w:tcW w:w="58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29255535" w14:textId="77777777" w:rsidR="00FB1E0E" w:rsidRDefault="00873774">
            <w:pPr>
              <w:keepNext/>
            </w:pPr>
            <w:r>
              <w:rPr>
                <w:color w:val="000000"/>
                <w:sz w:val="20"/>
                <w:szCs w:val="20"/>
              </w:rPr>
              <w:t>Snowflake Business Critical</w:t>
            </w:r>
          </w:p>
        </w:tc>
        <w:tc>
          <w:tcPr>
            <w:tcW w:w="348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18428A4E" w14:textId="77777777" w:rsidR="00FB1E0E" w:rsidRDefault="00873774">
            <w:pPr>
              <w:keepNext/>
              <w:jc w:val="right"/>
            </w:pPr>
            <w:r>
              <w:rPr>
                <w:color w:val="000000"/>
                <w:sz w:val="20"/>
                <w:szCs w:val="20"/>
              </w:rPr>
              <w:t>US$1,800</w:t>
            </w:r>
          </w:p>
        </w:tc>
      </w:tr>
      <w:tr w:rsidR="00FB1E0E" w14:paraId="63A50ADF" w14:textId="77777777">
        <w:tblPrEx>
          <w:tblCellMar>
            <w:top w:w="0" w:type="dxa"/>
            <w:bottom w:w="0" w:type="dxa"/>
          </w:tblCellMar>
        </w:tblPrEx>
        <w:trPr>
          <w:cantSplit/>
        </w:trPr>
        <w:tc>
          <w:tcPr>
            <w:tcW w:w="588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316D708" w14:textId="77777777" w:rsidR="00FB1E0E" w:rsidRDefault="00873774">
            <w:pPr>
              <w:keepNext/>
            </w:pPr>
            <w:r>
              <w:rPr>
                <w:color w:val="000000"/>
                <w:sz w:val="20"/>
                <w:szCs w:val="20"/>
              </w:rPr>
              <w:t>Databricks Serverless SQL with Enhanced Security and Compliance</w:t>
            </w:r>
          </w:p>
        </w:tc>
        <w:tc>
          <w:tcPr>
            <w:tcW w:w="348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E440CA0" w14:textId="77777777" w:rsidR="00FB1E0E" w:rsidRDefault="00873774">
            <w:pPr>
              <w:keepNext/>
              <w:jc w:val="right"/>
            </w:pPr>
            <w:r>
              <w:rPr>
                <w:color w:val="000000"/>
                <w:sz w:val="20"/>
                <w:szCs w:val="20"/>
              </w:rPr>
              <w:t>US$1,848</w:t>
            </w:r>
          </w:p>
        </w:tc>
      </w:tr>
      <w:tr w:rsidR="00FB1E0E" w14:paraId="11E60F0F" w14:textId="77777777">
        <w:tblPrEx>
          <w:tblCellMar>
            <w:top w:w="0" w:type="dxa"/>
            <w:bottom w:w="0" w:type="dxa"/>
          </w:tblCellMar>
        </w:tblPrEx>
        <w:trPr>
          <w:cantSplit/>
        </w:trPr>
        <w:tc>
          <w:tcPr>
            <w:tcW w:w="588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20" w:type="dxa"/>
              <w:bottom w:w="80" w:type="dxa"/>
              <w:right w:w="120" w:type="dxa"/>
            </w:tcMar>
          </w:tcPr>
          <w:p w14:paraId="4D9F086B" w14:textId="77777777" w:rsidR="00FB1E0E" w:rsidRDefault="00873774">
            <w:r>
              <w:rPr>
                <w:b/>
                <w:bCs/>
                <w:color w:val="000000"/>
                <w:sz w:val="20"/>
                <w:szCs w:val="20"/>
              </w:rPr>
              <w:t>Difference</w:t>
            </w:r>
          </w:p>
        </w:tc>
        <w:tc>
          <w:tcPr>
            <w:tcW w:w="348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20" w:type="dxa"/>
              <w:bottom w:w="80" w:type="dxa"/>
              <w:right w:w="120" w:type="dxa"/>
            </w:tcMar>
          </w:tcPr>
          <w:p w14:paraId="6912D0ED" w14:textId="77777777" w:rsidR="00FB1E0E" w:rsidRDefault="00873774">
            <w:pPr>
              <w:jc w:val="right"/>
            </w:pPr>
            <w:r>
              <w:rPr>
                <w:b/>
                <w:bCs/>
                <w:color w:val="000000"/>
                <w:sz w:val="20"/>
                <w:szCs w:val="20"/>
              </w:rPr>
              <w:t>US$48 (approximately 3%)</w:t>
            </w:r>
          </w:p>
        </w:tc>
      </w:tr>
    </w:tbl>
    <w:p w14:paraId="41DC68B3" w14:textId="77777777" w:rsidR="00FB1E0E" w:rsidRDefault="00873774">
      <w:pPr>
        <w:spacing w:before="60" w:after="200"/>
      </w:pPr>
      <w:r>
        <w:rPr>
          <w:i/>
          <w:iCs/>
          <w:color w:val="595959"/>
          <w:sz w:val="18"/>
          <w:szCs w:val="18"/>
        </w:rPr>
        <w:t>A regulated bank would typically require Snowflake Business Critical or the Databricks Enhanced Security and Compliance add-on. Both vendors offer commitment discounts; Azure Databricks pre-purchase saves up to 37% over pay-as-you-go.</w:t>
      </w:r>
    </w:p>
    <w:p w14:paraId="3FA961FC" w14:textId="77777777" w:rsidR="00FB1E0E" w:rsidRDefault="00873774">
      <w:pPr>
        <w:keepNext/>
        <w:spacing w:before="200" w:after="80"/>
      </w:pPr>
      <w:r>
        <w:rPr>
          <w:b/>
          <w:bCs/>
          <w:color w:val="1F4E79"/>
        </w:rPr>
        <w:lastRenderedPageBreak/>
        <w:t>Table 4. Databricks DBU rates by workload type (Premium tier, U.S.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800"/>
        <w:gridCol w:w="3660"/>
      </w:tblGrid>
      <w:tr w:rsidR="00FB1E0E" w14:paraId="1C1E08F5" w14:textId="77777777">
        <w:tblPrEx>
          <w:tblCellMar>
            <w:top w:w="0" w:type="dxa"/>
            <w:bottom w:w="0" w:type="dxa"/>
          </w:tblCellMar>
        </w:tblPrEx>
        <w:trPr>
          <w:cantSplit/>
          <w:tblHeader/>
        </w:trPr>
        <w:tc>
          <w:tcPr>
            <w:tcW w:w="39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6020DAE9" w14:textId="77777777" w:rsidR="00FB1E0E" w:rsidRDefault="00873774">
            <w:pPr>
              <w:keepNext/>
            </w:pPr>
            <w:r>
              <w:rPr>
                <w:b/>
                <w:bCs/>
                <w:color w:val="FFFFFF"/>
                <w:sz w:val="20"/>
                <w:szCs w:val="20"/>
              </w:rPr>
              <w:t>Compute type</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677AF8BB" w14:textId="77777777" w:rsidR="00FB1E0E" w:rsidRDefault="00873774">
            <w:pPr>
              <w:keepNext/>
              <w:jc w:val="right"/>
            </w:pPr>
            <w:r>
              <w:rPr>
                <w:b/>
                <w:bCs/>
                <w:color w:val="FFFFFF"/>
                <w:sz w:val="20"/>
                <w:szCs w:val="20"/>
              </w:rPr>
              <w:t>Price per DBU</w:t>
            </w:r>
          </w:p>
        </w:tc>
        <w:tc>
          <w:tcPr>
            <w:tcW w:w="366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73A500D6" w14:textId="77777777" w:rsidR="00FB1E0E" w:rsidRDefault="00873774">
            <w:pPr>
              <w:keepNext/>
            </w:pPr>
            <w:r>
              <w:rPr>
                <w:b/>
                <w:bCs/>
                <w:color w:val="FFFFFF"/>
                <w:sz w:val="20"/>
                <w:szCs w:val="20"/>
              </w:rPr>
              <w:t>Infrastructure</w:t>
            </w:r>
          </w:p>
        </w:tc>
      </w:tr>
      <w:tr w:rsidR="00FB1E0E" w14:paraId="7D40AF30"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474A522E" w14:textId="77777777" w:rsidR="00FB1E0E" w:rsidRDefault="00873774">
            <w:pPr>
              <w:keepNext/>
            </w:pPr>
            <w:r>
              <w:rPr>
                <w:color w:val="000000"/>
                <w:sz w:val="20"/>
                <w:szCs w:val="20"/>
              </w:rPr>
              <w:t>Jobs Compute (automated ETL and batch)</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093F8AE0" w14:textId="77777777" w:rsidR="00FB1E0E" w:rsidRDefault="00873774">
            <w:pPr>
              <w:keepNext/>
              <w:jc w:val="right"/>
            </w:pPr>
            <w:r>
              <w:rPr>
                <w:color w:val="000000"/>
                <w:sz w:val="20"/>
                <w:szCs w:val="20"/>
              </w:rPr>
              <w:t>US$0.30</w:t>
            </w:r>
          </w:p>
        </w:tc>
        <w:tc>
          <w:tcPr>
            <w:tcW w:w="366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65BF76E2" w14:textId="77777777" w:rsidR="00FB1E0E" w:rsidRDefault="00873774">
            <w:pPr>
              <w:keepNext/>
            </w:pPr>
            <w:r>
              <w:rPr>
                <w:color w:val="000000"/>
                <w:sz w:val="20"/>
                <w:szCs w:val="20"/>
              </w:rPr>
              <w:t>Azure VMs billed separately</w:t>
            </w:r>
          </w:p>
        </w:tc>
      </w:tr>
      <w:tr w:rsidR="00FB1E0E" w14:paraId="55049CB1"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58DC4A4" w14:textId="77777777" w:rsidR="00FB1E0E" w:rsidRDefault="00873774">
            <w:pPr>
              <w:keepNext/>
            </w:pPr>
            <w:r>
              <w:rPr>
                <w:color w:val="000000"/>
                <w:sz w:val="20"/>
                <w:szCs w:val="20"/>
              </w:rPr>
              <w:t>All-Purpose Compute (interactive)</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ABD9954" w14:textId="77777777" w:rsidR="00FB1E0E" w:rsidRDefault="00873774">
            <w:pPr>
              <w:keepNext/>
              <w:jc w:val="right"/>
            </w:pPr>
            <w:r>
              <w:rPr>
                <w:color w:val="000000"/>
                <w:sz w:val="20"/>
                <w:szCs w:val="20"/>
              </w:rPr>
              <w:t>US$0.55</w:t>
            </w:r>
          </w:p>
        </w:tc>
        <w:tc>
          <w:tcPr>
            <w:tcW w:w="366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6AFE582" w14:textId="77777777" w:rsidR="00FB1E0E" w:rsidRDefault="00873774">
            <w:pPr>
              <w:keepNext/>
            </w:pPr>
            <w:r>
              <w:rPr>
                <w:color w:val="000000"/>
                <w:sz w:val="20"/>
                <w:szCs w:val="20"/>
              </w:rPr>
              <w:t>Azure VMs billed separately</w:t>
            </w:r>
          </w:p>
        </w:tc>
      </w:tr>
      <w:tr w:rsidR="00FB1E0E" w14:paraId="12A0FB38"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2CFC24DE" w14:textId="77777777" w:rsidR="00FB1E0E" w:rsidRDefault="00873774">
            <w:r>
              <w:rPr>
                <w:color w:val="000000"/>
                <w:sz w:val="20"/>
                <w:szCs w:val="20"/>
              </w:rPr>
              <w:t>Serverless SQL</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601F2812" w14:textId="77777777" w:rsidR="00FB1E0E" w:rsidRDefault="00873774">
            <w:pPr>
              <w:jc w:val="right"/>
            </w:pPr>
            <w:r>
              <w:rPr>
                <w:color w:val="000000"/>
                <w:sz w:val="20"/>
                <w:szCs w:val="20"/>
              </w:rPr>
              <w:t>US$0.70</w:t>
            </w:r>
          </w:p>
        </w:tc>
        <w:tc>
          <w:tcPr>
            <w:tcW w:w="3660"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2651290F" w14:textId="77777777" w:rsidR="00FB1E0E" w:rsidRDefault="00873774">
            <w:r>
              <w:rPr>
                <w:color w:val="000000"/>
                <w:sz w:val="20"/>
                <w:szCs w:val="20"/>
              </w:rPr>
              <w:t>Included</w:t>
            </w:r>
          </w:p>
        </w:tc>
      </w:tr>
    </w:tbl>
    <w:p w14:paraId="44D253DB" w14:textId="77777777" w:rsidR="00FB1E0E" w:rsidRDefault="00873774">
      <w:pPr>
        <w:spacing w:before="60" w:after="200"/>
      </w:pPr>
      <w:r>
        <w:rPr>
          <w:i/>
          <w:iCs/>
          <w:color w:val="595959"/>
          <w:sz w:val="18"/>
          <w:szCs w:val="18"/>
        </w:rPr>
        <w:t>For classic (non-serverless) compute, Azure VM costs typically add 50% to 100% on top of the DBU fee.</w:t>
      </w:r>
    </w:p>
    <w:p w14:paraId="53E7E175" w14:textId="77777777" w:rsidR="00FB1E0E" w:rsidRDefault="00873774">
      <w:pPr>
        <w:keepNext/>
        <w:spacing w:before="200" w:after="100"/>
      </w:pPr>
      <w:r>
        <w:rPr>
          <w:b/>
          <w:bCs/>
          <w:color w:val="1F4E79"/>
        </w:rPr>
        <w:t>Key Takeaways</w:t>
      </w:r>
    </w:p>
    <w:p w14:paraId="01C12ABC" w14:textId="77777777" w:rsidR="00FB1E0E" w:rsidRDefault="00873774">
      <w:pPr>
        <w:pStyle w:val="ListParagraph"/>
        <w:numPr>
          <w:ilvl w:val="0"/>
          <w:numId w:val="3"/>
        </w:numPr>
        <w:spacing w:after="100" w:line="276" w:lineRule="auto"/>
      </w:pPr>
      <w:r>
        <w:rPr>
          <w:b/>
          <w:bCs/>
        </w:rPr>
        <w:t xml:space="preserve">Comparable list prices: </w:t>
      </w:r>
      <w:r>
        <w:t>On a like-for-like basis for regulated workloads, Databricks Serverless SQL and Snowflake Business Critical cost within about 3% of each other. Unit price does not decide the platform choice.</w:t>
      </w:r>
    </w:p>
    <w:p w14:paraId="6A9130FB" w14:textId="77777777" w:rsidR="00FB1E0E" w:rsidRDefault="00873774">
      <w:pPr>
        <w:pStyle w:val="ListParagraph"/>
        <w:numPr>
          <w:ilvl w:val="0"/>
          <w:numId w:val="3"/>
        </w:numPr>
        <w:spacing w:after="100" w:line="276" w:lineRule="auto"/>
      </w:pPr>
      <w:r>
        <w:rPr>
          <w:b/>
          <w:bCs/>
        </w:rPr>
        <w:t xml:space="preserve">Workload specificity: </w:t>
      </w:r>
      <w:r>
        <w:t>Warehouse sizes are vendor labels, not equivalent hardware, and SQL warehouses do not represent NOVA's main workloads. NOVA's document processing, transformations, and risk scenarios run on Jobs Compute, which carries a lower DBU rate than interactive or SQL compute. The meaningful measure is cost per completed NOVA workload.</w:t>
      </w:r>
    </w:p>
    <w:p w14:paraId="5F110059" w14:textId="77777777" w:rsidR="00FB1E0E" w:rsidRDefault="00873774">
      <w:pPr>
        <w:pStyle w:val="ListParagraph"/>
        <w:numPr>
          <w:ilvl w:val="0"/>
          <w:numId w:val="3"/>
        </w:numPr>
        <w:spacing w:after="100" w:line="276" w:lineRule="auto"/>
      </w:pPr>
      <w:r>
        <w:rPr>
          <w:b/>
          <w:bCs/>
        </w:rPr>
        <w:t xml:space="preserve">Total Cost of Ownership (TCO): </w:t>
      </w:r>
      <w:r>
        <w:t>While rate comparisons are instructive, NOVA's strategic justification relies on TCO. Databricks consolidates unstructured document processing, Python-based ML, and distributed risk calculations, reducing the need for separate point solutions that would incur additional integration and operational costs if Snowflake were the primary engine.</w:t>
      </w:r>
    </w:p>
    <w:p w14:paraId="2A474E25" w14:textId="77777777" w:rsidR="00FB1E0E" w:rsidRDefault="00873774">
      <w:pPr>
        <w:pStyle w:val="Heading2"/>
      </w:pPr>
      <w:r>
        <w:t>Justification for Investment</w:t>
      </w:r>
    </w:p>
    <w:p w14:paraId="0C8DA5EE" w14:textId="77777777" w:rsidR="00FB1E0E" w:rsidRDefault="00873774">
      <w:pPr>
        <w:pStyle w:val="ListParagraph"/>
        <w:numPr>
          <w:ilvl w:val="0"/>
          <w:numId w:val="2"/>
        </w:numPr>
        <w:spacing w:after="100" w:line="276" w:lineRule="auto"/>
      </w:pPr>
      <w:r>
        <w:rPr>
          <w:b/>
          <w:bCs/>
        </w:rPr>
        <w:t xml:space="preserve">Unified Total Cost of Ownership: </w:t>
      </w:r>
      <w:r>
        <w:t>Unifying document processing, data refinement, risk analytics, and governance onto a single platform could reduce duplicated pipelines and vendor management overhead compared to a multi-system baseline.</w:t>
      </w:r>
    </w:p>
    <w:p w14:paraId="31234FB0" w14:textId="77777777" w:rsidR="00FB1E0E" w:rsidRDefault="00873774">
      <w:pPr>
        <w:pStyle w:val="ListParagraph"/>
        <w:numPr>
          <w:ilvl w:val="0"/>
          <w:numId w:val="2"/>
        </w:numPr>
        <w:spacing w:after="100" w:line="276" w:lineRule="auto"/>
      </w:pPr>
      <w:r>
        <w:rPr>
          <w:b/>
          <w:bCs/>
        </w:rPr>
        <w:t xml:space="preserve">Serverless Economics: </w:t>
      </w:r>
      <w:r>
        <w:t>Serverless options scale down to zero when idle, making them potentially cost-effective for intermittent batch workloads while tying costs directly to usage and value.</w:t>
      </w:r>
    </w:p>
    <w:p w14:paraId="32B4DD91" w14:textId="77777777" w:rsidR="00FB1E0E" w:rsidRDefault="00873774">
      <w:pPr>
        <w:pStyle w:val="ListParagraph"/>
        <w:numPr>
          <w:ilvl w:val="0"/>
          <w:numId w:val="2"/>
        </w:numPr>
        <w:spacing w:after="100" w:line="276" w:lineRule="auto"/>
      </w:pPr>
      <w:r>
        <w:rPr>
          <w:b/>
          <w:bCs/>
        </w:rPr>
        <w:t xml:space="preserve">Operational Productivity: </w:t>
      </w:r>
      <w:r>
        <w:t>Databricks could enable NOVA to reduce manual data pulls, spreadsheet manipulation, and fragmented system-hopping, potentially saving analyst hours and shifting focus from manual data aggregation to high-value strategic decision support.</w:t>
      </w:r>
    </w:p>
    <w:p w14:paraId="5FA4DA37" w14:textId="77777777" w:rsidR="00FB1E0E" w:rsidRDefault="00873774">
      <w:pPr>
        <w:pStyle w:val="ListParagraph"/>
        <w:numPr>
          <w:ilvl w:val="0"/>
          <w:numId w:val="2"/>
        </w:numPr>
        <w:spacing w:after="100" w:line="276" w:lineRule="auto"/>
      </w:pPr>
      <w:r>
        <w:rPr>
          <w:b/>
          <w:bCs/>
        </w:rPr>
        <w:t xml:space="preserve">Risk Mitigation and Audit Readiness: </w:t>
      </w:r>
      <w:r>
        <w:t>Built-in data lineage, model tracking, and governance via Unity Catalog support audit readiness and reduce manual evidence gathering during internal audits and regulatory reviews under E-23, provided NOVA successfully connects these records to its external retrieval and agent execution logs.</w:t>
      </w:r>
    </w:p>
    <w:p w14:paraId="52546851" w14:textId="77777777" w:rsidR="00FB1E0E" w:rsidRDefault="00873774">
      <w:pPr>
        <w:pStyle w:val="Heading2"/>
      </w:pPr>
      <w:r>
        <w:t>Cost Controls and Financial Governance</w:t>
      </w:r>
    </w:p>
    <w:p w14:paraId="0B32BA54" w14:textId="1F7FBB4A" w:rsidR="00FB1E0E" w:rsidRDefault="00873774">
      <w:pPr>
        <w:spacing w:after="160" w:line="276" w:lineRule="auto"/>
      </w:pPr>
      <w:r>
        <w:t xml:space="preserve">To keep spend disciplined, NOVA will run pipelines on jobs and serverless compute, enforce auto-termination and budget alerts, tag all workloads under LWF0, report unit costs quarterly (for example, cost per 1,000 documents ingested), and confirm with Lumina whether </w:t>
      </w:r>
      <w:r w:rsidR="00736875">
        <w:t>NAB</w:t>
      </w:r>
      <w:r>
        <w:t>'s commitment discount applies.</w:t>
      </w:r>
    </w:p>
    <w:p w14:paraId="3422E642" w14:textId="77777777" w:rsidR="00FB1E0E" w:rsidRDefault="00873774">
      <w:pPr>
        <w:pStyle w:val="Heading1"/>
      </w:pPr>
      <w:r>
        <w:lastRenderedPageBreak/>
        <w:t>Impact of Databricks Removal</w:t>
      </w:r>
    </w:p>
    <w:p w14:paraId="39E83F3A" w14:textId="77777777" w:rsidR="00FB1E0E" w:rsidRDefault="00873774">
      <w:pPr>
        <w:spacing w:after="160" w:line="276" w:lineRule="auto"/>
      </w:pPr>
      <w:r>
        <w:t xml:space="preserve">If Databricks were removed, existing indexes and application stores could continue serving some requests. NOVA's live document pipeline would need replacing, while the planned path to larger risk workloads and </w:t>
      </w:r>
      <w:proofErr w:type="spellStart"/>
      <w:r>
        <w:t>GraphRAG</w:t>
      </w:r>
      <w:proofErr w:type="spellEnd"/>
      <w:r>
        <w:t xml:space="preserve"> would need to be rebuilt or redesigned. That would require NOVA to reconnect processing, permissions, model records, and source evidence across whichever platforms took its place:</w:t>
      </w:r>
    </w:p>
    <w:p w14:paraId="1DCE7854" w14:textId="77777777" w:rsidR="00FB1E0E" w:rsidRDefault="00873774">
      <w:pPr>
        <w:pStyle w:val="ListParagraph"/>
        <w:numPr>
          <w:ilvl w:val="0"/>
          <w:numId w:val="2"/>
        </w:numPr>
        <w:spacing w:after="100" w:line="276" w:lineRule="auto"/>
      </w:pPr>
      <w:r>
        <w:rPr>
          <w:b/>
          <w:bCs/>
        </w:rPr>
        <w:t xml:space="preserve">Loss of Distributed Scale: </w:t>
      </w:r>
      <w:r>
        <w:t>Scaling risk analytics and stress testing beyond sample extracts would depend on implementing and validating equivalent distributed compute capacity.</w:t>
      </w:r>
    </w:p>
    <w:p w14:paraId="14EAE358" w14:textId="77777777" w:rsidR="00FB1E0E" w:rsidRDefault="00873774">
      <w:pPr>
        <w:pStyle w:val="ListParagraph"/>
        <w:numPr>
          <w:ilvl w:val="0"/>
          <w:numId w:val="2"/>
        </w:numPr>
        <w:spacing w:after="100" w:line="276" w:lineRule="auto"/>
      </w:pPr>
      <w:r>
        <w:rPr>
          <w:b/>
          <w:bCs/>
        </w:rPr>
        <w:t xml:space="preserve">Disruption to Knowledge Pipelines: </w:t>
      </w:r>
      <w:r>
        <w:t xml:space="preserve">Automated document ingestion and the planned path to </w:t>
      </w:r>
      <w:proofErr w:type="spellStart"/>
      <w:r>
        <w:t>GraphRAG</w:t>
      </w:r>
      <w:proofErr w:type="spellEnd"/>
      <w:r>
        <w:t xml:space="preserve"> updates would need to be rebuilt or redesigned.</w:t>
      </w:r>
    </w:p>
    <w:p w14:paraId="12205C9F" w14:textId="77777777" w:rsidR="00FB1E0E" w:rsidRDefault="00873774">
      <w:pPr>
        <w:pStyle w:val="ListParagraph"/>
        <w:numPr>
          <w:ilvl w:val="0"/>
          <w:numId w:val="2"/>
        </w:numPr>
        <w:spacing w:after="100" w:line="276" w:lineRule="auto"/>
      </w:pPr>
      <w:r>
        <w:rPr>
          <w:b/>
          <w:bCs/>
        </w:rPr>
        <w:t xml:space="preserve">Breakdown in Traceability: </w:t>
      </w:r>
      <w:r>
        <w:t>Data provenance would need to be rebuilt across the replacement platforms, increasing model risk and audit effort under E-23.</w:t>
      </w:r>
    </w:p>
    <w:p w14:paraId="7E8DF555" w14:textId="77777777" w:rsidR="00FB1E0E" w:rsidRDefault="00873774">
      <w:pPr>
        <w:pStyle w:val="ListParagraph"/>
        <w:numPr>
          <w:ilvl w:val="0"/>
          <w:numId w:val="2"/>
        </w:numPr>
        <w:spacing w:after="100" w:line="276" w:lineRule="auto"/>
      </w:pPr>
      <w:r>
        <w:rPr>
          <w:b/>
          <w:bCs/>
        </w:rPr>
        <w:t xml:space="preserve">Project Redesign: </w:t>
      </w:r>
      <w:r>
        <w:t>Work under review for production data access under LWF0 would need to be revised.</w:t>
      </w:r>
    </w:p>
    <w:sectPr w:rsidR="00FB1E0E">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92F38" w14:textId="77777777" w:rsidR="00873774" w:rsidRDefault="00873774">
      <w:r>
        <w:separator/>
      </w:r>
    </w:p>
  </w:endnote>
  <w:endnote w:type="continuationSeparator" w:id="0">
    <w:p w14:paraId="111C11D3" w14:textId="77777777" w:rsidR="00873774" w:rsidRDefault="00873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57C8" w14:textId="77777777" w:rsidR="00FB1E0E" w:rsidRDefault="00873774">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3687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5340" w14:textId="77777777" w:rsidR="00873774" w:rsidRDefault="00873774">
      <w:r>
        <w:separator/>
      </w:r>
    </w:p>
  </w:footnote>
  <w:footnote w:type="continuationSeparator" w:id="0">
    <w:p w14:paraId="7AA7CBB0" w14:textId="77777777" w:rsidR="00873774" w:rsidRDefault="00873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7DA1" w14:textId="77777777" w:rsidR="00FB1E0E" w:rsidRDefault="00873774">
    <w:pPr>
      <w:jc w:val="right"/>
    </w:pPr>
    <w:r>
      <w:rPr>
        <w:color w:val="808080"/>
        <w:sz w:val="16"/>
        <w:szCs w:val="16"/>
      </w:rPr>
      <w:t>Strategic Justification for Databricks within NOVA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2202D"/>
    <w:multiLevelType w:val="hybridMultilevel"/>
    <w:tmpl w:val="31E8FC5A"/>
    <w:lvl w:ilvl="0" w:tplc="91BA2C14">
      <w:start w:val="1"/>
      <w:numFmt w:val="decimal"/>
      <w:lvlText w:val="%1."/>
      <w:lvlJc w:val="left"/>
      <w:pPr>
        <w:ind w:left="540" w:hanging="360"/>
      </w:pPr>
    </w:lvl>
    <w:lvl w:ilvl="1" w:tplc="6EDE9ED2">
      <w:numFmt w:val="decimal"/>
      <w:lvlText w:val=""/>
      <w:lvlJc w:val="left"/>
    </w:lvl>
    <w:lvl w:ilvl="2" w:tplc="4782A41A">
      <w:numFmt w:val="decimal"/>
      <w:lvlText w:val=""/>
      <w:lvlJc w:val="left"/>
    </w:lvl>
    <w:lvl w:ilvl="3" w:tplc="1B640C88">
      <w:numFmt w:val="decimal"/>
      <w:lvlText w:val=""/>
      <w:lvlJc w:val="left"/>
    </w:lvl>
    <w:lvl w:ilvl="4" w:tplc="0E448620">
      <w:numFmt w:val="decimal"/>
      <w:lvlText w:val=""/>
      <w:lvlJc w:val="left"/>
    </w:lvl>
    <w:lvl w:ilvl="5" w:tplc="0F2C828C">
      <w:numFmt w:val="decimal"/>
      <w:lvlText w:val=""/>
      <w:lvlJc w:val="left"/>
    </w:lvl>
    <w:lvl w:ilvl="6" w:tplc="A6D4B49E">
      <w:numFmt w:val="decimal"/>
      <w:lvlText w:val=""/>
      <w:lvlJc w:val="left"/>
    </w:lvl>
    <w:lvl w:ilvl="7" w:tplc="82600076">
      <w:numFmt w:val="decimal"/>
      <w:lvlText w:val=""/>
      <w:lvlJc w:val="left"/>
    </w:lvl>
    <w:lvl w:ilvl="8" w:tplc="EDB4B58C">
      <w:numFmt w:val="decimal"/>
      <w:lvlText w:val=""/>
      <w:lvlJc w:val="left"/>
    </w:lvl>
  </w:abstractNum>
  <w:abstractNum w:abstractNumId="1" w15:restartNumberingAfterBreak="0">
    <w:nsid w:val="4C5471AF"/>
    <w:multiLevelType w:val="hybridMultilevel"/>
    <w:tmpl w:val="1F4AE57E"/>
    <w:lvl w:ilvl="0" w:tplc="94BA0A9A">
      <w:start w:val="1"/>
      <w:numFmt w:val="bullet"/>
      <w:lvlText w:val="●"/>
      <w:lvlJc w:val="left"/>
      <w:pPr>
        <w:ind w:left="720" w:hanging="360"/>
      </w:pPr>
    </w:lvl>
    <w:lvl w:ilvl="1" w:tplc="FB467158">
      <w:start w:val="1"/>
      <w:numFmt w:val="bullet"/>
      <w:lvlText w:val="○"/>
      <w:lvlJc w:val="left"/>
      <w:pPr>
        <w:ind w:left="1440" w:hanging="360"/>
      </w:pPr>
    </w:lvl>
    <w:lvl w:ilvl="2" w:tplc="9E0EEB04">
      <w:start w:val="1"/>
      <w:numFmt w:val="bullet"/>
      <w:lvlText w:val="■"/>
      <w:lvlJc w:val="left"/>
      <w:pPr>
        <w:ind w:left="2160" w:hanging="360"/>
      </w:pPr>
    </w:lvl>
    <w:lvl w:ilvl="3" w:tplc="B2F01C7E">
      <w:start w:val="1"/>
      <w:numFmt w:val="bullet"/>
      <w:lvlText w:val="●"/>
      <w:lvlJc w:val="left"/>
      <w:pPr>
        <w:ind w:left="2880" w:hanging="360"/>
      </w:pPr>
    </w:lvl>
    <w:lvl w:ilvl="4" w:tplc="6F46419A">
      <w:start w:val="1"/>
      <w:numFmt w:val="bullet"/>
      <w:lvlText w:val="○"/>
      <w:lvlJc w:val="left"/>
      <w:pPr>
        <w:ind w:left="3600" w:hanging="360"/>
      </w:pPr>
    </w:lvl>
    <w:lvl w:ilvl="5" w:tplc="3426E8E2">
      <w:start w:val="1"/>
      <w:numFmt w:val="bullet"/>
      <w:lvlText w:val="■"/>
      <w:lvlJc w:val="left"/>
      <w:pPr>
        <w:ind w:left="4320" w:hanging="360"/>
      </w:pPr>
    </w:lvl>
    <w:lvl w:ilvl="6" w:tplc="CE5E61C4">
      <w:start w:val="1"/>
      <w:numFmt w:val="bullet"/>
      <w:lvlText w:val="●"/>
      <w:lvlJc w:val="left"/>
      <w:pPr>
        <w:ind w:left="5040" w:hanging="360"/>
      </w:pPr>
    </w:lvl>
    <w:lvl w:ilvl="7" w:tplc="391A1A12">
      <w:start w:val="1"/>
      <w:numFmt w:val="bullet"/>
      <w:lvlText w:val="●"/>
      <w:lvlJc w:val="left"/>
      <w:pPr>
        <w:ind w:left="5760" w:hanging="360"/>
      </w:pPr>
    </w:lvl>
    <w:lvl w:ilvl="8" w:tplc="A28EC354">
      <w:start w:val="1"/>
      <w:numFmt w:val="bullet"/>
      <w:lvlText w:val="●"/>
      <w:lvlJc w:val="left"/>
      <w:pPr>
        <w:ind w:left="6480" w:hanging="360"/>
      </w:pPr>
    </w:lvl>
  </w:abstractNum>
  <w:abstractNum w:abstractNumId="2" w15:restartNumberingAfterBreak="0">
    <w:nsid w:val="78470D1F"/>
    <w:multiLevelType w:val="hybridMultilevel"/>
    <w:tmpl w:val="13E6BDA6"/>
    <w:lvl w:ilvl="0" w:tplc="19AC3106">
      <w:start w:val="1"/>
      <w:numFmt w:val="bullet"/>
      <w:lvlText w:val="•"/>
      <w:lvlJc w:val="left"/>
      <w:pPr>
        <w:ind w:left="540" w:hanging="270"/>
      </w:pPr>
    </w:lvl>
    <w:lvl w:ilvl="1" w:tplc="3670B768">
      <w:numFmt w:val="decimal"/>
      <w:lvlText w:val=""/>
      <w:lvlJc w:val="left"/>
    </w:lvl>
    <w:lvl w:ilvl="2" w:tplc="9A10D300">
      <w:numFmt w:val="decimal"/>
      <w:lvlText w:val=""/>
      <w:lvlJc w:val="left"/>
    </w:lvl>
    <w:lvl w:ilvl="3" w:tplc="344A8186">
      <w:numFmt w:val="decimal"/>
      <w:lvlText w:val=""/>
      <w:lvlJc w:val="left"/>
    </w:lvl>
    <w:lvl w:ilvl="4" w:tplc="835281BE">
      <w:numFmt w:val="decimal"/>
      <w:lvlText w:val=""/>
      <w:lvlJc w:val="left"/>
    </w:lvl>
    <w:lvl w:ilvl="5" w:tplc="D6B0BD54">
      <w:numFmt w:val="decimal"/>
      <w:lvlText w:val=""/>
      <w:lvlJc w:val="left"/>
    </w:lvl>
    <w:lvl w:ilvl="6" w:tplc="DCCAE840">
      <w:numFmt w:val="decimal"/>
      <w:lvlText w:val=""/>
      <w:lvlJc w:val="left"/>
    </w:lvl>
    <w:lvl w:ilvl="7" w:tplc="99747332">
      <w:numFmt w:val="decimal"/>
      <w:lvlText w:val=""/>
      <w:lvlJc w:val="left"/>
    </w:lvl>
    <w:lvl w:ilvl="8" w:tplc="D624CCBE">
      <w:numFmt w:val="decimal"/>
      <w:lvlText w:val=""/>
      <w:lvlJc w:val="left"/>
    </w:lvl>
  </w:abstractNum>
  <w:num w:numId="1" w16cid:durableId="85001219">
    <w:abstractNumId w:val="1"/>
    <w:lvlOverride w:ilvl="0">
      <w:startOverride w:val="1"/>
    </w:lvlOverride>
  </w:num>
  <w:num w:numId="2" w16cid:durableId="402264502">
    <w:abstractNumId w:val="2"/>
    <w:lvlOverride w:ilvl="0">
      <w:startOverride w:val="1"/>
    </w:lvlOverride>
  </w:num>
  <w:num w:numId="3" w16cid:durableId="731003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E0E"/>
    <w:rsid w:val="00736875"/>
    <w:rsid w:val="007E6B61"/>
    <w:rsid w:val="00873774"/>
    <w:rsid w:val="00FB1E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8AF9"/>
  <w15:docId w15:val="{F83D004D-B06F-4304-B13D-1FA7A18FC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0"/>
      <w:szCs w:val="30"/>
    </w:rPr>
  </w:style>
  <w:style w:type="paragraph" w:styleId="Heading2">
    <w:name w:val="heading 2"/>
    <w:uiPriority w:val="9"/>
    <w:unhideWhenUsed/>
    <w:qFormat/>
    <w:pPr>
      <w:keepNext/>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1694</Words>
  <Characters>9661</Characters>
  <Application>Microsoft Office Word</Application>
  <DocSecurity>0</DocSecurity>
  <Lines>80</Lines>
  <Paragraphs>22</Paragraphs>
  <ScaleCrop>false</ScaleCrop>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Nadine Thompson</cp:lastModifiedBy>
  <cp:revision>2</cp:revision>
  <dcterms:created xsi:type="dcterms:W3CDTF">2026-09-25T20:21:00Z</dcterms:created>
  <dcterms:modified xsi:type="dcterms:W3CDTF">2026-09-25T20:21:00Z</dcterms:modified>
</cp:coreProperties>
</file>