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A154B" w14:textId="77777777" w:rsidR="00CF4825" w:rsidRDefault="00E91E3B">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Strategic Justification for Databricks within NOVA</w:t>
      </w:r>
    </w:p>
    <w:p w14:paraId="065A154C" w14:textId="77777777" w:rsidR="00CF4825" w:rsidRDefault="00E91E3B">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Executive Summary</w:t>
      </w:r>
    </w:p>
    <w:p w14:paraId="065A154D" w14:textId="77777777" w:rsidR="00CF4825" w:rsidRDefault="00E91E3B">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As financial institutions face evolving regulatory expectations around artificial intelligence, robust governance frameworks have transitioned from best practices to regulatory mandates. For federally regulated financial institutions in Canada, the Office of the Superintendent of Financial Institutions (OSFI) revised Guideline E-23 – Model Risk Management (2027), effective May 1, 2027, establishing rigorous risk management requirements that explicitly encompass artificial intelligence, machine learning, and</w:t>
      </w:r>
      <w:r>
        <w:rPr>
          <w:rFonts w:ascii="Google Sans" w:eastAsia="Google Sans" w:hAnsi="Google Sans" w:cs="Google Sans"/>
          <w:color w:val="1F1F1F"/>
        </w:rPr>
        <w:t xml:space="preserve"> advanced analytical models.</w:t>
      </w:r>
    </w:p>
    <w:p w14:paraId="065A154E" w14:textId="77777777" w:rsidR="00CF4825" w:rsidRDefault="00E91E3B">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Within Corporate Treasury's strategic multi-agent artificial intelligence and advanced analytics platform, NOVA (Navigational Orchestrator for Value, Analytics &amp; Intelligence), meeting these heightened expectations requires end-to-end traceability. Every material answer, risk calculation, or model output generated by NOVA must be accountable, reproducible, and tied directly to its underlying sources: approved enterprise datasets, official policy passages, calculation versions, and agent execution traces.</w:t>
      </w:r>
    </w:p>
    <w:p w14:paraId="065A154F" w14:textId="77777777" w:rsidR="00CF4825" w:rsidRDefault="00E91E3B">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 xml:space="preserve">Databricks gives NOVA a governed processing path for enterprise data, Treasury documents, distributed analytics, and AI/ML development on ADLS Gen2. Its document pipeline operates today, and extending it to structured-data refinement, full-portfolio scenarios, and </w:t>
      </w:r>
      <w:proofErr w:type="spellStart"/>
      <w:r>
        <w:rPr>
          <w:rFonts w:ascii="Google Sans" w:eastAsia="Google Sans" w:hAnsi="Google Sans" w:cs="Google Sans"/>
          <w:color w:val="1F1F1F"/>
        </w:rPr>
        <w:t>GraphRAG</w:t>
      </w:r>
      <w:proofErr w:type="spellEnd"/>
      <w:r>
        <w:rPr>
          <w:rFonts w:ascii="Google Sans" w:eastAsia="Google Sans" w:hAnsi="Google Sans" w:cs="Google Sans"/>
          <w:color w:val="1F1F1F"/>
        </w:rPr>
        <w:t xml:space="preserve"> offers NOVA an integrated route to its planned capabilities. Databricks is not the lowest-cost option on raw compute pricing, but it is the best fit for NOVA's combined workload, and moving to an alternative would add migration and integration costs without delivering a better fit.</w:t>
      </w:r>
    </w:p>
    <w:p w14:paraId="065A1550" w14:textId="77777777" w:rsidR="00CF4825" w:rsidRDefault="00E91E3B">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Core Capabilities Powered by Databricks</w:t>
      </w:r>
    </w:p>
    <w:p w14:paraId="065A1551" w14:textId="77777777" w:rsidR="00CF4825" w:rsidRDefault="00E91E3B">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Databricks underpins NOVA by providing a unified environment for heavy data engineering and advanced analytics across both structured and unstructured domains:</w:t>
      </w:r>
    </w:p>
    <w:p w14:paraId="065A1552" w14:textId="77777777" w:rsidR="00CF4825" w:rsidRDefault="00E91E3B">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Structured Data Processing and Medallion Refinement</w:t>
      </w:r>
      <w:r>
        <w:rPr>
          <w:rFonts w:ascii="Google Sans" w:eastAsia="Google Sans" w:hAnsi="Google Sans" w:cs="Google Sans"/>
          <w:color w:val="1F1F1F"/>
        </w:rPr>
        <w:t xml:space="preserve"> - The architecture positions Databricks to run bronze, silver, and gold medallion pipelines to ingest, clean, and transform approved enterprise data from primary sources (such as LRM, EDW, EDL, and PDS) into trusted, analysis-ready structured tables.</w:t>
      </w:r>
    </w:p>
    <w:p w14:paraId="065A1553" w14:textId="77777777" w:rsidR="00CF4825" w:rsidRDefault="00E91E3B">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Massive-Scale Processing and Risk Calculations</w:t>
      </w:r>
      <w:r>
        <w:rPr>
          <w:rFonts w:ascii="Google Sans" w:eastAsia="Google Sans" w:hAnsi="Google Sans" w:cs="Google Sans"/>
          <w:color w:val="1F1F1F"/>
        </w:rPr>
        <w:t xml:space="preserve"> - NOVA is designed to execute full-portfolio risk, capital, and multi-scenario stress calculations that require distributed Python and Apache Spark compute capacity. These workloads cannot run efficiently at full scale in standard operational databases or single-node environments.</w:t>
      </w:r>
    </w:p>
    <w:p w14:paraId="065A1554" w14:textId="77777777" w:rsidR="00CF4825" w:rsidRDefault="00E91E3B">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Document Ingestion and Retrieval Architecture</w:t>
      </w:r>
      <w:r>
        <w:rPr>
          <w:rFonts w:ascii="Google Sans" w:eastAsia="Google Sans" w:hAnsi="Google Sans" w:cs="Google Sans"/>
          <w:color w:val="1F1F1F"/>
        </w:rPr>
        <w:t xml:space="preserve"> - Databricks processes regulatory </w:t>
      </w:r>
      <w:r>
        <w:rPr>
          <w:rFonts w:ascii="Google Sans" w:eastAsia="Google Sans" w:hAnsi="Google Sans" w:cs="Google Sans"/>
          <w:color w:val="1F1F1F"/>
        </w:rPr>
        <w:lastRenderedPageBreak/>
        <w:t xml:space="preserve">texts, internal policies, and unstructured documents at scale, feeding structured indexes in Elasticsearch and </w:t>
      </w:r>
      <w:proofErr w:type="spellStart"/>
      <w:r>
        <w:rPr>
          <w:rFonts w:ascii="Google Sans" w:eastAsia="Google Sans" w:hAnsi="Google Sans" w:cs="Google Sans"/>
          <w:color w:val="1F1F1F"/>
        </w:rPr>
        <w:t>PGVector</w:t>
      </w:r>
      <w:proofErr w:type="spellEnd"/>
      <w:r>
        <w:rPr>
          <w:rFonts w:ascii="Google Sans" w:eastAsia="Google Sans" w:hAnsi="Google Sans" w:cs="Google Sans"/>
          <w:color w:val="1F1F1F"/>
        </w:rPr>
        <w:t xml:space="preserve"> to support retrieval-augmented generation. This runs today.</w:t>
      </w:r>
    </w:p>
    <w:p w14:paraId="065A1555" w14:textId="77777777" w:rsidR="00CF4825" w:rsidRDefault="00E91E3B">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Knowledge Graph Preparation</w:t>
      </w:r>
      <w:r>
        <w:rPr>
          <w:rFonts w:ascii="Google Sans" w:eastAsia="Google Sans" w:hAnsi="Google Sans" w:cs="Google Sans"/>
          <w:color w:val="1F1F1F"/>
        </w:rPr>
        <w:t xml:space="preserve"> - Databricks will process NOVA's structured enterprise data and unstructured documents to identify and refresh relationships among Treasury entities, products, measures, policies, and regulatory requirements. The architecture includes Neo4j as the knowledge graph database for those relationships. NOVA plans to use the graph alongside source passages and enterprise data to provide richer context for </w:t>
      </w:r>
      <w:proofErr w:type="spellStart"/>
      <w:r>
        <w:rPr>
          <w:rFonts w:ascii="Google Sans" w:eastAsia="Google Sans" w:hAnsi="Google Sans" w:cs="Google Sans"/>
          <w:color w:val="1F1F1F"/>
        </w:rPr>
        <w:t>GraphRAG</w:t>
      </w:r>
      <w:proofErr w:type="spellEnd"/>
      <w:r>
        <w:rPr>
          <w:rFonts w:ascii="Google Sans" w:eastAsia="Google Sans" w:hAnsi="Google Sans" w:cs="Google Sans"/>
          <w:color w:val="1F1F1F"/>
        </w:rPr>
        <w:t xml:space="preserve"> answers.</w:t>
      </w:r>
    </w:p>
    <w:p w14:paraId="065A1556" w14:textId="77777777" w:rsidR="00CF4825" w:rsidRDefault="00E91E3B">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Why Databricks Was Chosen over Alternative Platforms</w:t>
      </w:r>
    </w:p>
    <w:p w14:paraId="065A1557" w14:textId="77777777" w:rsidR="00CF4825" w:rsidRDefault="00E91E3B">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When NOVA was onboarded, Databricks was evaluated against alternative enterprise data platforms such as Snowflake and Microsoft Fabric. It was selected because its combined architecture best aligns with NOVA's dual requirements for structured analytics and unstructured intelligence:</w:t>
      </w:r>
    </w:p>
    <w:p w14:paraId="065A1558" w14:textId="77777777" w:rsidR="00CF4825" w:rsidRDefault="00E91E3B">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The Lakehouse Advantage</w:t>
      </w:r>
      <w:r>
        <w:rPr>
          <w:rFonts w:ascii="Google Sans" w:eastAsia="Google Sans" w:hAnsi="Google Sans" w:cs="Google Sans"/>
          <w:color w:val="1F1F1F"/>
        </w:rPr>
        <w:t xml:space="preserve"> - Traditional data warehouses are optimized primarily for SQL analytics. Databricks natively unifies flexible raw storage with Atomicity, Consistency, Isolation, and Durability (ACID) compliant structured tables via Delta Lake and distributed Python execution.</w:t>
      </w:r>
    </w:p>
    <w:p w14:paraId="065A1559" w14:textId="77777777" w:rsidR="00CF4825" w:rsidRDefault="00E91E3B">
      <w:pPr>
        <w:numPr>
          <w:ilvl w:val="0"/>
          <w:numId w:val="2"/>
        </w:numPr>
        <w:pBdr>
          <w:top w:val="nil"/>
          <w:left w:val="nil"/>
          <w:bottom w:val="nil"/>
          <w:right w:val="nil"/>
          <w:between w:val="nil"/>
        </w:pBdr>
        <w:spacing w:after="120" w:line="275" w:lineRule="auto"/>
      </w:pPr>
      <w:r>
        <w:rPr>
          <w:rFonts w:ascii="Google Sans" w:eastAsia="Google Sans" w:hAnsi="Google Sans" w:cs="Google Sans"/>
          <w:b/>
          <w:bCs/>
          <w:color w:val="1F1F1F"/>
        </w:rPr>
        <w:t>Platform Comparison and Workload Fit</w:t>
      </w:r>
      <w:r>
        <w:rPr>
          <w:rFonts w:ascii="Google Sans" w:eastAsia="Google Sans" w:hAnsi="Google Sans" w:cs="Google Sans"/>
          <w:color w:val="1F1F1F"/>
        </w:rPr>
        <w:t xml:space="preserve"> - Snowflake and Fabric can support substantial parts of NOVA's workload, and PostgreSQL remains well suited to NOVA's application data. Databricks is the more mature environment for NOVA's heaviest workloads: custom Python processing, large-scale document pipelines, and model development. Moving to either alternative would also require migrating NOVA's existing document pipeline and establishing an equivalent approach to distributed processing, governance, and source-to-result evidence.</w:t>
      </w:r>
    </w:p>
    <w:p w14:paraId="065A155A" w14:textId="77777777" w:rsidR="00CF4825" w:rsidRDefault="00E91E3B">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Investment Case and Cost Controls</w:t>
      </w:r>
    </w:p>
    <w:p w14:paraId="065A155B" w14:textId="77777777" w:rsidR="00CF4825" w:rsidRDefault="00E91E3B">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Platform Costs and Workflow Economics</w:t>
      </w:r>
    </w:p>
    <w:p w14:paraId="065A155C" w14:textId="3299F4CB" w:rsidR="00CF4825" w:rsidRDefault="00E91E3B">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 xml:space="preserve">Databricks' investment case rests on the cost and value of NOVA's complete workflow, not an assumed advantage in unit pricing. Published Snowflake prices illustrate the limits of a rate comparison: in Azure Canada Central, on-demand credits cost USD 2.25 for Standard, USD 3.50 for Enterprise, and USD 4.50 for Business Critical. A Medium warehouse running for 100 hours would consume 400 credits, costing USD 900, USD 1,400, or USD 1,800 for warehouse compute alone. These figures exclude other services and </w:t>
      </w:r>
      <w:r w:rsidR="007B60B4">
        <w:rPr>
          <w:rFonts w:ascii="Google Sans" w:eastAsia="Google Sans" w:hAnsi="Google Sans" w:cs="Google Sans"/>
          <w:color w:val="1F1F1F"/>
        </w:rPr>
        <w:t>HAB</w:t>
      </w:r>
      <w:r>
        <w:rPr>
          <w:rFonts w:ascii="Google Sans" w:eastAsia="Google Sans" w:hAnsi="Google Sans" w:cs="Google Sans"/>
          <w:color w:val="1F1F1F"/>
        </w:rPr>
        <w:t>'s contractual terms. NOVA should compare each viable design using effective prices and the same document, data, modelling, and scenario workloads, including migration, integration, and support costs.</w:t>
      </w:r>
    </w:p>
    <w:p w14:paraId="065A155D" w14:textId="77777777" w:rsidR="00CF4825" w:rsidRDefault="00E91E3B">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Justification for Investment</w:t>
      </w:r>
    </w:p>
    <w:p w14:paraId="065A155E" w14:textId="77777777" w:rsidR="00CF4825" w:rsidRDefault="00E91E3B">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Unified Total Cost of Ownership</w:t>
      </w:r>
      <w:r>
        <w:rPr>
          <w:rFonts w:ascii="Google Sans" w:eastAsia="Google Sans" w:hAnsi="Google Sans" w:cs="Google Sans"/>
          <w:color w:val="1F1F1F"/>
        </w:rPr>
        <w:t xml:space="preserve"> - Unifying document processing, data refinement, risk analytics, and governance onto a single platform could reduce duplicated pipelines and vendor management overhead compared to a multi-system baseline.</w:t>
      </w:r>
    </w:p>
    <w:p w14:paraId="065A155F" w14:textId="77777777" w:rsidR="00CF4825" w:rsidRDefault="00E91E3B">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Serverless Economics</w:t>
      </w:r>
      <w:r>
        <w:rPr>
          <w:rFonts w:ascii="Google Sans" w:eastAsia="Google Sans" w:hAnsi="Google Sans" w:cs="Google Sans"/>
          <w:color w:val="1F1F1F"/>
        </w:rPr>
        <w:t xml:space="preserve"> - Serverless options scale down to zero when idle, making them potentially cost-effective for intermittent batch workloads while tying costs directly to usage and value.</w:t>
      </w:r>
    </w:p>
    <w:p w14:paraId="065A1560" w14:textId="77777777" w:rsidR="00CF4825" w:rsidRDefault="00E91E3B">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Operational Productivity</w:t>
      </w:r>
      <w:r>
        <w:rPr>
          <w:rFonts w:ascii="Google Sans" w:eastAsia="Google Sans" w:hAnsi="Google Sans" w:cs="Google Sans"/>
          <w:color w:val="1F1F1F"/>
        </w:rPr>
        <w:t xml:space="preserve"> - Databricks could enable NOVA to reduce manual data pulls, spreadsheet manipulation, and fragmented system-hopping, potentially saving analyst hours and shifting focus from manual data aggregation to high-value strategic decision support.</w:t>
      </w:r>
    </w:p>
    <w:p w14:paraId="065A1561" w14:textId="77777777" w:rsidR="00CF4825" w:rsidRDefault="00E91E3B">
      <w:pPr>
        <w:numPr>
          <w:ilvl w:val="0"/>
          <w:numId w:val="3"/>
        </w:numPr>
        <w:pBdr>
          <w:top w:val="nil"/>
          <w:left w:val="nil"/>
          <w:bottom w:val="nil"/>
          <w:right w:val="nil"/>
          <w:between w:val="nil"/>
        </w:pBdr>
        <w:spacing w:after="120" w:line="275" w:lineRule="auto"/>
      </w:pPr>
      <w:r>
        <w:rPr>
          <w:rFonts w:ascii="Google Sans" w:eastAsia="Google Sans" w:hAnsi="Google Sans" w:cs="Google Sans"/>
          <w:b/>
          <w:bCs/>
          <w:color w:val="1F1F1F"/>
        </w:rPr>
        <w:t>Risk Mitigation and Audit Readiness</w:t>
      </w:r>
      <w:r>
        <w:rPr>
          <w:rFonts w:ascii="Google Sans" w:eastAsia="Google Sans" w:hAnsi="Google Sans" w:cs="Google Sans"/>
          <w:color w:val="1F1F1F"/>
        </w:rPr>
        <w:t xml:space="preserve"> - Built-in data lineage, model tracking, and governance via Unity Catalog support audit readiness and reduce manual evidence gathering during internal audits and regulatory reviews under E-23, provided NOVA successfully connects these records to its external retrieval and agent execution logs.</w:t>
      </w:r>
    </w:p>
    <w:p w14:paraId="065A1562" w14:textId="77777777" w:rsidR="00CF4825" w:rsidRDefault="00E91E3B">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Cost Controls and Financial Governance</w:t>
      </w:r>
    </w:p>
    <w:p w14:paraId="065A1563" w14:textId="53B10D19" w:rsidR="00CF4825" w:rsidRDefault="00E91E3B">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To keep spend disciplined, NOVA will run pipelines on jobs and serverless compute, enforce auto-termination and budget alerts, tag all workloads under</w:t>
      </w:r>
      <w:r>
        <w:rPr>
          <w:rFonts w:ascii="Google Sans" w:eastAsia="Google Sans" w:hAnsi="Google Sans" w:cs="Google Sans"/>
          <w:color w:val="1F1F1F"/>
        </w:rPr>
        <w:t xml:space="preserve"> </w:t>
      </w:r>
      <w:r w:rsidRPr="00A704A6">
        <w:rPr>
          <w:rFonts w:ascii="Google Sans" w:eastAsia="Google Sans" w:hAnsi="Google Sans" w:cs="Google Sans"/>
          <w:color w:val="1F1F1F"/>
          <w:highlight w:val="yellow"/>
        </w:rPr>
        <w:t>WF</w:t>
      </w:r>
      <w:r>
        <w:rPr>
          <w:rFonts w:ascii="Google Sans" w:eastAsia="Google Sans" w:hAnsi="Google Sans" w:cs="Google Sans"/>
          <w:color w:val="1F1F1F"/>
        </w:rPr>
        <w:t xml:space="preserve">, report unit costs quarterly (for example, cost per 1,000 documents ingested), and confirm with </w:t>
      </w:r>
      <w:r w:rsidR="007B60B4">
        <w:rPr>
          <w:rFonts w:ascii="Google Sans" w:eastAsia="Google Sans" w:hAnsi="Google Sans" w:cs="Google Sans"/>
          <w:color w:val="1F1F1F"/>
        </w:rPr>
        <w:t>MINE</w:t>
      </w:r>
      <w:r>
        <w:rPr>
          <w:rFonts w:ascii="Google Sans" w:eastAsia="Google Sans" w:hAnsi="Google Sans" w:cs="Google Sans"/>
          <w:color w:val="1F1F1F"/>
        </w:rPr>
        <w:t xml:space="preserve"> whether </w:t>
      </w:r>
      <w:r w:rsidR="007B60B4">
        <w:rPr>
          <w:rFonts w:ascii="Google Sans" w:eastAsia="Google Sans" w:hAnsi="Google Sans" w:cs="Google Sans"/>
          <w:color w:val="1F1F1F"/>
        </w:rPr>
        <w:t>HAB</w:t>
      </w:r>
      <w:r>
        <w:rPr>
          <w:rFonts w:ascii="Google Sans" w:eastAsia="Google Sans" w:hAnsi="Google Sans" w:cs="Google Sans"/>
          <w:color w:val="1F1F1F"/>
        </w:rPr>
        <w:t>'s commitment discount applies.</w:t>
      </w:r>
    </w:p>
    <w:p w14:paraId="065A1564" w14:textId="77777777" w:rsidR="00CF4825" w:rsidRDefault="00E91E3B">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Impact of Databricks Removal</w:t>
      </w:r>
    </w:p>
    <w:p w14:paraId="065A1565" w14:textId="77777777" w:rsidR="00CF4825" w:rsidRDefault="00E91E3B">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If Databricks were removed, existing indexes and application stores could continue serving some requests. NOVA's live document pipeline would need replacing, while the planned path to larger risk workloads and </w:t>
      </w:r>
      <w:proofErr w:type="spellStart"/>
      <w:r>
        <w:rPr>
          <w:rFonts w:ascii="Google Sans" w:eastAsia="Google Sans" w:hAnsi="Google Sans" w:cs="Google Sans"/>
          <w:color w:val="1F1F1F"/>
        </w:rPr>
        <w:t>GraphRAG</w:t>
      </w:r>
      <w:proofErr w:type="spellEnd"/>
      <w:r>
        <w:rPr>
          <w:rFonts w:ascii="Google Sans" w:eastAsia="Google Sans" w:hAnsi="Google Sans" w:cs="Google Sans"/>
          <w:color w:val="1F1F1F"/>
        </w:rPr>
        <w:t xml:space="preserve"> would need to be rebuilt or redesigned. That would require NOVA to reconnect processing, permissions, model records, and source evidence across whichever platforms took its place:</w:t>
      </w:r>
    </w:p>
    <w:p w14:paraId="065A1566" w14:textId="77777777" w:rsidR="00CF4825" w:rsidRDefault="00E91E3B">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Loss of Distributed Scale</w:t>
      </w:r>
      <w:r>
        <w:rPr>
          <w:rFonts w:ascii="Google Sans" w:eastAsia="Google Sans" w:hAnsi="Google Sans" w:cs="Google Sans"/>
          <w:color w:val="1F1F1F"/>
        </w:rPr>
        <w:t xml:space="preserve"> - Scaling risk analytics and stress testing beyond sample extracts would depend on implementing and validating equivalent distributed compute capacity.</w:t>
      </w:r>
    </w:p>
    <w:p w14:paraId="065A1567" w14:textId="77777777" w:rsidR="00CF4825" w:rsidRDefault="00E91E3B">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Disruption to Knowledge Pipelines</w:t>
      </w:r>
      <w:r>
        <w:rPr>
          <w:rFonts w:ascii="Google Sans" w:eastAsia="Google Sans" w:hAnsi="Google Sans" w:cs="Google Sans"/>
          <w:color w:val="1F1F1F"/>
        </w:rPr>
        <w:t xml:space="preserve"> - Automated document ingestion and the planned path to </w:t>
      </w:r>
      <w:proofErr w:type="spellStart"/>
      <w:r>
        <w:rPr>
          <w:rFonts w:ascii="Google Sans" w:eastAsia="Google Sans" w:hAnsi="Google Sans" w:cs="Google Sans"/>
          <w:color w:val="1F1F1F"/>
        </w:rPr>
        <w:t>GraphRAG</w:t>
      </w:r>
      <w:proofErr w:type="spellEnd"/>
      <w:r>
        <w:rPr>
          <w:rFonts w:ascii="Google Sans" w:eastAsia="Google Sans" w:hAnsi="Google Sans" w:cs="Google Sans"/>
          <w:color w:val="1F1F1F"/>
        </w:rPr>
        <w:t xml:space="preserve"> updates would need to be rebuilt or redesigned.</w:t>
      </w:r>
    </w:p>
    <w:p w14:paraId="065A1568" w14:textId="77777777" w:rsidR="00CF4825" w:rsidRDefault="00E91E3B">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Breakdown in Traceability</w:t>
      </w:r>
      <w:r>
        <w:rPr>
          <w:rFonts w:ascii="Google Sans" w:eastAsia="Google Sans" w:hAnsi="Google Sans" w:cs="Google Sans"/>
          <w:color w:val="1F1F1F"/>
        </w:rPr>
        <w:t xml:space="preserve"> - Data provenance would need to be rebuilt across the replacement platforms, increasing model risk and audit effort under E-23.</w:t>
      </w:r>
    </w:p>
    <w:p w14:paraId="065A1569" w14:textId="77777777" w:rsidR="00CF4825" w:rsidRDefault="00E91E3B">
      <w:pPr>
        <w:numPr>
          <w:ilvl w:val="0"/>
          <w:numId w:val="4"/>
        </w:numPr>
        <w:pBdr>
          <w:top w:val="nil"/>
          <w:left w:val="nil"/>
          <w:bottom w:val="nil"/>
          <w:right w:val="nil"/>
          <w:between w:val="nil"/>
        </w:pBdr>
        <w:spacing w:after="120" w:line="275" w:lineRule="auto"/>
      </w:pPr>
      <w:r>
        <w:rPr>
          <w:rFonts w:ascii="Google Sans" w:eastAsia="Google Sans" w:hAnsi="Google Sans" w:cs="Google Sans"/>
          <w:b/>
          <w:bCs/>
          <w:color w:val="1F1F1F"/>
        </w:rPr>
        <w:t>Project Redesign</w:t>
      </w:r>
      <w:r>
        <w:rPr>
          <w:rFonts w:ascii="Google Sans" w:eastAsia="Google Sans" w:hAnsi="Google Sans" w:cs="Google Sans"/>
          <w:color w:val="1F1F1F"/>
        </w:rPr>
        <w:t xml:space="preserve"> - Work under review for production data access under LWF0 would need to be revised.</w:t>
      </w:r>
    </w:p>
    <w:sectPr w:rsidR="00CF482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A1B83FF-9017-48E7-B6B9-5ADD45A0EF38}"/>
  </w:font>
  <w:font w:name="Google Sans">
    <w:altName w:val="Calibri"/>
    <w:charset w:val="00"/>
    <w:family w:val="auto"/>
    <w:pitch w:val="default"/>
    <w:embedRegular r:id="rId2" w:fontKey="{0AD2AD06-A268-4F1A-B3B7-5B410D890851}"/>
    <w:embedBold r:id="rId3" w:fontKey="{E0583EBD-4E0E-418B-83EB-9A06BABB6FB3}"/>
  </w:font>
  <w:font w:name="Calibri">
    <w:panose1 w:val="020F0502020204030204"/>
    <w:charset w:val="00"/>
    <w:family w:val="swiss"/>
    <w:pitch w:val="variable"/>
    <w:sig w:usb0="E4002EFF" w:usb1="C200247B" w:usb2="00000009" w:usb3="00000000" w:csb0="000001FF" w:csb1="00000000"/>
    <w:embedRegular r:id="rId4" w:fontKey="{D131EE6A-4D07-4C69-90D6-422ADBB98103}"/>
  </w:font>
  <w:font w:name="Cambria">
    <w:panose1 w:val="02040503050406030204"/>
    <w:charset w:val="00"/>
    <w:family w:val="roman"/>
    <w:pitch w:val="variable"/>
    <w:sig w:usb0="E00006FF" w:usb1="420024FF" w:usb2="02000000" w:usb3="00000000" w:csb0="0000019F" w:csb1="00000000"/>
    <w:embedRegular r:id="rId5" w:fontKey="{BFA780A6-F1C6-46FA-83BE-D6A9E00E1A6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C165D"/>
    <w:multiLevelType w:val="multilevel"/>
    <w:tmpl w:val="4724B15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2EA0046"/>
    <w:multiLevelType w:val="multilevel"/>
    <w:tmpl w:val="365CE35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8EF2A51"/>
    <w:multiLevelType w:val="multilevel"/>
    <w:tmpl w:val="22C8CC8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B734700"/>
    <w:multiLevelType w:val="multilevel"/>
    <w:tmpl w:val="3C76D7C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488130395">
    <w:abstractNumId w:val="2"/>
  </w:num>
  <w:num w:numId="2" w16cid:durableId="222185031">
    <w:abstractNumId w:val="0"/>
  </w:num>
  <w:num w:numId="3" w16cid:durableId="808593454">
    <w:abstractNumId w:val="1"/>
  </w:num>
  <w:num w:numId="4" w16cid:durableId="717016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825"/>
    <w:rsid w:val="0051346A"/>
    <w:rsid w:val="007B60B4"/>
    <w:rsid w:val="00A704A6"/>
    <w:rsid w:val="00CF4825"/>
    <w:rsid w:val="00E91E3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A154B"/>
  <w15:docId w15:val="{8A6B2AF1-332C-4282-8BAC-5661F201D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1126</Words>
  <Characters>6424</Characters>
  <Application>Microsoft Office Word</Application>
  <DocSecurity>0</DocSecurity>
  <Lines>53</Lines>
  <Paragraphs>15</Paragraphs>
  <ScaleCrop>false</ScaleCrop>
  <Company/>
  <LinksUpToDate>false</LinksUpToDate>
  <CharactersWithSpaces>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Nadine Thompson</cp:lastModifiedBy>
  <cp:revision>5</cp:revision>
  <dcterms:created xsi:type="dcterms:W3CDTF">2026-09-25T15:08:00Z</dcterms:created>
  <dcterms:modified xsi:type="dcterms:W3CDTF">2026-09-25T15:10:00Z</dcterms:modified>
</cp:coreProperties>
</file>