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OSFI Corpus Audit Report</w:t>
      </w:r>
    </w:p>
    <w:p>
      <w:pPr>
        <w:spacing w:after="8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NOVA Regulatory Content Corpus</w:t>
      </w:r>
    </w:p>
    <w:p>
      <w:pPr>
        <w:spacing w:after="4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Report Date: 25 March 2026 | Status: Final (Post-Remediation)</w:t>
      </w:r>
    </w:p>
    <w:p>
      <w:pPr>
        <w:pStyle w:val="Heading1"/>
      </w:pPr>
      <w:r>
        <w:t xml:space="preserve">1. Corpus Overview</w:t>
      </w:r>
    </w:p>
    <w:p>
      <w:pPr>
        <w:spacing w:after="200"/>
      </w:pPr>
      <w:r>
        <w:t xml:space="preserve">The OSFI corpus contains </w:t>
      </w:r>
      <w:r>
        <w:rPr>
          <w:b/>
          <w:bCs/>
        </w:rPr>
        <w:t xml:space="preserve">278 documents</w:t>
      </w:r>
      <w:r>
        <w:t xml:space="preserve"> from the Office of the Superintendent of Financial Institutions (Canada). It serves as the gold-standard reference corpus for the NOVA metadata pattern. Every document has a perfect 1:1 match across all four formats: JSON (metadata only), MD (readable text), HTML (original source), and PDF (rendered document).</w:t>
      </w:r>
    </w:p>
    <w:p>
      <w:pPr>
        <w:pStyle w:val="Heading2"/>
      </w:pPr>
      <w:r>
        <w:t xml:space="preserve">1.1 File 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(metadata)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Perfect 1:1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 (content)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Perfect 1:1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(source)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Perfect 1:1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(rendered)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Perfect 1:1</w:t>
            </w:r>
          </w:p>
        </w:tc>
      </w:tr>
    </w:tbl>
    <w:p>
      <w:pPr>
        <w:pStyle w:val="Heading1"/>
      </w:pPr>
      <w:r>
        <w:t xml:space="preserve">2. Metadata Quality</w:t>
      </w:r>
    </w:p>
    <w:p>
      <w:pPr>
        <w:spacing w:after="200"/>
      </w:pPr>
      <w:r>
        <w:t xml:space="preserve">All 278 JSON files contain metadata only. Each has 121 unique keys covering document identification, classification, regulatory context, and NOVA pipeline fields.</w:t>
      </w:r>
    </w:p>
    <w:p>
      <w:pPr>
        <w:pStyle w:val="Heading2"/>
      </w:pPr>
      <w:r>
        <w:t xml:space="preserve">2.1 Field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30"/>
        <w:gridCol w:w="34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doc_id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278/278 (100%)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278/278 (100%)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278/278 (100%)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regulator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278/278 (100%)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document_class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278/278 (100%)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nova_tier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278/278 (100%)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278/278 (100%)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citation_anchor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278/278 (100%)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from doc_id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section_path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278/278 (100%)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from regulator/class/guideline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short_title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278/278 (100%)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from title where missing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version_sort_key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278/278 (100%)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from effective_date_start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effective_date_start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278/278 (100%)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null fixed (interim arrangements doc)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sector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278/278 (100%)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nulls inferred from title/class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guideline_number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69/278 (24.8%)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Expected: only formal guidelines have numbers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Document Status and Supersession</w:t>
      </w:r>
    </w:p>
    <w:p>
      <w:pPr>
        <w:pStyle w:val="Heading2"/>
      </w:pPr>
      <w:r>
        <w:t xml:space="preserve">3.1 Status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final_current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superseded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final_future_effective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draft_or_consultation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2"/>
        <w:spacing w:before="300"/>
      </w:pPr>
      <w:r>
        <w:t xml:space="preserve">3.2 Supersession Chain Integrity</w:t>
      </w:r>
    </w:p>
    <w:p>
      <w:pPr>
        <w:spacing w:after="200"/>
      </w:pPr>
      <w:r>
        <w:t xml:space="preserve">All 20 superseded documents have valid forward links (superseded_by_doc_id resolves to a real document in the corpus). 9 replacement documents now have bidirectional reverse links (supersedes_doc_id). Multi-predecessor chains (e.g., LAR 2026 replacing 8 older chapters) are stored as arrays.</w:t>
      </w:r>
    </w:p>
    <w:p>
      <w:pPr>
        <w:pStyle w:val="Heading1"/>
      </w:pPr>
      <w:r>
        <w:t xml:space="preserve">4. PDF Quality Assessment</w:t>
      </w:r>
    </w:p>
    <w:p>
      <w:pPr>
        <w:spacing w:after="200"/>
      </w:pPr>
      <w:r>
        <w:t xml:space="preserve">48 truncated PDFs were identified (HTML-to-PDF conversion failures on complex tables and layouts). 45 were successfully regenerated from HTML sources using weasyprint, significantly improving content ratios. 3 remain below 70% due to genuine source content limitations (not conversion failures). The markdown files contain the complete, authoritative content for all documents.</w:t>
      </w:r>
    </w:p>
    <w:p>
      <w:pPr>
        <w:pStyle w:val="Heading1"/>
      </w:pPr>
      <w:r>
        <w:t xml:space="preserve">5. Folder Structure</w:t>
      </w:r>
    </w:p>
    <w:p>
      <w:pPr>
        <w:spacing w:after="200"/>
      </w:pPr>
      <w:r>
        <w:t xml:space="preserve">The corpus follows a clean four-folder layout: json/ (metadata only), md/ (readable text content), html/ (original HTML source), pdf/ (rendered documents). All scraper scripts, build artifacts, duplicate ZIP archives, and __pycache__ directories have been removed. NOVA specification documents and audit reports have been moved to a dedicated docs/ folder at the project root.</w:t>
      </w:r>
    </w:p>
    <w:p>
      <w:pPr>
        <w:pStyle w:val="Heading1"/>
      </w:pPr>
      <w:r>
        <w:t xml:space="preserve">6. Remediation Summary</w:t>
      </w:r>
    </w:p>
    <w:p>
      <w:pPr>
        <w:spacing w:after="100"/>
      </w:pPr>
      <w:r>
        <w:rPr>
          <w:b/>
          <w:bCs/>
        </w:rPr>
        <w:t xml:space="preserve">Reverse supersession links: </w:t>
      </w:r>
      <w:r>
        <w:t xml:space="preserve">11 missing reverse links populated across 8 replacement documents.</w:t>
      </w:r>
    </w:p>
    <w:p>
      <w:pPr>
        <w:spacing w:after="100"/>
      </w:pPr>
      <w:r>
        <w:rPr>
          <w:b/>
          <w:bCs/>
        </w:rPr>
        <w:t xml:space="preserve">Metadata gaps filled: </w:t>
      </w:r>
      <w:r>
        <w:t xml:space="preserve">citation_anchor (0% to 100%), section_path (0% to 100%), short_title (78% to 100%), version_sort_key (51% to 100%), effective_date_start (99.6% to 100%), sector (93.5% to 100%).</w:t>
      </w:r>
    </w:p>
    <w:p>
      <w:pPr>
        <w:spacing w:after="100"/>
      </w:pPr>
      <w:r>
        <w:rPr>
          <w:b/>
          <w:bCs/>
        </w:rPr>
        <w:t xml:space="preserve">Truncated PDFs: </w:t>
      </w:r>
      <w:r>
        <w:t xml:space="preserve">45 of 48 truncated PDFs regenerated from HTML sources. 3 remaining below threshold due to source limitations.</w:t>
      </w:r>
    </w:p>
    <w:p>
      <w:pPr>
        <w:spacing w:after="100"/>
      </w:pPr>
      <w:r>
        <w:rPr>
          <w:b/>
          <w:bCs/>
        </w:rPr>
        <w:t xml:space="preserve">Root cleanup: </w:t>
      </w:r>
      <w:r>
        <w:t xml:space="preserve">Removed 2 ZIP archives (OSFI_Guidance.zip, OSFI_Guidance_Complete.zip), temp file (ziOHw7O8), __pycache__/, scraper script (scrape_osfi_guidance.py), and 6 spec/layout files.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OSFI Corpus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2026-03-26T02:05:11.293Z</dcterms:created>
  <dcterms:modified xsi:type="dcterms:W3CDTF">2026-03-26T02:05:11.293Z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