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4"/>
          <w:szCs w:val="44"/>
        </w:rPr>
        <w:t xml:space="preserve">OSFI Guidance Library</w:t>
      </w:r>
    </w:p>
    <w:p>
      <w:pPr>
        <w:spacing w:after="100"/>
        <w:jc w:val="center"/>
      </w:pPr>
      <w:r>
        <w:rPr>
          <w:rFonts w:ascii="Arial" w:cs="Arial" w:eastAsia="Arial" w:hAnsi="Arial"/>
          <w:b/>
          <w:bCs/>
          <w:color w:val="2E75B6"/>
          <w:sz w:val="36"/>
          <w:szCs w:val="36"/>
        </w:rPr>
        <w:t xml:space="preserve">Scraped Content &amp; Metadata Audit Report</w:t>
      </w:r>
    </w:p>
    <w:p>
      <w:pPr>
        <w:spacing w:after="400"/>
        <w:jc w:val="center"/>
      </w:pPr>
      <w:r>
        <w:rPr>
          <w:rFonts w:ascii="Arial" w:cs="Arial" w:eastAsia="Arial" w:hAnsi="Arial"/>
          <w:color w:val="808080"/>
          <w:sz w:val="22"/>
          <w:szCs w:val="22"/>
        </w:rPr>
        <w:t xml:space="preserve">March 24, 2026 | NOVA RAG Pipeline QA</w:t>
      </w:r>
    </w:p>
    <w:p>
      <w:pPr>
        <w:pStyle w:val="Heading1"/>
      </w:pPr>
      <w:r>
        <w:t xml:space="preserve">1. Executive Summary</w:t>
      </w:r>
    </w:p>
    <w:p>
      <w:pPr>
        <w:spacing w:after="200"/>
      </w:pPr>
      <w:r>
        <w:t xml:space="preserve">This audit reviewed all 277 scraped OSFI Guidance Library documents across JSON, HTML, Markdown, and PDF formats. The review assessed content completeness, metadata accuracy, noise contamination, naming consistency, and data integrity for use in the NOVA RAG pipeline.</w:t>
      </w:r>
    </w:p>
    <w:p>
      <w:pPr>
        <w:spacing w:after="200"/>
      </w:pPr>
      <w:r>
        <w:rPr>
          <w:b/>
          <w:bCs/>
        </w:rPr>
        <w:t xml:space="preserve">Overall Assessment: </w:t>
      </w:r>
      <w:r>
        <w:t xml:space="preserve">The scrape is substantially complete and high quality. All 277 documents have content files across all formats, 116 metadata fields per document are richly populated, and content noise is minimal. There are actionable issues that should be addressed before production ingestion, detailed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files per document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 HTML + MD + PDF (all present)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fields per document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Noise-free files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244 / 277 (88%)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score: Excellent (0.8–1.0)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documents (72%)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Quality score: Medium (0.3–0.6)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76 documents (27%)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doc_ids requiring fix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(affecting 34 entries)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Supersession chains broken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 all valid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issues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categories</w:t>
            </w:r>
          </w:p>
        </w:tc>
      </w:tr>
    </w:tbl>
    <w:p>
      <w:r>
        <w:br w:type="page"/>
      </w:r>
    </w:p>
    <w:p>
      <w:pPr>
        <w:pStyle w:val="Heading1"/>
      </w:pPr>
      <w:r>
        <w:t xml:space="preserve">2. File Inventory &amp; Cross-Reference</w:t>
      </w:r>
    </w:p>
    <w:p>
      <w:pPr>
        <w:pStyle w:val="Heading2"/>
      </w:pPr>
      <w:r>
        <w:t xml:space="preserve">2.1 File Counts by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Naming Convention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(canonical)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Underscore (title-based)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HTML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553 (277 + 276)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Dual: underscore + slug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553 (277 + 276)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underscore + slug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Underscore (title-based)</w:t>
            </w:r>
          </w:p>
        </w:tc>
      </w:tr>
    </w:tbl>
    <w:p>
      <w:pPr>
        <w:spacing w:after="200" w:before="200"/>
      </w:pPr>
      <w:r>
        <w:t xml:space="preserve">The HTML and MD directories each contain 553 files due to two scraper runs producing both underscore-named (title-based) and slug-named (URL-based) copies. All 277 metadata entries successfully match to content files in every format. There are no orphan files and no missing content.</w:t>
      </w:r>
    </w:p>
    <w:p>
      <w:pPr>
        <w:pStyle w:val="Heading2"/>
      </w:pPr>
      <w:r>
        <w:t xml:space="preserve">2.2 Naming Convention Issue</w:t>
      </w:r>
    </w:p>
    <w:p>
      <w:pPr>
        <w:spacing w:after="200"/>
      </w:pPr>
      <w:r>
        <w:rPr>
          <w:b/>
          <w:bCs/>
          <w:color w:val="C00000"/>
        </w:rPr>
        <w:t xml:space="preserve">Recommendation: </w:t>
      </w:r>
      <w:r>
        <w:t xml:space="preserve">Deduplicate the 276 slug-named copies in html/ and md/ directories. These are redundant with the 277 underscore-named originals. Alternatively, standardize on slug naming to match the canonical_json_path field in metadata (which uses slug-based paths like silver/osfi/json/final_current/2024-minimum-capital-test-mct-letter-2023.json).</w:t>
      </w:r>
    </w:p>
    <w:p>
      <w:pPr>
        <w:pStyle w:val="Heading1"/>
      </w:pPr>
      <w:r>
        <w:t xml:space="preserve">3. Noise &amp; Contamination Analysis</w:t>
      </w:r>
    </w:p>
    <w:p>
      <w:pPr>
        <w:spacing w:after="200"/>
      </w:pPr>
      <w:r>
        <w:t xml:space="preserve">Each JSON content file was scanned for common noise patterns including leaked HTML, JavaScript artifacts, email addresses, phone numbers, cookie consent text, social media links, login prompts, government boilerplate, and AI-generated content. Results below.</w:t>
      </w:r>
    </w:p>
    <w:p>
      <w:pPr>
        <w:pStyle w:val="Heading2"/>
      </w:pPr>
      <w:r>
        <w:t xml:space="preserve">3.1 False Positives (No Action Needed)</w:t>
      </w:r>
    </w:p>
    <w:p>
      <w:pPr>
        <w:spacing w:after="100"/>
      </w:pPr>
      <w:r>
        <w:rPr>
          <w:b/>
          <w:bCs/>
        </w:rPr>
        <w:t xml:space="preserve">"Generated AI" flag (4 files): </w:t>
      </w:r>
      <w:r>
        <w:t xml:space="preserve">All false positives. "I cannot" appears in legitimate regulatory text (e.g., "a FRFI cannot compel counterparties"). "ChatGPT" appears once in Guideline E-23 as a genuine policy reference to AI tools. No actual AI-generated content was found.</w:t>
      </w:r>
    </w:p>
    <w:p>
      <w:pPr>
        <w:spacing w:after="100"/>
      </w:pPr>
      <w:r>
        <w:rPr>
          <w:b/>
          <w:bCs/>
        </w:rPr>
        <w:t xml:space="preserve">"Cookie/consent" flag (14 files): </w:t>
      </w:r>
      <w:r>
        <w:t xml:space="preserve">All false positives. The word "consent" appears in legitimate regulatory context (e.g., borrower consent requirements in capital adequacy rules).</w:t>
      </w:r>
    </w:p>
    <w:p>
      <w:pPr>
        <w:spacing w:after="200"/>
      </w:pPr>
      <w:r>
        <w:rPr>
          <w:b/>
          <w:bCs/>
        </w:rPr>
        <w:t xml:space="preserve">"Login/subscribe" flag (10 files): </w:t>
      </w:r>
      <w:r>
        <w:t xml:space="preserve">All false positives. "Sign in" matches occur within regulatory text about mathematical sign conventions. "Subscribe" appears in context of subscription agreements.</w:t>
      </w:r>
    </w:p>
    <w:p>
      <w:pPr>
        <w:pStyle w:val="Heading2"/>
      </w:pPr>
      <w:r>
        <w:t xml:space="preserve">3.2 Items Requiring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Files Affected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Non-OSFI 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incident instructions file contains example email (badsender@malicious.domain) — this is intentional instructional content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Excess phone numbers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Foreign Bank Branch and Related Party docs contain OSFI contact phone numbers — legitimate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boilerplate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 Chapter 4 (26x), Chapter 5 (17x), Chapter 9 (9x) and Large Exposure files have repeated "Government of Canada" text possibly from page chrome</w:t>
            </w:r>
          </w:p>
        </w:tc>
      </w:tr>
    </w:tbl>
    <w:p>
      <w:pPr>
        <w:spacing w:after="200" w:before="200"/>
      </w:pPr>
      <w:r>
        <w:rPr>
          <w:b/>
          <w:bCs/>
        </w:rPr>
        <w:t xml:space="preserve">Verdict: </w:t>
      </w:r>
      <w:r>
        <w:t xml:space="preserve">The scrape is remarkably clean. No AI-generated content, no leaked JavaScript, no HTML tags, no social media artifacts. The 7 files with excess government boilerplate should be spot-checked to determine if page navigation chrome leaked into the body text.</w:t>
      </w:r>
    </w:p>
    <w:p>
      <w:r>
        <w:br w:type="page"/>
      </w:r>
    </w:p>
    <w:p>
      <w:pPr>
        <w:pStyle w:val="Heading1"/>
      </w:pPr>
      <w:r>
        <w:t xml:space="preserve">4. Metadata Accuracy &amp; Completeness</w:t>
      </w:r>
    </w:p>
    <w:p>
      <w:pPr>
        <w:pStyle w:val="Heading2"/>
      </w:pPr>
      <w:r>
        <w:t xml:space="preserve">4.1 Field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Populated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Missing</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277 (100%)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needed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277 (100%)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duplicates — see 4.2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277 (100%)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needed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nova_tier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277 (100%)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canonical_url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276 (99.6%)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 missing URL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publication_type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276 (99.6%)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DSB Decision Summary Note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effective_date_start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276 (99.6%)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DSB document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sector / applies_to flags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 (92.4%)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Manually assign sectors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221 (79.8%)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 are Letters — categorize by guideline family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h1_title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276 (99.6%)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critical</w:t>
            </w:r>
          </w:p>
        </w:tc>
      </w:tr>
    </w:tbl>
    <w:p>
      <w:pPr>
        <w:pStyle w:val="Heading2"/>
      </w:pPr>
      <w:r>
        <w:t xml:space="preserve">4.2 Duplicate doc_id Issue (CRITICAL)</w:t>
      </w:r>
    </w:p>
    <w:p>
      <w:pPr>
        <w:spacing w:after="200"/>
      </w:pPr>
      <w:r>
        <w:t xml:space="preserve">15 doc_id values are shared by 2–4 documents each (34 documents total affected). These are distinct documents that received the same generated identifier due to the ID generation logic grouping by guideline family + version. For the NOVA pipeline, each chunk must have a unique doc_id for correct retrieval and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Duplicate doc_id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osfi.b15.transmittal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B-15 climate transmittal letters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osfi.licat.2025.transmittal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LICAT 2025 letters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osfi.annual-update-manual…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different sector annual update letters share ID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osfi.b2.transmittal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B-2 transmittal letters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more duplicates)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each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pattern: multiple letters per guideline family</w:t>
            </w:r>
          </w:p>
        </w:tc>
      </w:tr>
    </w:tbl>
    <w:p>
      <w:pPr>
        <w:spacing w:after="200" w:before="200"/>
      </w:pPr>
      <w:r>
        <w:rPr>
          <w:b/>
          <w:bCs/>
          <w:color w:val="C00000"/>
        </w:rPr>
        <w:t xml:space="preserve">Fix: </w:t>
      </w:r>
      <w:r>
        <w:t xml:space="preserve">Append the slug or a date-based suffix to disambiguate. For example, osfi.b15.transmittal should become osfi.b15.2023-03.transmittal, osfi.b15.2025-02.transmittal, etc.</w:t>
      </w:r>
    </w:p>
    <w:p>
      <w:pPr>
        <w:pStyle w:val="Heading2"/>
      </w:pPr>
      <w:r>
        <w:t xml:space="preserve">4.3 Corpus Inclusion Flag Issues</w:t>
      </w:r>
    </w:p>
    <w:p>
      <w:pPr>
        <w:spacing w:after="200"/>
      </w:pPr>
      <w:r>
        <w:t xml:space="preserve">10 superseded documents are incorrectly flagged as include_in_primary_corpus=True. These are LAR 2025 chapters and E-23 (2017), whose successors are future-effective (LAR 2026 effective May 2026, E-23 2027 effective May 2027). This is by design: until the successor becomes effective, the current version remains in the primary corpus. However, the status field says "superseded" which contradicts the primary corpus flag. </w:t>
      </w:r>
      <w:r>
        <w:rPr>
          <w:b/>
          <w:bCs/>
          <w:color w:val="C00000"/>
        </w:rPr>
        <w:t xml:space="preserve">Recommendation: </w:t>
      </w:r>
      <w:r>
        <w:t xml:space="preserve">Add a transitional status like "superseded_pending_successor" or add a "successor_is_future_effective" boolean flag to make this logic explicit.</w:t>
      </w:r>
    </w:p>
    <w:p>
      <w:pPr>
        <w:spacing w:after="200"/>
      </w:pPr>
      <w:r>
        <w:t xml:space="preserve">1 final_current document (DSB Decision Summary Note) has both include_in_primary_corpus=False and include_in_support_corpus=False, effectively excluding it from all corpora. Verify whether this is intentional.</w:t>
      </w:r>
    </w:p>
    <w:p>
      <w:r>
        <w:br w:type="page"/>
      </w:r>
    </w:p>
    <w:p>
      <w:pPr>
        <w:pStyle w:val="Heading1"/>
      </w:pPr>
      <w:r>
        <w:t xml:space="preserve">5. Content Quality &amp; Completeness</w:t>
      </w:r>
    </w:p>
    <w:p>
      <w:pPr>
        <w:pStyle w:val="Heading2"/>
      </w:pPr>
      <w:r>
        <w:t xml:space="preserve">5.1 Quality Score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Excellent</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0.8 – 1.0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200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72.2%</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0.3 – 0.6</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76</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27.4%</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0.0 – 0.3</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0.4%</w:t>
            </w:r>
          </w:p>
        </w:tc>
      </w:tr>
    </w:tbl>
    <w:p>
      <w:pPr>
        <w:spacing w:after="200" w:before="200"/>
      </w:pPr>
      <w:r>
        <w:t xml:space="preserve">The 76 medium-quality documents are all flagged with "thin_body_text", meaning the scraped body has fewer words than expected. These are predominantly transmittal letters and cover pages that link to full guidelines rather than containing substantive content themselves. This is expected and correct — these documents genuinely are thin. The single low-quality document ("Pillar 3 Disclosure Expectations" with 26 words, score 0.2) is a package landing page linking to two sub-guidelines.</w:t>
      </w:r>
    </w:p>
    <w:p>
      <w:pPr>
        <w:pStyle w:val="Heading2"/>
      </w:pPr>
      <w:r>
        <w:t xml:space="preserve">5.2 Content Hash Integrity</w:t>
      </w:r>
    </w:p>
    <w:p>
      <w:pPr>
        <w:spacing w:after="200"/>
      </w:pPr>
      <w:r>
        <w:t xml:space="preserve">Zero duplicate content hashes (raw_html_sha256) were found across all 277 documents, confirming that every scraped page contains unique content with no accidental duplicates.</w:t>
      </w:r>
    </w:p>
    <w:p>
      <w:pPr>
        <w:pStyle w:val="Heading2"/>
      </w:pPr>
      <w:r>
        <w:t xml:space="preserve">5.3 Structural Validation</w:t>
      </w:r>
    </w:p>
    <w:p>
      <w:pPr>
        <w:spacing w:after="100"/>
      </w:pPr>
      <w:r>
        <w:t xml:space="preserve">Title vs h1_title: 0 mismatches. All titles match their on-page headings exactly.</w:t>
      </w:r>
    </w:p>
    <w:p>
      <w:pPr>
        <w:spacing w:after="100"/>
      </w:pPr>
      <w:r>
        <w:t xml:space="preserve">Supersession chains: All 19 superseded documents have valid successor references, and all successors exist in the corpus. No broken chains.</w:t>
      </w:r>
    </w:p>
    <w:p>
      <w:pPr>
        <w:spacing w:after="100"/>
      </w:pPr>
      <w:r>
        <w:t xml:space="preserve">Sector/applies_to consistency: 0 mismatches between the sector list and the boolean applies_to flags.</w:t>
      </w:r>
    </w:p>
    <w:p>
      <w:pPr>
        <w:spacing w:after="200"/>
      </w:pPr>
      <w:r>
        <w:t xml:space="preserve">Effective dates: All dates parse correctly. No impossible future dates on current documents. No suspiciously old dates.</w:t>
      </w:r>
    </w:p>
    <w:p>
      <w:pPr>
        <w:pStyle w:val="Heading1"/>
      </w:pPr>
      <w:r>
        <w:t xml:space="preserve">6. Document Status &amp; Tier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 1</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 2</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 3</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final_current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superseded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final_future_effective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draft_or_consultation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277</w:t>
            </w:r>
          </w:p>
        </w:tc>
      </w:tr>
    </w:tbl>
    <w:p>
      <w:r>
        <w:br w:type="page"/>
      </w:r>
    </w:p>
    <w:p>
      <w:pPr>
        <w:pStyle w:val="Heading1"/>
      </w:pPr>
      <w:r>
        <w:t xml:space="preserve">7. Prioritized Recommendations</w:t>
      </w:r>
    </w:p>
    <w:p>
      <w:pPr>
        <w:pStyle w:val="Heading2"/>
      </w:pPr>
      <w:r>
        <w:t xml:space="preserve">7.1 Critical (Must Fix Before Production)</w:t>
      </w:r>
    </w:p>
    <w:p>
      <w:pPr>
        <w:pStyle w:val="ListParagraph"/>
        <w:numPr>
          <w:ilvl w:val="0"/>
          <w:numId w:val="2"/>
        </w:numPr>
        <w:spacing w:after="100"/>
      </w:pPr>
      <w:r>
        <w:rPr>
          <w:b/>
          <w:bCs/>
        </w:rPr>
        <w:t xml:space="preserve">Resolve 15 duplicate doc_ids </w:t>
      </w:r>
      <w:r>
        <w:t xml:space="preserve">affecting 34 documents. Append date or slug suffix to ensure uniqueness. Without this, chunk upserts will overwrite or conflate distinct documents.</w:t>
      </w:r>
    </w:p>
    <w:p>
      <w:pPr>
        <w:pStyle w:val="Heading2"/>
      </w:pPr>
      <w:r>
        <w:t xml:space="preserve">7.2 High (Should Fix)</w:t>
      </w:r>
    </w:p>
    <w:p>
      <w:pPr>
        <w:pStyle w:val="ListParagraph"/>
        <w:numPr>
          <w:ilvl w:val="0"/>
          <w:numId w:val="2"/>
        </w:numPr>
        <w:spacing w:after="100"/>
      </w:pPr>
      <w:r>
        <w:rPr>
          <w:b/>
          <w:bCs/>
        </w:rPr>
        <w:t xml:space="preserve">Populate sector/applies_to flags for 21 documents </w:t>
      </w:r>
      <w:r>
        <w:t xml:space="preserve">with empty sectors. These documents apply to specific institution types but the scraper did not capture this from the OSFI listing page. Without sector flags, these documents cannot be filtered during retrieval.</w:t>
      </w:r>
    </w:p>
    <w:p>
      <w:pPr>
        <w:pStyle w:val="ListParagraph"/>
        <w:numPr>
          <w:ilvl w:val="0"/>
          <w:numId w:val="2"/>
        </w:numPr>
        <w:spacing w:after="100"/>
      </w:pPr>
      <w:r>
        <w:rPr>
          <w:b/>
          <w:bCs/>
        </w:rPr>
        <w:t xml:space="preserve">Clarify superseded-but-primary corpus logic. </w:t>
      </w:r>
      <w:r>
        <w:t xml:space="preserve">10 documents are marked superseded yet included in the primary corpus because their successors are future-effective. Add an explicit transitional status or flag to avoid confusion during ingestion.</w:t>
      </w:r>
    </w:p>
    <w:p>
      <w:pPr>
        <w:pStyle w:val="Heading2"/>
      </w:pPr>
      <w:r>
        <w:t xml:space="preserve">7.3 Medium (Should Address)</w:t>
      </w:r>
    </w:p>
    <w:p>
      <w:pPr>
        <w:pStyle w:val="ListParagraph"/>
        <w:numPr>
          <w:ilvl w:val="0"/>
          <w:numId w:val="2"/>
        </w:numPr>
        <w:spacing w:after="100"/>
      </w:pPr>
      <w:r>
        <w:rPr>
          <w:b/>
          <w:bCs/>
        </w:rPr>
        <w:t xml:space="preserve">Categorize 56 uncategorized documents </w:t>
      </w:r>
      <w:r>
        <w:t xml:space="preserve">(47 are Letters). Map these to their parent guideline’s category for consistent filtering.</w:t>
      </w:r>
    </w:p>
    <w:p>
      <w:pPr>
        <w:pStyle w:val="ListParagraph"/>
        <w:numPr>
          <w:ilvl w:val="0"/>
          <w:numId w:val="2"/>
        </w:numPr>
        <w:spacing w:after="100"/>
      </w:pPr>
      <w:r>
        <w:rPr>
          <w:b/>
          <w:bCs/>
        </w:rPr>
        <w:t xml:space="preserve">Deduplicate HTML/MD directories. </w:t>
      </w:r>
      <w:r>
        <w:t xml:space="preserve">Remove the 276 slug-named duplicates or the 277 underscore-named originals. Standardize on one naming convention.</w:t>
      </w:r>
    </w:p>
    <w:p>
      <w:pPr>
        <w:pStyle w:val="ListParagraph"/>
        <w:numPr>
          <w:ilvl w:val="0"/>
          <w:numId w:val="2"/>
        </w:numPr>
        <w:spacing w:after="100"/>
      </w:pPr>
      <w:r>
        <w:rPr>
          <w:b/>
          <w:bCs/>
        </w:rPr>
        <w:t xml:space="preserve">Spot-check 7 files flagged for government boilerplate </w:t>
      </w:r>
      <w:r>
        <w:t xml:space="preserve">(particularly CAR Chapters 4, 5, 9 and Large Exposure Limits) to confirm no navigation chrome leaked into body text.</w:t>
      </w:r>
    </w:p>
    <w:p>
      <w:pPr>
        <w:pStyle w:val="Heading2"/>
      </w:pPr>
      <w:r>
        <w:t xml:space="preserve">7.4 Low (Nice to Have)</w:t>
      </w:r>
    </w:p>
    <w:p>
      <w:pPr>
        <w:pStyle w:val="ListParagraph"/>
        <w:numPr>
          <w:ilvl w:val="0"/>
          <w:numId w:val="2"/>
        </w:numPr>
        <w:spacing w:after="100"/>
      </w:pPr>
      <w:r>
        <w:rPr>
          <w:b/>
          <w:bCs/>
        </w:rPr>
        <w:t xml:space="preserve">Populate the 1 missing publication_type, canonical_url, and effective_date </w:t>
      </w:r>
      <w:r>
        <w:t xml:space="preserve">for the DSB Decision Summary Note.</w:t>
      </w:r>
    </w:p>
    <w:p>
      <w:pPr>
        <w:pStyle w:val="ListParagraph"/>
        <w:numPr>
          <w:ilvl w:val="0"/>
          <w:numId w:val="2"/>
        </w:numPr>
        <w:spacing w:after="100"/>
      </w:pPr>
      <w:r>
        <w:rPr>
          <w:b/>
          <w:bCs/>
        </w:rPr>
        <w:t xml:space="preserve">Review Pillar 3 Disclosure Expectations page </w:t>
      </w:r>
      <w:r>
        <w:t xml:space="preserve">(26 words, quality score 0.2). Verify whether the linked sub-guidelines are captured separately.</w:t>
      </w:r>
    </w:p>
    <w:p>
      <w:pPr>
        <w:pStyle w:val="ListParagraph"/>
        <w:numPr>
          <w:ilvl w:val="0"/>
          <w:numId w:val="2"/>
        </w:numPr>
        <w:spacing w:after="100"/>
      </w:pPr>
      <w:r>
        <w:rPr>
          <w:b/>
          <w:bCs/>
        </w:rPr>
        <w:t xml:space="preserve">Address the "Category Capital Adequacy Requirements" label </w:t>
      </w:r>
      <w:r>
        <w:t xml:space="preserve">(1 document has a malformed category with "Category" prefix). Normalize to "Capital Adequacy Requirements".</w:t>
      </w:r>
    </w:p>
    <w:p>
      <w:r>
        <w:br w:type="page"/>
      </w:r>
    </w:p>
    <w:p>
      <w:pPr>
        <w:pStyle w:val="Heading1"/>
      </w:pPr>
      <w:r>
        <w:t xml:space="preserve">8. Live Site Cross-Reference (March 24, 2026)</w:t>
      </w:r>
    </w:p>
    <w:p>
      <w:pPr>
        <w:spacing w:after="120"/>
      </w:pPr>
      <w:r>
        <w:t xml:space="preserve">A live cross-reference was performed against the OSFI Guidance Library at </w:t>
      </w:r>
      <w:r>
        <w:rPr>
          <w:i/>
          <w:iCs/>
        </w:rPr>
        <w:t xml:space="preserve">https://www.osfi-bsif.gc.ca/en/guidance/guidance-library</w:t>
      </w:r>
      <w:r>
        <w:t xml:space="preserve"> on March 24, 2026. All 277 documents on the live listing were extracted across three paginated pages (100 + 100 + 77) and compared slug-by-slug against the 277 documents in the scraped metadata.</w:t>
      </w:r>
    </w:p>
    <w:p>
      <w:pPr>
        <w:pStyle w:val="Heading2"/>
      </w:pPr>
      <w:r>
        <w:t xml:space="preserve">8.1 Overall Result</w:t>
      </w:r>
    </w:p>
    <w:p>
      <w:pPr>
        <w:spacing w:after="120"/>
      </w:pPr>
      <w:r>
        <w:t xml:space="preserve">Both the live site and the scraped corpus contain exactly 277 documents. Of these, 275 slugs match perfectly (99.3% alignment). Two slug-level differences were identified, both explainable and neither representing missing content.</w:t>
      </w:r>
    </w:p>
    <w:p>
      <w:pPr>
        <w:pStyle w:val="Heading2"/>
      </w:pPr>
      <w:r>
        <w:t xml:space="preserve">8.2 Differences Found</w:t>
      </w:r>
    </w:p>
    <w:p>
      <w:pPr>
        <w:spacing w:after="80"/>
      </w:pPr>
      <w:r>
        <w:rPr>
          <w:b/>
          <w:bCs/>
        </w:rPr>
        <w:t xml:space="preserve">Difference 1 — Earthquake Memorandum Year Rollover (High Priority)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3510"/>
        <w:gridCol w:w="3510"/>
      </w:tblGrid>
      <w:tr>
        <w:tc>
          <w:tcPr>
            <w:tcW w:w="2340" w:type="dxa"/>
            <w:shd w:val="clear" w:fill="D5E8F0"/>
          </w:tcPr>
          <w:p>
            <w:pPr>
              <w:spacing w:after="0"/>
            </w:pPr>
            <w:r>
              <w:rPr>
                <w:b/>
                <w:bCs/>
                <w:sz w:val="20"/>
                <w:szCs w:val="20"/>
              </w:rPr>
              <w:t xml:space="preserve"/>
            </w:r>
          </w:p>
        </w:tc>
        <w:tc>
          <w:tcPr>
            <w:tcW w:w="3510" w:type="dxa"/>
            <w:shd w:val="clear" w:fill="D5E8F0"/>
          </w:tcPr>
          <w:p>
            <w:pPr>
              <w:spacing w:after="0"/>
            </w:pPr>
            <w:r>
              <w:rPr>
                <w:b/>
                <w:bCs/>
                <w:sz w:val="20"/>
                <w:szCs w:val="20"/>
              </w:rPr>
              <w:t xml:space="preserve">Scraped Metadata</w:t>
            </w:r>
          </w:p>
        </w:tc>
        <w:tc>
          <w:tcPr>
            <w:tcW w:w="3510" w:type="dxa"/>
            <w:shd w:val="clear" w:fill="D5E8F0"/>
          </w:tcPr>
          <w:p>
            <w:pPr>
              <w:spacing w:after="0"/>
            </w:pPr>
            <w:r>
              <w:rPr>
                <w:b/>
                <w:bCs/>
                <w:sz w:val="20"/>
                <w:szCs w:val="20"/>
              </w:rPr>
              <w:t xml:space="preserve">Live Site (March 24, 2026)</w:t>
            </w:r>
          </w:p>
        </w:tc>
      </w:tr>
      <w:tr>
        <w:tc>
          <w:tcPr>
            <w:tcW w:w="2340" w:type="dxa"/>
          </w:tcPr>
          <w:p>
            <w:pPr>
              <w:spacing w:after="0"/>
            </w:pPr>
            <w:r>
              <w:rPr>
                <w:b/>
                <w:bCs/>
                <w:sz w:val="20"/>
                <w:szCs w:val="20"/>
              </w:rPr>
              <w:t xml:space="preserve">Slug</w:t>
            </w:r>
          </w:p>
        </w:tc>
        <w:tc>
          <w:tcPr>
            <w:tcW w:w="3510" w:type="dxa"/>
          </w:tcPr>
          <w:p>
            <w:pPr>
              <w:spacing w:after="0"/>
            </w:pPr>
            <w:r>
              <w:rPr>
                <w:sz w:val="20"/>
                <w:szCs w:val="20"/>
              </w:rPr>
              <w:t xml:space="preserve">2025-memorandum-earthquake-exposure-data</w:t>
            </w:r>
          </w:p>
        </w:tc>
        <w:tc>
          <w:tcPr>
            <w:tcW w:w="3510" w:type="dxa"/>
          </w:tcPr>
          <w:p>
            <w:pPr>
              <w:spacing w:after="0"/>
            </w:pPr>
            <w:r>
              <w:rPr>
                <w:sz w:val="20"/>
                <w:szCs w:val="20"/>
              </w:rPr>
              <w:t xml:space="preserve">2026-memorandum-earthquake-exposure-data</w:t>
            </w:r>
          </w:p>
        </w:tc>
      </w:tr>
      <w:tr>
        <w:tc>
          <w:tcPr>
            <w:tcW w:w="2340" w:type="dxa"/>
          </w:tcPr>
          <w:p>
            <w:pPr>
              <w:spacing w:after="0"/>
            </w:pPr>
            <w:r>
              <w:rPr>
                <w:b/>
                <w:bCs/>
                <w:sz w:val="20"/>
                <w:szCs w:val="20"/>
              </w:rPr>
              <w:t xml:space="preserve">Title</w:t>
            </w:r>
          </w:p>
        </w:tc>
        <w:tc>
          <w:tcPr>
            <w:tcW w:w="3510" w:type="dxa"/>
          </w:tcPr>
          <w:p>
            <w:pPr>
              <w:spacing w:after="0"/>
            </w:pPr>
            <w:r>
              <w:rPr>
                <w:sz w:val="20"/>
                <w:szCs w:val="20"/>
              </w:rPr>
              <w:t xml:space="preserve">2025 Memorandum - Earthquake Exposure Data</w:t>
            </w:r>
          </w:p>
        </w:tc>
        <w:tc>
          <w:tcPr>
            <w:tcW w:w="3510" w:type="dxa"/>
          </w:tcPr>
          <w:p>
            <w:pPr>
              <w:spacing w:after="0"/>
            </w:pPr>
            <w:r>
              <w:rPr>
                <w:sz w:val="20"/>
                <w:szCs w:val="20"/>
              </w:rPr>
              <w:t xml:space="preserve">2026 Memorandum - Earthquake Exposure Data</w:t>
            </w:r>
          </w:p>
        </w:tc>
      </w:tr>
      <w:tr>
        <w:tc>
          <w:tcPr>
            <w:tcW w:w="2340" w:type="dxa"/>
          </w:tcPr>
          <w:p>
            <w:pPr>
              <w:spacing w:after="0"/>
            </w:pPr>
            <w:r>
              <w:rPr>
                <w:b/>
                <w:bCs/>
                <w:sz w:val="20"/>
                <w:szCs w:val="20"/>
              </w:rPr>
              <w:t xml:space="preserve">Published</w:t>
            </w:r>
          </w:p>
        </w:tc>
        <w:tc>
          <w:tcPr>
            <w:tcW w:w="3510" w:type="dxa"/>
          </w:tcPr>
          <w:p>
            <w:pPr>
              <w:spacing w:after="0"/>
            </w:pPr>
            <w:r>
              <w:rPr>
                <w:sz w:val="20"/>
                <w:szCs w:val="20"/>
              </w:rPr>
              <w:t xml:space="preserve">N/A (in scraped corpus)</w:t>
            </w:r>
          </w:p>
        </w:tc>
        <w:tc>
          <w:tcPr>
            <w:tcW w:w="3510" w:type="dxa"/>
          </w:tcPr>
          <w:p>
            <w:pPr>
              <w:spacing w:after="0"/>
            </w:pPr>
            <w:r>
              <w:rPr>
                <w:sz w:val="20"/>
                <w:szCs w:val="20"/>
              </w:rPr>
              <w:t xml:space="preserve">March 20, 2026</w:t>
            </w:r>
          </w:p>
        </w:tc>
      </w:tr>
    </w:tbl>
    <w:p>
      <w:pPr>
        <w:spacing w:after="120" w:before="120"/>
      </w:pPr>
      <w:r>
        <w:t xml:space="preserve">The 2026 edition was published on March 20, 2026, just 3 days before the metadata was generated (March 23, 2026). The scrape captured the outgoing 2025 edition. This is a standard annual rollover. The 2025 edition should be marked as superseded and the 2026 edition needs to be scraped and ingested.</w:t>
      </w:r>
    </w:p>
    <w:p>
      <w:pPr>
        <w:spacing w:after="80" w:before="200"/>
      </w:pPr>
      <w:r>
        <w:rPr>
          <w:b/>
          <w:bCs/>
        </w:rPr>
        <w:t xml:space="preserve">Difference 2 — Cyber Self-Assessment Tool Slug Format (Low Priority)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3510"/>
        <w:gridCol w:w="3510"/>
      </w:tblGrid>
      <w:tr>
        <w:tc>
          <w:tcPr>
            <w:tcW w:w="2340" w:type="dxa"/>
            <w:shd w:val="clear" w:fill="D5E8F0"/>
          </w:tcPr>
          <w:p>
            <w:pPr>
              <w:spacing w:after="0"/>
            </w:pPr>
            <w:r>
              <w:rPr>
                <w:b/>
                <w:bCs/>
                <w:sz w:val="20"/>
                <w:szCs w:val="20"/>
              </w:rPr>
              <w:t xml:space="preserve"/>
            </w:r>
          </w:p>
        </w:tc>
        <w:tc>
          <w:tcPr>
            <w:tcW w:w="3510" w:type="dxa"/>
            <w:shd w:val="clear" w:fill="D5E8F0"/>
          </w:tcPr>
          <w:p>
            <w:pPr>
              <w:spacing w:after="0"/>
            </w:pPr>
            <w:r>
              <w:rPr>
                <w:b/>
                <w:bCs/>
                <w:sz w:val="20"/>
                <w:szCs w:val="20"/>
              </w:rPr>
              <w:t xml:space="preserve">Scraped Metadata</w:t>
            </w:r>
          </w:p>
        </w:tc>
        <w:tc>
          <w:tcPr>
            <w:tcW w:w="3510" w:type="dxa"/>
            <w:shd w:val="clear" w:fill="D5E8F0"/>
          </w:tcPr>
          <w:p>
            <w:pPr>
              <w:spacing w:after="0"/>
            </w:pPr>
            <w:r>
              <w:rPr>
                <w:b/>
                <w:bCs/>
                <w:sz w:val="20"/>
                <w:szCs w:val="20"/>
              </w:rPr>
              <w:t xml:space="preserve">Live Site (March 24, 2026)</w:t>
            </w:r>
          </w:p>
        </w:tc>
      </w:tr>
      <w:tr>
        <w:tc>
          <w:tcPr>
            <w:tcW w:w="2340" w:type="dxa"/>
          </w:tcPr>
          <w:p>
            <w:pPr>
              <w:spacing w:after="0"/>
            </w:pPr>
            <w:r>
              <w:rPr>
                <w:b/>
                <w:bCs/>
                <w:sz w:val="20"/>
                <w:szCs w:val="20"/>
              </w:rPr>
              <w:t xml:space="preserve">Slug</w:t>
            </w:r>
          </w:p>
        </w:tc>
        <w:tc>
          <w:tcPr>
            <w:tcW w:w="3510" w:type="dxa"/>
          </w:tcPr>
          <w:p>
            <w:pPr>
              <w:spacing w:after="0"/>
            </w:pPr>
            <w:r>
              <w:rPr>
                <w:sz w:val="18"/>
                <w:szCs w:val="18"/>
              </w:rPr>
              <w:t xml:space="preserve">technology-cyber-risk-management-self-assessment-tool</w:t>
            </w:r>
          </w:p>
        </w:tc>
        <w:tc>
          <w:tcPr>
            <w:tcW w:w="3510" w:type="dxa"/>
          </w:tcPr>
          <w:p>
            <w:pPr>
              <w:spacing w:after="0"/>
            </w:pPr>
            <w:r>
              <w:rPr>
                <w:sz w:val="18"/>
                <w:szCs w:val="18"/>
              </w:rPr>
              <w:t xml:space="preserve">technology-cyber-risk-management/technology-cyber-risk-management-self-assessment-tool</w:t>
            </w:r>
          </w:p>
        </w:tc>
      </w:tr>
      <w:tr>
        <w:tc>
          <w:tcPr>
            <w:tcW w:w="2340" w:type="dxa"/>
          </w:tcPr>
          <w:p>
            <w:pPr>
              <w:spacing w:after="0"/>
            </w:pPr>
            <w:r>
              <w:rPr>
                <w:b/>
                <w:bCs/>
                <w:sz w:val="20"/>
                <w:szCs w:val="20"/>
              </w:rPr>
              <w:t xml:space="preserve">Title</w:t>
            </w:r>
          </w:p>
        </w:tc>
        <w:tc>
          <w:tcPr>
            <w:tcW w:w="3510" w:type="dxa"/>
          </w:tcPr>
          <w:p>
            <w:pPr>
              <w:spacing w:after="0"/>
            </w:pPr>
            <w:r>
              <w:rPr>
                <w:sz w:val="20"/>
                <w:szCs w:val="20"/>
              </w:rPr>
              <w:t xml:space="preserve">Technology and cyber risk management self-assessment tool</w:t>
            </w:r>
          </w:p>
        </w:tc>
        <w:tc>
          <w:tcPr>
            <w:tcW w:w="3510" w:type="dxa"/>
          </w:tcPr>
          <w:p>
            <w:pPr>
              <w:spacing w:after="0"/>
            </w:pPr>
            <w:r>
              <w:rPr>
                <w:sz w:val="20"/>
                <w:szCs w:val="20"/>
              </w:rPr>
              <w:t xml:space="preserve">Technology and cyber risk management self-assessment tool</w:t>
            </w:r>
          </w:p>
        </w:tc>
      </w:tr>
    </w:tbl>
    <w:p>
      <w:pPr>
        <w:spacing w:after="120" w:before="120"/>
      </w:pPr>
      <w:r>
        <w:t xml:space="preserve">This is the same document with identical content. The live site uses a nested URL structure (sub-page of technology-cyber-risk-management) while the scraper flattened it to a simple slug. Content files exist under both naming conventions in the HTML and MD directories. No re-scrape is needed; the metadata slug should be updated to match the live canonical URL if URL-based linking is required.</w:t>
      </w:r>
    </w:p>
    <w:p>
      <w:pPr>
        <w:pStyle w:val="Heading2"/>
      </w:pPr>
      <w:r>
        <w:t xml:space="preserve">8.3 Recommended Actions</w:t>
      </w:r>
    </w:p>
    <w:p>
      <w:pPr>
        <w:pStyle w:val="ListParagraph"/>
        <w:numPr>
          <w:ilvl w:val="0"/>
          <w:numId w:val="2"/>
        </w:numPr>
        <w:spacing w:after="100"/>
      </w:pPr>
      <w:r>
        <w:rPr>
          <w:b/>
          <w:bCs/>
        </w:rPr>
        <w:t xml:space="preserve">Scrape the 2026 Earthquake Memorandum </w:t>
      </w:r>
      <w:r>
        <w:t xml:space="preserve">and ingest it as a new document. Update the 2025 edition’s status to “superseded” and set superseded_by to the new doc_id.</w:t>
      </w:r>
    </w:p>
    <w:p>
      <w:pPr>
        <w:pStyle w:val="ListParagraph"/>
        <w:numPr>
          <w:ilvl w:val="0"/>
          <w:numId w:val="2"/>
        </w:numPr>
        <w:spacing w:after="100"/>
      </w:pPr>
      <w:r>
        <w:rPr>
          <w:b/>
          <w:bCs/>
        </w:rPr>
        <w:t xml:space="preserve">Optionally update the cyber self-assessment tool slug </w:t>
      </w:r>
      <w:r>
        <w:t xml:space="preserve">in the metadata to use the nested path format (technology-cyber-risk-management/technology-cyber-risk-management-self-assessment-tool) for canonical URL consistency. This is cosmetic and does not affect content or retrieval.</w:t>
      </w:r>
    </w:p>
    <w:p>
      <w:pPr>
        <w:pStyle w:val="ListParagraph"/>
        <w:numPr>
          <w:ilvl w:val="0"/>
          <w:numId w:val="2"/>
        </w:numPr>
        <w:spacing w:after="100"/>
      </w:pPr>
      <w:r>
        <w:rPr>
          <w:b/>
          <w:bCs/>
        </w:rPr>
        <w:t xml:space="preserve">Consider implementing a scheduled re-scrape check </w:t>
      </w:r>
      <w:r>
        <w:t xml:space="preserve">that compares live listing slugs against the metadata corpus to detect future additions, removals, or replacements automatically.</w:t>
      </w:r>
    </w:p>
    <w:p>
      <w:pPr>
        <w:spacing w:before="400"/>
      </w:pPr>
    </w:p>
    <w:p>
      <w:pPr>
        <w:pBdr>
          <w:top w:val="single" w:color="1F3864" w:sz="6" w:space="1"/>
        </w:pBdr>
        <w:spacing w:after="200" w:before="200"/>
      </w:pPr>
      <w:r>
        <w:rPr>
          <w:b/>
          <w:bCs/>
          <w:color w:val="1F3864"/>
        </w:rPr>
        <w:t xml:space="preserve">Conclusion: </w:t>
      </w:r>
      <w:r>
        <w:t xml:space="preserve">The OSFI Guidance Library scrape is production-ready with the above fixes applied. The live site cross-reference confirms 99.3% slug alignment (275 of 277), with the two differences being a routine annual document rollover and a cosmetic slug format variation. The content is clean, metadata is comprehensive, and the three-rule metadata architecture maps well to the 116 fields available. The critical fix (duplicate doc_ids) should be addressed in 01_metadata_spec.py’s ID generation logic before running the ingestion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808080"/>
        <w:sz w:val="18"/>
        <w:szCs w:val="18"/>
      </w:rPr>
      <w:t xml:space="preserve">NOVA RAG Pipeline — OSFI Guidance Library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2026-03-24T22:53:44.584Z</dcterms:created>
  <dcterms:modified xsi:type="dcterms:W3CDTF">2026-03-24T22:53:44.585Z</dcterms:modified>
</cp:coreProperties>
</file>

<file path=docProps/custom.xml><?xml version="1.0" encoding="utf-8"?>
<Properties xmlns="http://schemas.openxmlformats.org/officeDocument/2006/custom-properties" xmlns:vt="http://schemas.openxmlformats.org/officeDocument/2006/docPropsVTypes"/>
</file>