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3366"/>
          <w:sz w:val="48"/>
          <w:szCs w:val="48"/>
        </w:rPr>
        <w:t xml:space="preserve">NOVA Regulatory Corpus Guide</w:t>
      </w:r>
    </w:p>
    <w:p>
      <w:pPr>
        <w:spacing w:after="200"/>
        <w:jc w:val="center"/>
      </w:pPr>
      <w:r>
        <w:rPr>
          <w:rFonts w:ascii="Arial" w:cs="Arial" w:eastAsia="Arial" w:hAnsi="Arial"/>
          <w:color w:val="003366"/>
          <w:sz w:val="36"/>
          <w:szCs w:val="36"/>
        </w:rPr>
        <w:t xml:space="preserve">US Federal Reserve Regulations</w:t>
      </w:r>
    </w:p>
    <w:p>
      <w:pPr>
        <w:spacing w:after="400"/>
        <w:jc w:val="center"/>
      </w:pPr>
      <w:r>
        <w:rPr>
          <w:rFonts w:ascii="Arial" w:cs="Arial" w:eastAsia="Arial" w:hAnsi="Arial"/>
          <w:color w:val="666666"/>
          <w:sz w:val="24"/>
          <w:szCs w:val="24"/>
        </w:rPr>
        <w:t xml:space="preserve">eCFR Regulations, Federal Register Documents, and SR Letters</w:t>
      </w:r>
    </w:p>
    <w:p>
      <w:pPr>
        <w:spacing w:after="100"/>
        <w:jc w:val="center"/>
      </w:pPr>
      <w:r>
        <w:rPr>
          <w:rFonts w:ascii="Arial" w:cs="Arial" w:eastAsia="Arial" w:hAnsi="Arial"/>
          <w:color w:val="666666"/>
          <w:sz w:val="22"/>
          <w:szCs w:val="22"/>
        </w:rPr>
        <w:t xml:space="preserve">RAG Pipeline, Dual-Store Architecture, ADLS Migration, and Metadata Usage</w:t>
      </w:r>
    </w:p>
    <w:p>
      <w:pPr>
        <w:spacing w:before="600"/>
        <w:jc w:val="center"/>
      </w:pPr>
      <w:r>
        <w:rPr>
          <w:rFonts w:ascii="Arial" w:cs="Arial" w:eastAsia="Arial" w:hAnsi="Arial"/>
          <w:sz w:val="22"/>
          <w:szCs w:val="22"/>
        </w:rPr>
        <w:t xml:space="preserve">Version 1.0 | 26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0336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r>
      <w:br w:type="page"/>
    </w:r>
    <w:p>
      <w:pPr>
        <w:pStyle w:val="Heading1"/>
        <w:spacing w:after="120" w:before="240"/>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The NOVA US Federal Reserve regulatory corpus is the fourth national corpus in the NOVA system, joining PRA (UK), OSFI (Canada), and Basel Framework (International). It contains 2,828 documents across three sub-corpora, structured for retrieval-augmented generation (RAG) and metadata-driven search. Each document is stored in four formats: JSON metadata, Markdown content, HTML source, and PDF rendering.</w:t>
      </w:r>
    </w:p>
    <w:p>
      <w:pPr>
        <w:pStyle w:val="Heading2"/>
        <w:spacing w:after="120" w:before="240"/>
      </w:pPr>
      <w:r>
        <w:rPr>
          <w:rFonts w:ascii="Arial" w:cs="Arial" w:eastAsia="Arial" w:hAnsi="Arial"/>
          <w:b/>
          <w:bCs/>
          <w:sz w:val="28"/>
          <w:szCs w:val="28"/>
        </w:rPr>
        <w:t xml:space="preserve">1.1 Corpus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eCFR</w:t>
            </w:r>
          </w:p>
        </w:tc>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Federal Register</w:t>
            </w:r>
          </w:p>
        </w:tc>
        <w:tc>
          <w:tcPr>
            <w:tcW w:type="dxa" w:w="2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SR Letters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Regulator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2,431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CFR Parts (12 CFR)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Final/Proposed Rules, Notices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Supervisory Letters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 Formats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 MD + HTML + PDF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 MD + HTML + PDF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 MD + HTML + PDF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Metadata Fields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 per doc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 per doc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per doc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 Range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(as of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2010–2025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1990–2025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Files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9,724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1,352</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Total corpus: 2,828 documents, 11,312 files across all formats and sub-corpora.</w:t>
      </w:r>
    </w:p>
    <w:p>
      <w:pPr>
        <w:pStyle w:val="Heading1"/>
        <w:spacing w:after="120" w:before="240"/>
      </w:pPr>
      <w:r>
        <w:rPr>
          <w:rFonts w:ascii="Arial" w:cs="Arial" w:eastAsia="Arial" w:hAnsi="Arial"/>
          <w:b/>
          <w:bCs/>
          <w:sz w:val="32"/>
          <w:szCs w:val="32"/>
        </w:rPr>
        <w:t xml:space="preserve">2. Folder Structure</w:t>
      </w:r>
    </w:p>
    <w:p>
      <w:pPr>
        <w:pStyle w:val="Heading2"/>
        <w:spacing w:after="120" w:before="240"/>
      </w:pPr>
      <w:r>
        <w:rPr>
          <w:rFonts w:ascii="Arial" w:cs="Arial" w:eastAsia="Arial" w:hAnsi="Arial"/>
          <w:b/>
          <w:bCs/>
          <w:sz w:val="28"/>
          <w:szCs w:val="28"/>
        </w:rPr>
        <w:t xml:space="preserve">2.1 Top-Level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ecfr/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 Code of Federal Regulations. 59 parts of 12 CFR Chapter II, each with json/md/html/pdf.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federal_register/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Register documents. 2,431 final rules, proposed rules, and notices with json/md/html/pdf.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SR_Letters/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 and CA Letters. 338 supervisory and regulatory letters (1990–2025) with json/md/html/pdf.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documents: NOVA specs, audit reports, corpus guides.</w:t>
            </w:r>
          </w:p>
        </w:tc>
      </w:tr>
    </w:tbl>
    <w:p>
      <w:pPr>
        <w:pStyle w:val="Heading2"/>
        <w:spacing w:after="120" w:before="240"/>
      </w:pPr>
      <w:r>
        <w:rPr>
          <w:rFonts w:ascii="Arial" w:cs="Arial" w:eastAsia="Arial" w:hAnsi="Arial"/>
          <w:b/>
          <w:bCs/>
          <w:sz w:val="28"/>
          <w:szCs w:val="28"/>
        </w:rPr>
        <w:t xml:space="preserve">2.2 eCFR Sub-Corpus</w:t>
      </w:r>
    </w:p>
    <w:p>
      <w:pPr>
        <w:spacing w:after="120"/>
      </w:pPr>
      <w:r>
        <w:rPr>
          <w:rFonts w:ascii="Arial" w:cs="Arial" w:eastAsia="Arial" w:hAnsi="Arial"/>
          <w:sz w:val="22"/>
          <w:szCs w:val="22"/>
        </w:rPr>
        <w:t xml:space="preserve">The eCFR sub-corpus contains all 59 parts of Title 12, Chapter II of the Code of Federal Regulations (Federal Reserve System). These are the binding regulations that implement the Federal Reserve Act and related statutes. Each part is stored with its full section text, appendices, authority citations, and editorial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JSON</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MD</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HTML</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PDF</w:t>
            </w:r>
          </w:p>
        </w:tc>
        <w:tc>
          <w:tcPr>
            <w:tcW w:type="dxa" w:w="1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Match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(1:1)</w:t>
            </w:r>
          </w:p>
        </w:tc>
      </w:tr>
    </w:tbl>
    <w:p>
      <w:pPr>
        <w:pStyle w:val="Heading2"/>
        <w:spacing w:after="120" w:before="240"/>
      </w:pPr>
      <w:r>
        <w:rPr>
          <w:rFonts w:ascii="Arial" w:cs="Arial" w:eastAsia="Arial" w:hAnsi="Arial"/>
          <w:b/>
          <w:bCs/>
          <w:sz w:val="28"/>
          <w:szCs w:val="28"/>
        </w:rPr>
        <w:t xml:space="preserve">2.3 Federal Register Sub-Corpus</w:t>
      </w:r>
    </w:p>
    <w:p>
      <w:pPr>
        <w:spacing w:after="120"/>
      </w:pPr>
      <w:r>
        <w:rPr>
          <w:rFonts w:ascii="Arial" w:cs="Arial" w:eastAsia="Arial" w:hAnsi="Arial"/>
          <w:sz w:val="22"/>
          <w:szCs w:val="22"/>
        </w:rPr>
        <w:t xml:space="preserve">The Federal Register sub-corpus contains 2,431 documents published by the Board of Governors in the Federal Register. These include final rules implementing regulatory changes, proposed rules for public comment, and notices of supervisory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Document Class</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JSON</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MD</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HTML</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PDF</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Final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Proposed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521</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964</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2,431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2,431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2,431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2,431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2,431</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pStyle w:val="Heading2"/>
        <w:spacing w:after="120" w:before="240"/>
      </w:pPr>
      <w:r>
        <w:rPr>
          <w:rFonts w:ascii="Arial" w:cs="Arial" w:eastAsia="Arial" w:hAnsi="Arial"/>
          <w:b/>
          <w:bCs/>
          <w:sz w:val="28"/>
          <w:szCs w:val="28"/>
        </w:rPr>
        <w:t xml:space="preserve">2.4 SR Letters Sub-Corpus</w:t>
      </w:r>
    </w:p>
    <w:p>
      <w:pPr>
        <w:spacing w:after="120"/>
      </w:pPr>
      <w:r>
        <w:rPr>
          <w:rFonts w:ascii="Arial" w:cs="Arial" w:eastAsia="Arial" w:hAnsi="Arial"/>
          <w:sz w:val="22"/>
          <w:szCs w:val="22"/>
        </w:rPr>
        <w:t xml:space="preserve">The SR Letters sub-corpus contains 338 Supervision and Regulation (SR) letters issued by the Federal Reserve between 1990 and 2025. SR letters communicate supervisory expectations, examination procedures, and policy guidance to supervised institutions and Federal Reserve Bank examination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JSON</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MD</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HTML</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PDF</w:t>
            </w:r>
          </w:p>
        </w:tc>
        <w:tc>
          <w:tcPr>
            <w:tcW w:type="dxa" w:w="1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Match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(1:1)</w:t>
            </w:r>
          </w:p>
        </w:tc>
      </w:tr>
    </w:tbl>
    <w:p>
      <w:pPr>
        <w:pStyle w:val="Heading1"/>
        <w:spacing w:after="120" w:before="240"/>
      </w:pPr>
      <w:r>
        <w:rPr>
          <w:rFonts w:ascii="Arial" w:cs="Arial" w:eastAsia="Arial" w:hAnsi="Arial"/>
          <w:b/>
          <w:bCs/>
          <w:sz w:val="32"/>
          <w:szCs w:val="32"/>
        </w:rPr>
        <w:t xml:space="preserve">3. ADLS Migration: On-Prem to Cloud</w:t>
      </w:r>
    </w:p>
    <w:p>
      <w:pPr>
        <w:spacing w:after="120"/>
      </w:pPr>
      <w:r>
        <w:rPr>
          <w:rFonts w:ascii="Arial" w:cs="Arial" w:eastAsia="Arial" w:hAnsi="Arial"/>
          <w:sz w:val="22"/>
          <w:szCs w:val="22"/>
        </w:rPr>
        <w:t xml:space="preserve">The NOVA pipeline ingests documents from Azure Data Lake Storage (ADLS) Gen2 using a medallion architecture. The on-premises US Federal Reserve corpus must be migrated following this target layout.</w:t>
      </w:r>
    </w:p>
    <w:p>
      <w:pPr>
        <w:pStyle w:val="Heading2"/>
        <w:spacing w:after="120" w:before="240"/>
      </w:pPr>
      <w:r>
        <w:rPr>
          <w:rFonts w:ascii="Arial" w:cs="Arial" w:eastAsia="Arial" w:hAnsi="Arial"/>
          <w:b/>
          <w:bCs/>
          <w:sz w:val="28"/>
          <w:szCs w:val="28"/>
        </w:rPr>
        <w:t xml:space="preserve">3.1 ADLS Medallion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ADLS Path</w:t>
            </w:r>
          </w:p>
        </w:tc>
        <w:tc>
          <w:tcPr>
            <w:tcW w:type="dxa" w:w="5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bronze/external/us_fed/ecfr/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HTML and PDF files from eCFR corpus (source verification, audit trail)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bronze/external/us_fed/fr/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HTML and PDF files from Federal Register corpus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bronze/external/us_fed/sr/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HTML and PDF files from SR Letters corpus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bronze/internal/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internal documents (Word, Excel, PDF, MD) uploaded via IDP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silver/canonical_json/us_fed/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JSON metadata files (from on-prem json/ folders)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silver/content/us_fed/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 content files (from on-prem md/ folders)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silver/metadata/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Collection-level metadata (corpus summaries, field specs)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gold/chunks/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chunk JSON with vectors (written by the ingestion notebook)</w:t>
            </w:r>
          </w:p>
        </w:tc>
      </w:tr>
    </w:tbl>
    <w:p>
      <w:pPr>
        <w:pStyle w:val="Heading2"/>
        <w:spacing w:after="120" w:before="240"/>
      </w:pPr>
      <w:r>
        <w:rPr>
          <w:rFonts w:ascii="Arial" w:cs="Arial" w:eastAsia="Arial" w:hAnsi="Arial"/>
          <w:b/>
          <w:bCs/>
          <w:sz w:val="28"/>
          <w:szCs w:val="28"/>
        </w:rPr>
        <w:t xml:space="preserve">3.2 What to Move to ADLS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c>
          <w:tcPr>
            <w:tcW w:type="dxa" w:w="2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On-Prem File</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ADLS Tier</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ADLS Path</w:t>
            </w:r>
          </w:p>
        </w:tc>
        <w:tc>
          <w:tcPr>
            <w:tcW w:type="dxa" w:w="27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Pipeline 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json/*.json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silver/canonical_json/us_fed/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for chunking, indexing, prompt injection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md/*.md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silver/content/us_fed/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Authoritative text for chunking and embedding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html/*.html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bronze/external/us_fed/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verification and re-conversion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pdf/*.pdf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bronze/external/us_fed/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and human review</w:t>
            </w:r>
          </w:p>
        </w:tc>
      </w:tr>
    </w:tbl>
    <w:p>
      <w:pPr>
        <w:pStyle w:val="Heading2"/>
        <w:spacing w:after="120" w:before="240"/>
      </w:pPr>
      <w:r>
        <w:rPr>
          <w:rFonts w:ascii="Arial" w:cs="Arial" w:eastAsia="Arial" w:hAnsi="Arial"/>
          <w:b/>
          <w:bCs/>
          <w:sz w:val="28"/>
          <w:szCs w:val="28"/>
        </w:rPr>
        <w:t xml:space="preserve">3.3 Files NOT to Move to ADLS</w:t>
      </w:r>
    </w:p>
    <w:p>
      <w:pPr>
        <w:pStyle w:val="ListParagraph"/>
        <w:numPr>
          <w:ilvl w:val="0"/>
          <w:numId w:val="2"/>
        </w:numPr>
        <w:spacing w:after="60"/>
      </w:pPr>
      <w:r>
        <w:rPr>
          <w:rFonts w:ascii="Arial" w:cs="Arial" w:eastAsia="Arial" w:hAnsi="Arial"/>
          <w:sz w:val="22"/>
          <w:szCs w:val="22"/>
        </w:rPr>
        <w:t xml:space="preserve">docs/ folder contents (reference documentation, not corpus data)</w:t>
      </w:r>
    </w:p>
    <w:p>
      <w:pPr>
        <w:pStyle w:val="ListParagraph"/>
        <w:numPr>
          <w:ilvl w:val="0"/>
          <w:numId w:val="2"/>
        </w:numPr>
        <w:spacing w:after="60"/>
      </w:pPr>
      <w:r>
        <w:rPr>
          <w:rFonts w:ascii="Arial" w:cs="Arial" w:eastAsia="Arial" w:hAnsi="Arial"/>
          <w:sz w:val="22"/>
          <w:szCs w:val="22"/>
        </w:rPr>
        <w:t xml:space="preserve">README.md (repository metadata only)</w:t>
      </w:r>
    </w:p>
    <w:p>
      <w:pPr>
        <w:pStyle w:val="ListParagraph"/>
        <w:numPr>
          <w:ilvl w:val="0"/>
          <w:numId w:val="2"/>
        </w:numPr>
        <w:spacing w:after="60"/>
      </w:pPr>
      <w:r>
        <w:rPr>
          <w:rFonts w:ascii="Arial" w:cs="Arial" w:eastAsia="Arial" w:hAnsi="Arial"/>
          <w:sz w:val="22"/>
          <w:szCs w:val="22"/>
        </w:rPr>
        <w:t xml:space="preserve">.gitignore and .claude/ configuration folders</w:t>
      </w:r>
    </w:p>
    <w:p>
      <w:pPr>
        <w:pStyle w:val="ListParagraph"/>
        <w:numPr>
          <w:ilvl w:val="0"/>
          <w:numId w:val="2"/>
        </w:numPr>
        <w:spacing w:after="60"/>
      </w:pPr>
      <w:r>
        <w:rPr>
          <w:rFonts w:ascii="Arial" w:cs="Arial" w:eastAsia="Arial" w:hAnsi="Arial"/>
          <w:sz w:val="22"/>
          <w:szCs w:val="22"/>
        </w:rPr>
        <w:t xml:space="preserve">Any scraping scripts or build artifacts</w:t>
      </w:r>
    </w:p>
    <w:p>
      <w:pPr>
        <w:pStyle w:val="Heading1"/>
        <w:spacing w:after="120" w:before="240"/>
      </w:pPr>
      <w:r>
        <w:rPr>
          <w:rFonts w:ascii="Arial" w:cs="Arial" w:eastAsia="Arial" w:hAnsi="Arial"/>
          <w:b/>
          <w:bCs/>
          <w:sz w:val="32"/>
          <w:szCs w:val="32"/>
        </w:rPr>
        <w:t xml:space="preserve">4. Metadata Schema and the NOVA Three Rules</w:t>
      </w:r>
    </w:p>
    <w:p>
      <w:pPr>
        <w:pStyle w:val="Heading2"/>
        <w:spacing w:after="120" w:before="240"/>
      </w:pPr>
      <w:r>
        <w:rPr>
          <w:rFonts w:ascii="Arial" w:cs="Arial" w:eastAsia="Arial" w:hAnsi="Arial"/>
          <w:b/>
          <w:bCs/>
          <w:sz w:val="28"/>
          <w:szCs w:val="28"/>
        </w:rPr>
        <w:t xml:space="preserve">4.1 Embedded Fields (Rule 1) — What Goes INTO the Embedding</w:t>
      </w:r>
    </w:p>
    <w:p>
      <w:pPr>
        <w:spacing w:after="120"/>
      </w:pPr>
      <w:r>
        <w:rPr>
          <w:rFonts w:ascii="Arial" w:cs="Arial" w:eastAsia="Arial" w:hAnsi="Arial"/>
          <w:sz w:val="22"/>
          <w:szCs w:val="22"/>
        </w:rPr>
        <w:t xml:space="preserve">These fields are prepended to chunk text before the embedding model processes it. They change what the vector represents.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Why It Is Embedded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Anchors the chunk to its source in vector space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short_title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document name (Reg Q, SR 12-7) for title-based recall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document_class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Distinguishes final rule chunks from notice chunks from SR letter chunks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heading_path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Preserves section hierarchy so same-topic chunks cluster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section_path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path for structural navigation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regulator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Separates FRS content from PRA/OSFI/Basel in embedding space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cfr_citation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formal CFR citation for regulation-specific retrieval</w:t>
            </w:r>
          </w:p>
        </w:tc>
      </w:tr>
    </w:tbl>
    <w:p>
      <w:pPr>
        <w:pStyle w:val="Heading2"/>
        <w:spacing w:after="120" w:before="240"/>
      </w:pPr>
      <w:r>
        <w:rPr>
          <w:rFonts w:ascii="Arial" w:cs="Arial" w:eastAsia="Arial" w:hAnsi="Arial"/>
          <w:b/>
          <w:bCs/>
          <w:sz w:val="28"/>
          <w:szCs w:val="28"/>
        </w:rPr>
        <w:t xml:space="preserve">4.2 Index Fields (Rule 2) — What Filters and Boosts Retrieval</w:t>
      </w:r>
    </w:p>
    <w:p>
      <w:pPr>
        <w:spacing w:after="120"/>
      </w:pPr>
      <w:r>
        <w:rPr>
          <w:rFonts w:ascii="Arial" w:cs="Arial" w:eastAsia="Arial" w:hAnsi="Arial"/>
          <w:sz w:val="22"/>
          <w:szCs w:val="22"/>
        </w:rPr>
        <w:t xml:space="preserve">Stored as filter/boost fields in Elasticsearch and PGVector. Never embedded in chunk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Filter Use</w:t>
            </w:r>
          </w:p>
        </w:tc>
        <w:tc>
          <w:tcPr>
            <w:tcW w:type="dxa" w:w="3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Boost 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OUT superseded/deleted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active/current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current_version_flag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to current only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jurisdiction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to 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nova_tier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importance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tier 1 over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authority_class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normative vs interpretive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primary_normative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effective_date_start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date range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more recent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publication_type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eCFR/FR/SR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binding regulations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applies_to_*</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institution type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for targeted queries</w:t>
            </w:r>
          </w:p>
        </w:tc>
      </w:tr>
    </w:tbl>
    <w:p>
      <w:pPr>
        <w:pStyle w:val="Heading2"/>
        <w:spacing w:after="120" w:before="240"/>
      </w:pPr>
      <w:r>
        <w:rPr>
          <w:rFonts w:ascii="Arial" w:cs="Arial" w:eastAsia="Arial" w:hAnsi="Arial"/>
          <w:b/>
          <w:bCs/>
          <w:sz w:val="28"/>
          <w:szCs w:val="28"/>
        </w:rPr>
        <w:t xml:space="preserve">4.3 Prompt-Injected Fields (Rule 3) — What the LLM Sees</w:t>
      </w:r>
    </w:p>
    <w:p>
      <w:pPr>
        <w:spacing w:after="120"/>
      </w:pPr>
      <w:r>
        <w:rPr>
          <w:rFonts w:ascii="Arial" w:cs="Arial" w:eastAsia="Arial" w:hAnsi="Arial"/>
          <w:sz w:val="22"/>
          <w:szCs w:val="22"/>
        </w:rPr>
        <w:t xml:space="preserve">Rendered into the prompt context at inference time so the model can reason correctly about source, status, and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Why the LLM Needs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title for citation and attribution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regulator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regulator issued this — jurisdictional reasoning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citation_anchor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reference ID for generating citations (12 CFR 217, SR 12-7)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superseded, or rescinded — answer confidence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current_version_flag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 users when citing non-current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effective_date_start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this version took effect — temporal reasoning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authority_class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Binding regulation vs supervisory guidance — weight of authority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nova_tier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Importance tier — weight tier 1 over tier 3</w:t>
            </w:r>
          </w:p>
        </w:tc>
      </w:tr>
    </w:tbl>
    <w:p>
      <w:pPr>
        <w:pStyle w:val="Heading2"/>
        <w:spacing w:after="120" w:before="240"/>
      </w:pPr>
      <w:r>
        <w:rPr>
          <w:rFonts w:ascii="Arial" w:cs="Arial" w:eastAsia="Arial" w:hAnsi="Arial"/>
          <w:b/>
          <w:bCs/>
          <w:sz w:val="28"/>
          <w:szCs w:val="28"/>
        </w:rPr>
        <w:t xml:space="preserve">4.4 Operational Fields — NOT Embedded, Indexed, or Prompted</w:t>
      </w:r>
    </w:p>
    <w:p>
      <w:pPr>
        <w:spacing w:after="120"/>
      </w:pPr>
      <w:r>
        <w:rPr>
          <w:rFonts w:ascii="Arial" w:cs="Arial" w:eastAsia="Arial" w:hAnsi="Arial"/>
          <w:sz w:val="22"/>
          <w:szCs w:val="22"/>
        </w:rPr>
        <w:t xml:space="preserve">Bookkeeping only. Stored in JSON but never shown to models or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canonical_json_path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canonical JSON in ADLS silver/ (debugging)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normalized_text_sha256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of normalized text (change detection, deduplication)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parser_version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of parser used (re-processing decisions)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normalizer_version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of enrichment script (re-enrichment decisions)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quality_score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Extraction quality score (monitoring pipeline health)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enriched_timestamp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metadata was last enriched (freshness tracking)</w:t>
            </w:r>
          </w:p>
        </w:tc>
      </w:tr>
    </w:tbl>
    <w:p>
      <w:pPr>
        <w:pStyle w:val="Heading1"/>
        <w:spacing w:after="120" w:before="240"/>
      </w:pPr>
      <w:r>
        <w:rPr>
          <w:rFonts w:ascii="Arial" w:cs="Arial" w:eastAsia="Arial" w:hAnsi="Arial"/>
          <w:b/>
          <w:bCs/>
          <w:sz w:val="32"/>
          <w:szCs w:val="32"/>
        </w:rPr>
        <w:t xml:space="preserve">5. RAG Pipeline: How Files Are Used</w:t>
      </w:r>
    </w:p>
    <w:p>
      <w:pPr>
        <w:pStyle w:val="Heading2"/>
        <w:spacing w:after="120" w:before="240"/>
      </w:pPr>
      <w:r>
        <w:rPr>
          <w:rFonts w:ascii="Arial" w:cs="Arial" w:eastAsia="Arial" w:hAnsi="Arial"/>
          <w:b/>
          <w:bCs/>
          <w:sz w:val="28"/>
          <w:szCs w:val="28"/>
        </w:rPr>
        <w:t xml:space="preserve">5.1 Stage 1: Parse</w:t>
      </w:r>
    </w:p>
    <w:p>
      <w:pPr>
        <w:spacing w:after="120"/>
      </w:pPr>
      <w:r>
        <w:rPr>
          <w:rFonts w:ascii="Arial" w:cs="Arial" w:eastAsia="Arial" w:hAnsi="Arial"/>
          <w:sz w:val="22"/>
          <w:szCs w:val="22"/>
        </w:rPr>
        <w:t xml:space="preserve">Raw files are read from ADLS Bronze layer. JSON metadata provides document identity, classification, and authority. MD files provide the authoritative text content. HTML and PDF are retained as audit artifacts in Bronze.</w:t>
      </w:r>
    </w:p>
    <w:p>
      <w:pPr>
        <w:pStyle w:val="Heading2"/>
        <w:spacing w:after="120" w:before="240"/>
      </w:pPr>
      <w:r>
        <w:rPr>
          <w:rFonts w:ascii="Arial" w:cs="Arial" w:eastAsia="Arial" w:hAnsi="Arial"/>
          <w:b/>
          <w:bCs/>
          <w:sz w:val="28"/>
          <w:szCs w:val="28"/>
        </w:rPr>
        <w:t xml:space="preserve">5.2 Stage 2: Chunk</w:t>
      </w:r>
    </w:p>
    <w:p>
      <w:pPr>
        <w:spacing w:after="120"/>
      </w:pPr>
      <w:r>
        <w:rPr>
          <w:rFonts w:ascii="Arial" w:cs="Arial" w:eastAsia="Arial" w:hAnsi="Arial"/>
          <w:sz w:val="22"/>
          <w:szCs w:val="22"/>
        </w:rPr>
        <w:t xml:space="preserve">Markdown content is split into semantic chunks using heading-aware splitting. Each chunk inherits its parent document metadata. eCFR regulations are chunked by section (each CFR section becomes a chunk). Federal Register documents are chunked by paragraph with heading context. SR letters are chunked by section heading or at ~500-token boundaries.</w:t>
      </w:r>
    </w:p>
    <w:p>
      <w:pPr>
        <w:pStyle w:val="Heading2"/>
        <w:spacing w:after="120" w:before="240"/>
      </w:pPr>
      <w:r>
        <w:rPr>
          <w:rFonts w:ascii="Arial" w:cs="Arial" w:eastAsia="Arial" w:hAnsi="Arial"/>
          <w:b/>
          <w:bCs/>
          <w:sz w:val="28"/>
          <w:szCs w:val="28"/>
        </w:rPr>
        <w:t xml:space="preserve">5.3 Stage 3: Enrich with Embedded Metadata (Rule 1)</w:t>
      </w:r>
    </w:p>
    <w:p>
      <w:pPr>
        <w:spacing w:after="120"/>
      </w:pPr>
      <w:r>
        <w:rPr>
          <w:rFonts w:ascii="Arial" w:cs="Arial" w:eastAsia="Arial" w:hAnsi="Arial"/>
          <w:sz w:val="22"/>
          <w:szCs w:val="22"/>
        </w:rPr>
        <w:t xml:space="preserve">Each chunk has Rule 1 fields prepended to its text before embedding: doc_id, short_title, document_class, heading_path, section_path, regulator, and cfr_citation. This shifts the vector representation so that chunks from the same regulation cluster together and chunks about similar topics across different sub-corpora are nearby in embedding space.</w:t>
      </w:r>
    </w:p>
    <w:p>
      <w:pPr>
        <w:pStyle w:val="Heading2"/>
        <w:spacing w:after="120" w:before="240"/>
      </w:pPr>
      <w:r>
        <w:rPr>
          <w:rFonts w:ascii="Arial" w:cs="Arial" w:eastAsia="Arial" w:hAnsi="Arial"/>
          <w:b/>
          <w:bCs/>
          <w:sz w:val="28"/>
          <w:szCs w:val="28"/>
        </w:rPr>
        <w:t xml:space="preserve">5.4 Stage 4: Embed and Index (Rules 1 + 2)</w:t>
      </w:r>
    </w:p>
    <w:p>
      <w:pPr>
        <w:spacing w:after="120"/>
      </w:pPr>
      <w:r>
        <w:rPr>
          <w:rFonts w:ascii="Arial" w:cs="Arial" w:eastAsia="Arial" w:hAnsi="Arial"/>
          <w:sz w:val="22"/>
          <w:szCs w:val="22"/>
        </w:rPr>
        <w:t xml:space="preserve">Enriched chunks are embedded using text-embedding-3-large and indexed into both Elasticsearch (with BM25 text + dense vector + metadata filters) and PGVector (with dense vector + SQL metadata columns). Rule 2 fields are stored as filterable/boostable index fields in both stores.</w:t>
      </w:r>
    </w:p>
    <w:p>
      <w:pPr>
        <w:pStyle w:val="Heading2"/>
        <w:spacing w:after="120" w:before="240"/>
      </w:pPr>
      <w:r>
        <w:rPr>
          <w:rFonts w:ascii="Arial" w:cs="Arial" w:eastAsia="Arial" w:hAnsi="Arial"/>
          <w:b/>
          <w:bCs/>
          <w:sz w:val="28"/>
          <w:szCs w:val="28"/>
        </w:rPr>
        <w:t xml:space="preserve">5.5 Stage 5: Retrieve and Prompt (Rules 2 + 3)</w:t>
      </w:r>
    </w:p>
    <w:p>
      <w:pPr>
        <w:spacing w:after="120"/>
      </w:pPr>
      <w:r>
        <w:rPr>
          <w:rFonts w:ascii="Arial" w:cs="Arial" w:eastAsia="Arial" w:hAnsi="Arial"/>
          <w:sz w:val="22"/>
          <w:szCs w:val="22"/>
        </w:rPr>
        <w:t xml:space="preserve">At query time, both stores are queried in parallel. Rule 2 fields filter and boost results (status=active, nova_tier boost, publication_type filter). Retrieved chunks have Rule 3 fields injected as a prompt header so the LLM can reason about source authority, temporal validity, and jurisdiction.</w:t>
      </w:r>
    </w:p>
    <w:p>
      <w:pPr>
        <w:pStyle w:val="Heading1"/>
        <w:spacing w:after="120" w:before="240"/>
      </w:pPr>
      <w:r>
        <w:rPr>
          <w:rFonts w:ascii="Arial" w:cs="Arial" w:eastAsia="Arial" w:hAnsi="Arial"/>
          <w:b/>
          <w:bCs/>
          <w:sz w:val="32"/>
          <w:szCs w:val="32"/>
        </w:rPr>
        <w:t xml:space="preserve">6. Dual-Store Architecture: Elasticsearch + PGVector</w:t>
      </w:r>
    </w:p>
    <w:p>
      <w:pPr>
        <w:spacing w:after="120"/>
      </w:pPr>
      <w:r>
        <w:rPr>
          <w:rFonts w:ascii="Arial" w:cs="Arial" w:eastAsia="Arial" w:hAnsi="Arial"/>
          <w:sz w:val="22"/>
          <w:szCs w:val="22"/>
        </w:rPr>
        <w:t xml:space="preserve">NOVA uses two retrieval stores in parallel. Both receive the same embedded chunks and metadata at ingestion time. At query time, results from both are fused using Reciprocal Rank Fusion (RRF) to produce the final ranked list.</w:t>
      </w:r>
    </w:p>
    <w:p>
      <w:pPr>
        <w:pStyle w:val="Heading2"/>
        <w:spacing w:after="120" w:before="240"/>
      </w:pPr>
      <w:r>
        <w:rPr>
          <w:rFonts w:ascii="Arial" w:cs="Arial" w:eastAsia="Arial" w:hAnsi="Arial"/>
          <w:b/>
          <w:bCs/>
          <w:sz w:val="28"/>
          <w:szCs w:val="28"/>
        </w:rPr>
        <w:t xml:space="preserve">6.1 Why Two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Elasticsearch</w:t>
            </w:r>
          </w:p>
        </w:tc>
        <w:tc>
          <w:tcPr>
            <w:tcW w:type="dxa" w:w="3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PGVector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BM25 keyword search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BM25 scoring across bm25_text, title, short_title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 — pure vector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Dense vector search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 via kNN 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cosine distance via &lt;=&gt; operator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Hybrid fusion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RRF retriever fuses BM25 + kNN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fused externally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Metadata filtering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 filter clauses (term, range, terms)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WHERE clause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Complex SQL joins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SQL — can join with other tables</w:t>
            </w:r>
          </w:p>
        </w:tc>
      </w:tr>
    </w:tbl>
    <w:p>
      <w:pPr>
        <w:pStyle w:val="Heading1"/>
        <w:spacing w:after="120" w:before="240"/>
      </w:pPr>
      <w:r>
        <w:rPr>
          <w:rFonts w:ascii="Arial" w:cs="Arial" w:eastAsia="Arial" w:hAnsi="Arial"/>
          <w:b/>
          <w:bCs/>
          <w:sz w:val="32"/>
          <w:szCs w:val="32"/>
        </w:rPr>
        <w:t xml:space="preserve">7. NOVA Tier System</w:t>
      </w:r>
    </w:p>
    <w:p>
      <w:pPr>
        <w:spacing w:after="120"/>
      </w:pPr>
      <w:r>
        <w:rPr>
          <w:rFonts w:ascii="Arial" w:cs="Arial" w:eastAsia="Arial" w:hAnsi="Arial"/>
          <w:sz w:val="22"/>
          <w:szCs w:val="22"/>
        </w:rPr>
        <w:t xml:space="preserve">The NOVA tier system assigns importance levels to each document based on its content, authority, and regulatory impact. Tiers drive retrieval boosting and prompt-time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800"/>
        <w:gridCol w:w="800"/>
        <w:gridCol w:w="800"/>
        <w:gridCol w:w="1200"/>
        <w:gridCol w:w="2160"/>
      </w:tblGrid>
      <w:tr>
        <w:tc>
          <w:tcPr>
            <w:tcW w:type="dxa" w:w="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eCFR</w:t>
            </w:r>
          </w:p>
        </w:tc>
        <w:tc>
          <w:tcPr>
            <w:tcW w:type="dxa" w:w="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FR</w:t>
            </w:r>
          </w:p>
        </w:tc>
        <w:tc>
          <w:tcPr>
            <w:tcW w:type="dxa" w:w="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SR</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RAG Weight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binding rules and primary prudential standards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boost (1.0/0.9)</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 regulatory guidance and supervisory expectations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boost (0.7/0.6)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Supporting guidance, administrative, and procedural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(0.4/0.3)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materials and miscellaneous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(0.2)</w:t>
            </w:r>
          </w:p>
        </w:tc>
      </w:tr>
    </w:tbl>
    <w:p>
      <w:pPr>
        <w:pStyle w:val="Heading1"/>
        <w:spacing w:after="120" w:before="240"/>
      </w:pPr>
      <w:r>
        <w:rPr>
          <w:rFonts w:ascii="Arial" w:cs="Arial" w:eastAsia="Arial" w:hAnsi="Arial"/>
          <w:b/>
          <w:bCs/>
          <w:sz w:val="32"/>
          <w:szCs w:val="32"/>
        </w:rPr>
        <w:t xml:space="preserve">8. Institutional Applicability Flags</w:t>
      </w:r>
    </w:p>
    <w:p>
      <w:pPr>
        <w:spacing w:after="120"/>
      </w:pPr>
      <w:r>
        <w:rPr>
          <w:rFonts w:ascii="Arial" w:cs="Arial" w:eastAsia="Arial" w:hAnsi="Arial"/>
          <w:sz w:val="22"/>
          <w:szCs w:val="22"/>
        </w:rPr>
        <w:t xml:space="preserve">Each document carries boolean flags indicating which types of supervised institutions it applies to. These flags enable filtered retrieval: a query about bank holding company capital requirements will surface only documents flagged as applicable to BHCs.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47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Institution Type</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applies_to_state_member_banks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member banks supervised by the Federal Reserve</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applies_to_bank_holding_companies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holding companies (BHCs) and financial holding companies</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applies_to_savings_loan_holding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Savings and loan holding companies (SLHCs)</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applies_to_foreign_banking_orgs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Foreign banking organizations (FBOs) with US operations</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applies_to_nonbank_financial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Nonbank financial companies designated as systemically important</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applies_to_edge_agreement_corps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Act and Agreement corporations (international banking)</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applies_to_large_institutions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financial institutions (Category I–IV firms)</w:t>
            </w:r>
          </w:p>
        </w:tc>
      </w:tr>
    </w:tbl>
    <w:p>
      <w:pPr>
        <w:pStyle w:val="Heading1"/>
        <w:spacing w:after="120" w:before="240"/>
      </w:pPr>
      <w:r>
        <w:rPr>
          <w:rFonts w:ascii="Arial" w:cs="Arial" w:eastAsia="Arial" w:hAnsi="Arial"/>
          <w:b/>
          <w:bCs/>
          <w:sz w:val="32"/>
          <w:szCs w:val="32"/>
        </w:rPr>
        <w:t xml:space="preserve">9. Complete Field Reference</w:t>
      </w:r>
    </w:p>
    <w:p>
      <w:pPr>
        <w:spacing w:after="120"/>
      </w:pPr>
      <w:r>
        <w:rPr>
          <w:rFonts w:ascii="Arial" w:cs="Arial" w:eastAsia="Arial" w:hAnsi="Arial"/>
          <w:sz w:val="22"/>
          <w:szCs w:val="22"/>
        </w:rPr>
        <w:t xml:space="preserve">The following table shows all metadata fields used across the three sub-corpora and their treatment under the NOVA Three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900"/>
        <w:gridCol w:w="1000"/>
        <w:gridCol w:w="19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Embed</w:t>
            </w:r>
          </w:p>
        </w:tc>
        <w:tc>
          <w:tcPr>
            <w:tcW w:type="dxa" w:w="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Ops</w:t>
            </w:r>
          </w:p>
        </w:tc>
        <w:tc>
          <w:tcPr>
            <w:tcW w:type="dxa" w:w="1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Req'd</w:t>
            </w:r>
          </w:p>
        </w:tc>
        <w:tc>
          <w:tcPr>
            <w:tcW w:type="dxa" w:w="1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Sub-Corpus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doc_id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short_title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document_class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regulator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nova_tier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authority_class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authority_level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publication_type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effective_date_start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current_version_flag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jurisdiction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prudential_weight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quality_score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bm25_text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vector_text_prefix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cfr_citation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eCFR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sr_letter_number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document_number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applies_to_* (6 flags)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normalized_text_sha256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parser_version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enriched_timestamp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bl>
    <w:p>
      <w:pPr>
        <w:pStyle w:val="Heading1"/>
        <w:spacing w:after="120" w:before="240"/>
      </w:pPr>
      <w:r>
        <w:rPr>
          <w:rFonts w:ascii="Arial" w:cs="Arial" w:eastAsia="Arial" w:hAnsi="Arial"/>
          <w:b/>
          <w:bCs/>
          <w:sz w:val="32"/>
          <w:szCs w:val="32"/>
        </w:rPr>
        <w:t xml:space="preserve">10. Known Limitations</w:t>
      </w:r>
    </w:p>
    <w:p>
      <w:pPr>
        <w:pStyle w:val="ListParagraph"/>
        <w:numPr>
          <w:ilvl w:val="0"/>
          <w:numId w:val="2"/>
        </w:numPr>
        <w:spacing w:after="60"/>
      </w:pPr>
      <w:r>
        <w:rPr>
          <w:rFonts w:ascii="Arial" w:cs="Arial" w:eastAsia="Arial" w:hAnsi="Arial"/>
          <w:sz w:val="22"/>
          <w:szCs w:val="22"/>
        </w:rPr>
        <w:t xml:space="preserve">Federal Register PDFs are generated from HTML via WeasyPrint, not downloaded from govinfo.gov. The pdf_url field in each JSON metadata file preserves the official source PDF URL for future bulk download.</w:t>
      </w:r>
    </w:p>
    <w:p>
      <w:pPr>
        <w:pStyle w:val="ListParagraph"/>
        <w:numPr>
          <w:ilvl w:val="0"/>
          <w:numId w:val="2"/>
        </w:numPr>
        <w:spacing w:after="60"/>
      </w:pPr>
      <w:r>
        <w:rPr>
          <w:rFonts w:ascii="Arial" w:cs="Arial" w:eastAsia="Arial" w:hAnsi="Arial"/>
          <w:sz w:val="22"/>
          <w:szCs w:val="22"/>
        </w:rPr>
        <w:t xml:space="preserve">SR letter full text is scraped plain text; formatting nuances (tables, embedded images, complex lists) from the original HTML may be simplified.</w:t>
      </w:r>
    </w:p>
    <w:p>
      <w:pPr>
        <w:pStyle w:val="ListParagraph"/>
        <w:numPr>
          <w:ilvl w:val="0"/>
          <w:numId w:val="2"/>
        </w:numPr>
        <w:spacing w:after="60"/>
      </w:pPr>
      <w:r>
        <w:rPr>
          <w:rFonts w:ascii="Arial" w:cs="Arial" w:eastAsia="Arial" w:hAnsi="Arial"/>
          <w:sz w:val="22"/>
          <w:szCs w:val="22"/>
        </w:rPr>
        <w:t xml:space="preserve">eCFR content is current as of the scrape date (March 2026). The eCFR is continuously updated; periodic re-scraping is needed to capture amendments.</w:t>
      </w:r>
    </w:p>
    <w:p>
      <w:pPr>
        <w:pStyle w:val="ListParagraph"/>
        <w:numPr>
          <w:ilvl w:val="0"/>
          <w:numId w:val="2"/>
        </w:numPr>
        <w:spacing w:after="60"/>
      </w:pPr>
      <w:r>
        <w:rPr>
          <w:rFonts w:ascii="Arial" w:cs="Arial" w:eastAsia="Arial" w:hAnsi="Arial"/>
          <w:sz w:val="22"/>
          <w:szCs w:val="22"/>
        </w:rPr>
        <w:t xml:space="preserve">Supersession chains are not yet fully mapped for Federal Register documents. The superseded_by_doc_id and supersedes_doc_id fields are present but not populated for most FR documents.</w:t>
      </w:r>
    </w:p>
    <w:p>
      <w:pPr>
        <w:pStyle w:val="ListParagraph"/>
        <w:numPr>
          <w:ilvl w:val="0"/>
          <w:numId w:val="2"/>
        </w:numPr>
        <w:spacing w:after="60"/>
      </w:pPr>
      <w:r>
        <w:rPr>
          <w:rFonts w:ascii="Arial" w:cs="Arial" w:eastAsia="Arial" w:hAnsi="Arial"/>
          <w:sz w:val="22"/>
          <w:szCs w:val="22"/>
        </w:rPr>
        <w:t xml:space="preserve">Institutional applicability flags are keyword-derived. Manual review may refine accuracy for edge cases.</w:t>
      </w:r>
    </w:p>
    <w:p>
      <w:pPr>
        <w:pStyle w:val="Heading1"/>
        <w:spacing w:after="120" w:before="240"/>
      </w:pPr>
      <w:r>
        <w:rPr>
          <w:rFonts w:ascii="Arial" w:cs="Arial" w:eastAsia="Arial" w:hAnsi="Arial"/>
          <w:b/>
          <w:bCs/>
          <w:sz w:val="32"/>
          <w:szCs w:val="32"/>
        </w:rPr>
        <w:t xml:space="preserve">11.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docs/NOVA_Corpus_Guide.docx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document: corpus overview, structure, and usage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docs/NOVA_Metadata_Build_Specification.docx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Field-by-field specification with NOVA Three Rules treatment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docs/NOVA_RAG_Pipeline_Implementation_Guide.docx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implementation with Databricks/ADLS code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docs/US_Fed_Corpus_Audit_Report.docx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Corpus audit findings, quality metrics, and remediation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1"/>
      </w:pBdr>
      <w:tabs>
        <w:tab w:val="right" w:pos="9026"/>
      </w:tabs>
    </w:pPr>
    <w:r>
      <w:rPr>
        <w:rFonts w:ascii="Arial" w:cs="Arial" w:eastAsia="Arial" w:hAnsi="Arial"/>
        <w:color w:val="003366"/>
        <w:sz w:val="18"/>
        <w:szCs w:val="18"/>
      </w:rPr>
      <w:t xml:space="preserve">NOVA Corpus Guide — US Federal Reserve Regulations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00336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2026-03-26T05:32:09.758Z</dcterms:created>
  <dcterms:modified xsi:type="dcterms:W3CDTF">2026-03-26T05:32:09.758Z</dcterms:modified>
</cp:coreProperties>
</file>

<file path=docProps/custom.xml><?xml version="1.0" encoding="utf-8"?>
<Properties xmlns="http://schemas.openxmlformats.org/officeDocument/2006/custom-properties" xmlns:vt="http://schemas.openxmlformats.org/officeDocument/2006/docPropsVTypes"/>
</file>