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03366"/>
          <w:sz w:val="48"/>
          <w:szCs w:val="48"/>
        </w:rPr>
        <w:t xml:space="preserve">NOVA Metadata Build Specification</w:t>
      </w:r>
    </w:p>
    <w:p>
      <w:pPr>
        <w:spacing w:after="200"/>
        <w:jc w:val="center"/>
      </w:pPr>
      <w:r>
        <w:rPr>
          <w:rFonts w:ascii="Arial" w:cs="Arial" w:eastAsia="Arial" w:hAnsi="Arial"/>
          <w:color w:val="003366"/>
          <w:sz w:val="36"/>
          <w:szCs w:val="36"/>
        </w:rPr>
        <w:t xml:space="preserve">US Federal Reserve Regulations</w:t>
      </w:r>
    </w:p>
    <w:p>
      <w:pPr>
        <w:spacing w:after="200"/>
        <w:jc w:val="center"/>
      </w:pPr>
      <w:r>
        <w:rPr>
          <w:rFonts w:ascii="Arial" w:cs="Arial" w:eastAsia="Arial" w:hAnsi="Arial"/>
          <w:color w:val="666666"/>
          <w:sz w:val="24"/>
          <w:szCs w:val="24"/>
        </w:rPr>
        <w:t xml:space="preserve">What to Capture, Embed, Index, and Inject</w:t>
      </w:r>
    </w:p>
    <w:p>
      <w:pPr>
        <w:spacing w:after="100"/>
        <w:jc w:val="center"/>
      </w:pPr>
      <w:r>
        <w:rPr>
          <w:rFonts w:ascii="Arial" w:cs="Arial" w:eastAsia="Arial" w:hAnsi="Arial"/>
          <w:color w:val="666666"/>
          <w:sz w:val="22"/>
          <w:szCs w:val="22"/>
        </w:rPr>
        <w:t xml:space="preserve">Based on the Three Rules for Metadata Treatment</w:t>
      </w:r>
    </w:p>
    <w:p>
      <w:pPr>
        <w:spacing w:before="600"/>
        <w:jc w:val="center"/>
      </w:pPr>
      <w:r>
        <w:rPr>
          <w:rFonts w:ascii="Arial" w:cs="Arial" w:eastAsia="Arial" w:hAnsi="Arial"/>
          <w:sz w:val="22"/>
          <w:szCs w:val="22"/>
        </w:rPr>
        <w:t xml:space="preserve">Version 1.0 | 26 March 2026</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rFonts w:ascii="Arial" w:cs="Arial" w:eastAsia="Arial" w:hAnsi="Arial"/>
          <w:b/>
          <w:bCs/>
          <w:sz w:val="32"/>
          <w:szCs w:val="32"/>
        </w:rPr>
        <w:t xml:space="preserve">1. The Three Rules for Metadata Treatment</w:t>
      </w:r>
    </w:p>
    <w:p>
      <w:pPr>
        <w:spacing w:after="120"/>
      </w:pPr>
      <w:r>
        <w:rPr>
          <w:rFonts w:ascii="Arial" w:cs="Arial" w:eastAsia="Arial" w:hAnsi="Arial"/>
          <w:sz w:val="22"/>
          <w:szCs w:val="22"/>
        </w:rPr>
        <w:t xml:space="preserve">Rule 1 — Embed metadata that changes what the chunk means semantically. Regulator name, document ID, section path, CFR citation. These shift where the chunk sits in vector space and determine whether it gets retrieved for the right queries.</w:t>
      </w:r>
    </w:p>
    <w:p>
      <w:pPr>
        <w:spacing w:after="120"/>
      </w:pPr>
      <w:r>
        <w:rPr>
          <w:rFonts w:ascii="Arial" w:cs="Arial" w:eastAsia="Arial" w:hAnsi="Arial"/>
          <w:sz w:val="22"/>
          <w:szCs w:val="22"/>
        </w:rPr>
        <w:t xml:space="preserve">Rule 2 — Store as index fields metadata that gates or boosts retrieval, but carries no semantic meaning. Status, authority tier, effective date, jurisdiction, institutional applicability. These are applied as filters and multipliers before and after the similarity search — never embedded.</w:t>
      </w:r>
    </w:p>
    <w:p>
      <w:pPr>
        <w:spacing w:after="120"/>
      </w:pPr>
      <w:r>
        <w:rPr>
          <w:rFonts w:ascii="Arial" w:cs="Arial" w:eastAsia="Arial" w:hAnsi="Arial"/>
          <w:sz w:val="22"/>
          <w:szCs w:val="22"/>
        </w:rPr>
        <w:t xml:space="preserve">Rule 3 — Inject at prompt assembly time metadata that the model needs to reason correctly. Title, status, effective date, authority class, NOVA tier, jurisdiction. These were stored as index fields, not embedded — but at inference time they are rendered as readable text in the prompt context so the LLM can produce accurate, dated, attributed answers.</w:t>
      </w:r>
    </w:p>
    <w:p>
      <w:pPr>
        <w:spacing w:after="120"/>
      </w:pPr>
      <w:r>
        <w:rPr>
          <w:rFonts w:ascii="Arial" w:cs="Arial" w:eastAsia="Arial" w:hAnsi="Arial"/>
          <w:sz w:val="22"/>
          <w:szCs w:val="22"/>
        </w:rPr>
        <w:t xml:space="preserve">The Key Insight: Embedding, filtering, and prompt injection are three completely separate mechanisms serving three completely different purposes. Confusing them produces subtle accuracy failures that are hard to diagnose.</w:t>
      </w:r>
    </w:p>
    <w:p>
      <w:pPr>
        <w:pStyle w:val="Heading1"/>
        <w:spacing w:after="120" w:before="240"/>
      </w:pPr>
      <w:r>
        <w:rPr>
          <w:rFonts w:ascii="Arial" w:cs="Arial" w:eastAsia="Arial" w:hAnsi="Arial"/>
          <w:b/>
          <w:bCs/>
          <w:sz w:val="32"/>
          <w:szCs w:val="32"/>
        </w:rPr>
        <w:t xml:space="preserve">2. Metadata Field Specification Template</w:t>
      </w:r>
    </w:p>
    <w:p>
      <w:pPr>
        <w:spacing w:after="120"/>
      </w:pPr>
      <w:r>
        <w:rPr>
          <w:rFonts w:ascii="Arial" w:cs="Arial" w:eastAsia="Arial" w:hAnsi="Arial"/>
          <w:sz w:val="22"/>
          <w:szCs w:val="22"/>
        </w:rPr>
        <w:t xml:space="preserve">For each field in the scraping and enrichment scripts, four labels determine its role in the pipeline:</w:t>
      </w:r>
    </w:p>
    <w:p>
      <w:pPr>
        <w:pStyle w:val="ListParagraph"/>
        <w:numPr>
          <w:ilvl w:val="0"/>
          <w:numId w:val="2"/>
        </w:numPr>
        <w:spacing w:after="60"/>
      </w:pPr>
      <w:r>
        <w:rPr>
          <w:rFonts w:ascii="Arial" w:cs="Arial" w:eastAsia="Arial" w:hAnsi="Arial"/>
          <w:sz w:val="22"/>
          <w:szCs w:val="22"/>
        </w:rPr>
        <w:t xml:space="preserve">capture? yes/no — does the scraper or enricher extract this field?</w:t>
      </w:r>
    </w:p>
    <w:p>
      <w:pPr>
        <w:pStyle w:val="ListParagraph"/>
        <w:numPr>
          <w:ilvl w:val="0"/>
          <w:numId w:val="2"/>
        </w:numPr>
        <w:spacing w:after="60"/>
      </w:pPr>
      <w:r>
        <w:rPr>
          <w:rFonts w:ascii="Arial" w:cs="Arial" w:eastAsia="Arial" w:hAnsi="Arial"/>
          <w:sz w:val="22"/>
          <w:szCs w:val="22"/>
        </w:rPr>
        <w:t xml:space="preserve">embed? yes/no — is it serialized into chunk text before embedding?</w:t>
      </w:r>
    </w:p>
    <w:p>
      <w:pPr>
        <w:pStyle w:val="ListParagraph"/>
        <w:numPr>
          <w:ilvl w:val="0"/>
          <w:numId w:val="2"/>
        </w:numPr>
        <w:spacing w:after="60"/>
      </w:pPr>
      <w:r>
        <w:rPr>
          <w:rFonts w:ascii="Arial" w:cs="Arial" w:eastAsia="Arial" w:hAnsi="Arial"/>
          <w:sz w:val="22"/>
          <w:szCs w:val="22"/>
        </w:rPr>
        <w:t xml:space="preserve">index? yes/no — is it stored as a filter/boost field in ES or PGVector?</w:t>
      </w:r>
    </w:p>
    <w:p>
      <w:pPr>
        <w:pStyle w:val="ListParagraph"/>
        <w:numPr>
          <w:ilvl w:val="0"/>
          <w:numId w:val="2"/>
        </w:numPr>
        <w:spacing w:after="60"/>
      </w:pPr>
      <w:r>
        <w:rPr>
          <w:rFonts w:ascii="Arial" w:cs="Arial" w:eastAsia="Arial" w:hAnsi="Arial"/>
          <w:sz w:val="22"/>
          <w:szCs w:val="22"/>
        </w:rPr>
        <w:t xml:space="preserve">inject at prompt time? yes/no — is it rendered into the prompt context for the LLM?</w:t>
      </w:r>
    </w:p>
    <w:p>
      <w:pPr>
        <w:pStyle w:val="Heading1"/>
        <w:spacing w:after="120" w:before="240"/>
      </w:pPr>
      <w:r>
        <w:rPr>
          <w:rFonts w:ascii="Arial" w:cs="Arial" w:eastAsia="Arial" w:hAnsi="Arial"/>
          <w:b/>
          <w:bCs/>
          <w:sz w:val="32"/>
          <w:szCs w:val="32"/>
        </w:rPr>
        <w:t xml:space="preserve">3. eCFR Regulations: Field-by-Field Specification (73 Fields)</w:t>
      </w:r>
    </w:p>
    <w:p>
      <w:pPr>
        <w:pStyle w:val="Heading2"/>
        <w:spacing w:after="120" w:before="240"/>
      </w:pPr>
      <w:r>
        <w:rPr>
          <w:rFonts w:ascii="Arial" w:cs="Arial" w:eastAsia="Arial" w:hAnsi="Arial"/>
          <w:b/>
          <w:bCs/>
          <w:sz w:val="28"/>
          <w:szCs w:val="28"/>
        </w:rPr>
        <w:t xml:space="preserve">3A. Source and Identity</w:t>
      </w:r>
    </w:p>
    <w:tbl>
      <w:tblPr>
        <w:tblW w:type="dxa" w:w="127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700"/>
        <w:gridCol w:w="700"/>
        <w:gridCol w:w="700"/>
        <w:gridCol w:w="700"/>
        <w:gridCol w:w="3200"/>
        <w:gridCol w:w="1860"/>
      </w:tblGrid>
      <w:tr>
        <w:tc>
          <w:tcPr>
            <w:tcW w:type="dxa" w:w="19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Embed</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Index</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Ops</w:t>
            </w:r>
          </w:p>
        </w:tc>
        <w:tc>
          <w:tcPr>
            <w:tcW w:type="dxa" w:w="3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Example Value</w:t>
            </w:r>
          </w:p>
        </w:tc>
        <w:tc>
          <w:tcPr>
            <w:tcW w:type="dxa" w:w="18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doc_id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Unique document identifier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usfed.ecfr.12cfr217.2026</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 key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title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regulation title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Capital Adequacy of BHCs...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title_normalized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Cleaned short title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Capital Adequacy of BHCs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short_title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Regulation letter or abbrev</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 Q</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BM25 matching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slug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URL-safe identifier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reg-q-capital-adequacy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cfr_citation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Formal CFR citation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 CFR Part 217</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Key for retrieval</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part_number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CFR part number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217</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Filtering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regulation_letter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Regulation letter if assigned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regulation_name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Official regulation name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Capital Adequacy of BHCs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regulator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Issuing regulator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Federal Reserve System</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regulator_acronym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Regulator abbreviation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bl>
    <w:p>
      <w:pPr>
        <w:pStyle w:val="Heading2"/>
        <w:spacing w:after="120" w:before="240"/>
      </w:pPr>
      <w:r>
        <w:rPr>
          <w:rFonts w:ascii="Arial" w:cs="Arial" w:eastAsia="Arial" w:hAnsi="Arial"/>
          <w:b/>
          <w:bCs/>
          <w:sz w:val="28"/>
          <w:szCs w:val="28"/>
        </w:rPr>
        <w:t xml:space="preserve">3B. Classification and Authority</w:t>
      </w:r>
    </w:p>
    <w:tbl>
      <w:tblPr>
        <w:tblW w:type="dxa" w:w="127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700"/>
        <w:gridCol w:w="700"/>
        <w:gridCol w:w="700"/>
        <w:gridCol w:w="700"/>
        <w:gridCol w:w="3200"/>
        <w:gridCol w:w="1860"/>
      </w:tblGrid>
      <w:tr>
        <w:tc>
          <w:tcPr>
            <w:tcW w:type="dxa" w:w="19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Embed</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Index</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Ops</w:t>
            </w:r>
          </w:p>
        </w:tc>
        <w:tc>
          <w:tcPr>
            <w:tcW w:type="dxa" w:w="3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Example Value</w:t>
            </w:r>
          </w:p>
        </w:tc>
        <w:tc>
          <w:tcPr>
            <w:tcW w:type="dxa" w:w="18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document_class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Document type category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ecfr_regulation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publication_type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Human-readable type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eCFR Regulation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publication_type_normalized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Machine type code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ecfr_regulation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Filter field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nova_tier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NOVA importance tier (1–4)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Boost weight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authority_class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Regulatory authority classification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primary_normative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authority_level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Binding vs guidance level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binding_regulation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prudential_weight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Numeric weight for ranking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Tier-derived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is_primary_normative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Binding regulation flag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is_supporting_interpretive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Interpretive content flag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false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is_context_only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Reference-only flag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false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jurisdiction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Legal jurisdiction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United States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bl>
    <w:p>
      <w:pPr>
        <w:pStyle w:val="Heading2"/>
        <w:spacing w:after="120" w:before="240"/>
      </w:pPr>
      <w:r>
        <w:rPr>
          <w:rFonts w:ascii="Arial" w:cs="Arial" w:eastAsia="Arial" w:hAnsi="Arial"/>
          <w:b/>
          <w:bCs/>
          <w:sz w:val="28"/>
          <w:szCs w:val="28"/>
        </w:rPr>
        <w:t xml:space="preserve">3C. Temporal and Status</w:t>
      </w:r>
    </w:p>
    <w:tbl>
      <w:tblPr>
        <w:tblW w:type="dxa" w:w="127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700"/>
        <w:gridCol w:w="700"/>
        <w:gridCol w:w="700"/>
        <w:gridCol w:w="700"/>
        <w:gridCol w:w="3200"/>
        <w:gridCol w:w="1860"/>
      </w:tblGrid>
      <w:tr>
        <w:tc>
          <w:tcPr>
            <w:tcW w:type="dxa" w:w="19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Embed</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Index</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Ops</w:t>
            </w:r>
          </w:p>
        </w:tc>
        <w:tc>
          <w:tcPr>
            <w:tcW w:type="dxa" w:w="3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Example Value</w:t>
            </w:r>
          </w:p>
        </w:tc>
        <w:tc>
          <w:tcPr>
            <w:tcW w:type="dxa" w:w="18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Document lifecycle status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Filter: exclude superseded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current_version_flag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 current version</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effective_date_start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When regulation took effect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2026-03-01</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ecfr_current_as_of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eCFR freshness 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2026-03-15</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Scrape tracking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scraped_on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When content was scraped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2026-03-26</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enriched_timestamp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When metadata enriched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2026-03-26T01:00:00Z</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superseded_by_doc_id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Replacement document 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null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supersedes_doc_id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Predecessor document 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null</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bl>
    <w:p>
      <w:pPr>
        <w:pStyle w:val="Heading2"/>
        <w:spacing w:after="120" w:before="240"/>
      </w:pPr>
      <w:r>
        <w:rPr>
          <w:rFonts w:ascii="Arial" w:cs="Arial" w:eastAsia="Arial" w:hAnsi="Arial"/>
          <w:b/>
          <w:bCs/>
          <w:sz w:val="28"/>
          <w:szCs w:val="28"/>
        </w:rPr>
        <w:t xml:space="preserve">3D. Structure and Content</w:t>
      </w:r>
    </w:p>
    <w:tbl>
      <w:tblPr>
        <w:tblW w:type="dxa" w:w="127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700"/>
        <w:gridCol w:w="700"/>
        <w:gridCol w:w="700"/>
        <w:gridCol w:w="700"/>
        <w:gridCol w:w="3200"/>
        <w:gridCol w:w="1860"/>
      </w:tblGrid>
      <w:tr>
        <w:tc>
          <w:tcPr>
            <w:tcW w:type="dxa" w:w="19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Embed</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Index</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Ops</w:t>
            </w:r>
          </w:p>
        </w:tc>
        <w:tc>
          <w:tcPr>
            <w:tcW w:type="dxa" w:w="3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Example Value</w:t>
            </w:r>
          </w:p>
        </w:tc>
        <w:tc>
          <w:tcPr>
            <w:tcW w:type="dxa" w:w="18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section_path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Hierarchical nav path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FRS &gt; 12 CFR &gt; Part 217</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citation_anchor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Stable citation 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#12cfr217</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section_headings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Array of section titles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["Subpart A—General", ...]</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section_count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 of CFR sections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103</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word_count_raw_body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Total word count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45230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toc_depth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Depth of table of contents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has_appendices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Contains appendices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appendix_count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Number of appendices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has_tables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Contains data tables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false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has_footnotes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Contains footnotes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false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bl>
    <w:p>
      <w:pPr>
        <w:pStyle w:val="Heading2"/>
        <w:spacing w:after="120" w:before="240"/>
      </w:pPr>
      <w:r>
        <w:rPr>
          <w:rFonts w:ascii="Arial" w:cs="Arial" w:eastAsia="Arial" w:hAnsi="Arial"/>
          <w:b/>
          <w:bCs/>
          <w:sz w:val="28"/>
          <w:szCs w:val="28"/>
        </w:rPr>
        <w:t xml:space="preserve">3E. Applicability</w:t>
      </w:r>
    </w:p>
    <w:tbl>
      <w:tblPr>
        <w:tblW w:type="dxa" w:w="127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700"/>
        <w:gridCol w:w="700"/>
        <w:gridCol w:w="700"/>
        <w:gridCol w:w="700"/>
        <w:gridCol w:w="3200"/>
        <w:gridCol w:w="1860"/>
      </w:tblGrid>
      <w:tr>
        <w:tc>
          <w:tcPr>
            <w:tcW w:type="dxa" w:w="19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Embed</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Index</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Ops</w:t>
            </w:r>
          </w:p>
        </w:tc>
        <w:tc>
          <w:tcPr>
            <w:tcW w:type="dxa" w:w="3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Example Value</w:t>
            </w:r>
          </w:p>
        </w:tc>
        <w:tc>
          <w:tcPr>
            <w:tcW w:type="dxa" w:w="18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applies_to_state_member_banks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Applies to SMBs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applies_to_bank_holding_companies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Applies to BHCs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applies_to_savings_loan_holding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Applies to SLHCs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false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applies_to_foreign_banking_orgs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Applies to FBOs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false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applies_to_nonbank_financial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Applies to SIFIs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false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applies_to_edge_agreement_corps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Applies to Edge/Agreement corps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false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bl>
    <w:p>
      <w:pPr>
        <w:pStyle w:val="Heading2"/>
        <w:spacing w:after="120" w:before="240"/>
      </w:pPr>
      <w:r>
        <w:rPr>
          <w:rFonts w:ascii="Arial" w:cs="Arial" w:eastAsia="Arial" w:hAnsi="Arial"/>
          <w:b/>
          <w:bCs/>
          <w:sz w:val="28"/>
          <w:szCs w:val="28"/>
        </w:rPr>
        <w:t xml:space="preserve">3F. Integrity and Pipeline</w:t>
      </w:r>
    </w:p>
    <w:tbl>
      <w:tblPr>
        <w:tblW w:type="dxa" w:w="127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700"/>
        <w:gridCol w:w="700"/>
        <w:gridCol w:w="700"/>
        <w:gridCol w:w="700"/>
        <w:gridCol w:w="3200"/>
        <w:gridCol w:w="1860"/>
      </w:tblGrid>
      <w:tr>
        <w:tc>
          <w:tcPr>
            <w:tcW w:type="dxa" w:w="19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Embed</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Index</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Ops</w:t>
            </w:r>
          </w:p>
        </w:tc>
        <w:tc>
          <w:tcPr>
            <w:tcW w:type="dxa" w:w="3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Example Value</w:t>
            </w:r>
          </w:p>
        </w:tc>
        <w:tc>
          <w:tcPr>
            <w:tcW w:type="dxa" w:w="18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normalized_text_sha256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SHA256 of MD content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a1b2c3d4...</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Change detection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normalized_md_path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Path to MD file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ecfr/md/12CFR217.md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canonical_json_path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Path to JSON file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ecfr/json/12CFR217.json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source_url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Original eCFR URL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https://ecfr.gov/...</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content_source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Source system name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eCFR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parser_version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Parser version tag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nova-ecfr-scraper-v1</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normalizer_version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Enricher version tag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nova-ecfr-enricher-v2</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quality_score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Metadata quality (0–100)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97</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quality_flags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Quality issues array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bm25_text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Composite BM25 search text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 Q Capital Adequacy...</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vector_text_prefix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Embedding prefix text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 Federal Reserve 12 CFR...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bl>
    <w:p>
      <w:r>
        <w:br w:type="page"/>
      </w:r>
    </w:p>
    <w:p>
      <w:pPr>
        <w:pStyle w:val="Heading1"/>
        <w:spacing w:after="120" w:before="240"/>
      </w:pPr>
      <w:r>
        <w:rPr>
          <w:rFonts w:ascii="Arial" w:cs="Arial" w:eastAsia="Arial" w:hAnsi="Arial"/>
          <w:b/>
          <w:bCs/>
          <w:sz w:val="32"/>
          <w:szCs w:val="32"/>
        </w:rPr>
        <w:t xml:space="preserve">4. Federal Register: Field-by-Field Specification (71 Fields)</w:t>
      </w:r>
    </w:p>
    <w:p>
      <w:pPr>
        <w:spacing w:after="120"/>
      </w:pPr>
      <w:r>
        <w:rPr>
          <w:rFonts w:ascii="Arial" w:cs="Arial" w:eastAsia="Arial" w:hAnsi="Arial"/>
          <w:sz w:val="22"/>
          <w:szCs w:val="22"/>
        </w:rPr>
        <w:t xml:space="preserve">The Federal Register sub-corpus shares most fields with eCFR but adds document-specific fields for FR documents (document_number, docket_ids, action, cfr_references, agencies) and removes eCFR-specific fields (part_number, regulation_letter, etc.). Key differences are noted below.</w:t>
      </w:r>
    </w:p>
    <w:p>
      <w:pPr>
        <w:pStyle w:val="Heading2"/>
        <w:spacing w:after="120" w:before="240"/>
      </w:pPr>
      <w:r>
        <w:rPr>
          <w:rFonts w:ascii="Arial" w:cs="Arial" w:eastAsia="Arial" w:hAnsi="Arial"/>
          <w:b/>
          <w:bCs/>
          <w:sz w:val="28"/>
          <w:szCs w:val="28"/>
        </w:rPr>
        <w:t xml:space="preserve">4A. FR-Specific Identity Fields</w:t>
      </w:r>
    </w:p>
    <w:tbl>
      <w:tblPr>
        <w:tblW w:type="dxa" w:w="127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700"/>
        <w:gridCol w:w="700"/>
        <w:gridCol w:w="700"/>
        <w:gridCol w:w="700"/>
        <w:gridCol w:w="3200"/>
        <w:gridCol w:w="1860"/>
      </w:tblGrid>
      <w:tr>
        <w:tc>
          <w:tcPr>
            <w:tcW w:type="dxa" w:w="19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Embed</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Index</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Ops</w:t>
            </w:r>
          </w:p>
        </w:tc>
        <w:tc>
          <w:tcPr>
            <w:tcW w:type="dxa" w:w="3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Example Value</w:t>
            </w:r>
          </w:p>
        </w:tc>
        <w:tc>
          <w:tcPr>
            <w:tcW w:type="dxa" w:w="18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document_number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 document number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2024-12345</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Unique ID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publication_date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 publication date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2024-06-15</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Regulatory action type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Final rule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docket_ids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Docket identifiers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["Docket No. R-1234"]</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cfr_references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Affected CFR parts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 CFR Part 217"]</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Cross-reference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agencies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Publishing agencies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["Federal Reserve System"]</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page_length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 page count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45</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pdf_url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Official govinfo.gov PDF</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https://govinfo.gov/...</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Future download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html_url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 HTML version URL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https://federalregister.gov/...</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bl>
    <w:p>
      <w:pPr>
        <w:pStyle w:val="Heading2"/>
        <w:spacing w:after="120" w:before="240"/>
      </w:pPr>
      <w:r>
        <w:rPr>
          <w:rFonts w:ascii="Arial" w:cs="Arial" w:eastAsia="Arial" w:hAnsi="Arial"/>
          <w:b/>
          <w:bCs/>
          <w:sz w:val="28"/>
          <w:szCs w:val="28"/>
        </w:rPr>
        <w:t xml:space="preserve">4B. FR Publication Type Mapping</w:t>
      </w:r>
    </w:p>
    <w:tbl>
      <w:tblPr>
        <w:tblW w:type="dxa" w:w="127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gridCol w:w="2760"/>
      </w:tblGrid>
      <w:tr>
        <w:tc>
          <w:tcPr>
            <w:tcW w:type="dxa" w:w="25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document_class</w:t>
            </w:r>
          </w:p>
        </w:tc>
        <w:tc>
          <w:tcPr>
            <w:tcW w:type="dxa" w:w="25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publication_type</w:t>
            </w:r>
          </w:p>
        </w:tc>
        <w:tc>
          <w:tcPr>
            <w:tcW w:type="dxa" w:w="25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authority_level</w:t>
            </w:r>
          </w:p>
        </w:tc>
        <w:tc>
          <w:tcPr>
            <w:tcW w:type="dxa" w:w="25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is_primary_normative</w:t>
            </w:r>
          </w:p>
        </w:tc>
        <w:tc>
          <w:tcPr>
            <w:tcW w:type="dxa" w:w="27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Count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final_rule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Final Rule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binding_regulation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946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proposed_rule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Proposed Rule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proposed_regulation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false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521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notice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Notice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informational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false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964</w:t>
            </w:r>
          </w:p>
        </w:tc>
      </w:tr>
    </w:tbl>
    <w:p>
      <w:r>
        <w:br w:type="page"/>
      </w:r>
    </w:p>
    <w:p>
      <w:pPr>
        <w:pStyle w:val="Heading1"/>
        <w:spacing w:after="120" w:before="240"/>
      </w:pPr>
      <w:r>
        <w:rPr>
          <w:rFonts w:ascii="Arial" w:cs="Arial" w:eastAsia="Arial" w:hAnsi="Arial"/>
          <w:b/>
          <w:bCs/>
          <w:sz w:val="32"/>
          <w:szCs w:val="32"/>
        </w:rPr>
        <w:t xml:space="preserve">5. SR Letters: Field-by-Field Specification (67 Fields)</w:t>
      </w:r>
    </w:p>
    <w:p>
      <w:pPr>
        <w:spacing w:after="120"/>
      </w:pPr>
      <w:r>
        <w:rPr>
          <w:rFonts w:ascii="Arial" w:cs="Arial" w:eastAsia="Arial" w:hAnsi="Arial"/>
          <w:sz w:val="22"/>
          <w:szCs w:val="22"/>
        </w:rPr>
        <w:t xml:space="preserve">SR letters are supervisory guidance, not binding regulations. They share the common NOVA fields but add SR-specific identification and classification fields.</w:t>
      </w:r>
    </w:p>
    <w:p>
      <w:pPr>
        <w:pStyle w:val="Heading2"/>
        <w:spacing w:after="120" w:before="240"/>
      </w:pPr>
      <w:r>
        <w:rPr>
          <w:rFonts w:ascii="Arial" w:cs="Arial" w:eastAsia="Arial" w:hAnsi="Arial"/>
          <w:b/>
          <w:bCs/>
          <w:sz w:val="28"/>
          <w:szCs w:val="28"/>
        </w:rPr>
        <w:t xml:space="preserve">5A. SR-Specific Identity Fields</w:t>
      </w:r>
    </w:p>
    <w:tbl>
      <w:tblPr>
        <w:tblW w:type="dxa" w:w="127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700"/>
        <w:gridCol w:w="700"/>
        <w:gridCol w:w="700"/>
        <w:gridCol w:w="700"/>
        <w:gridCol w:w="3200"/>
        <w:gridCol w:w="1860"/>
      </w:tblGrid>
      <w:tr>
        <w:tc>
          <w:tcPr>
            <w:tcW w:type="dxa" w:w="19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Embed</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Index</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Prompt</w:t>
            </w:r>
          </w:p>
        </w:tc>
        <w:tc>
          <w:tcPr>
            <w:tcW w:type="dxa" w:w="7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Ops</w:t>
            </w:r>
          </w:p>
        </w:tc>
        <w:tc>
          <w:tcPr>
            <w:tcW w:type="dxa" w:w="3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Example Value</w:t>
            </w:r>
          </w:p>
        </w:tc>
        <w:tc>
          <w:tcPr>
            <w:tcW w:type="dxa" w:w="18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sr_letter_number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 letter identifier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 12-7</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sr_year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year of issuance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2012</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sr_sequence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Sequence number within year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applicability_raw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Original applicability text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State member banks, BHCs...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LLM context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issuing_agency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agency name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Board of Governors of the FRS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issuing_division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Division within agency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Division of Supervision and Regulation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source_url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Original SR letter URL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https://federalreserve.gov/...</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applies_to_large_institutions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Applies to LFIs (Cat I–IV)</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SR-specific flag</w:t>
            </w:r>
          </w:p>
        </w:tc>
      </w:tr>
    </w:tbl>
    <w:p>
      <w:pPr>
        <w:pStyle w:val="Heading2"/>
        <w:spacing w:after="120" w:before="240"/>
      </w:pPr>
      <w:r>
        <w:rPr>
          <w:rFonts w:ascii="Arial" w:cs="Arial" w:eastAsia="Arial" w:hAnsi="Arial"/>
          <w:b/>
          <w:bCs/>
          <w:sz w:val="28"/>
          <w:szCs w:val="28"/>
        </w:rPr>
        <w:t xml:space="preserve">5B. SR Authority Classification</w:t>
      </w:r>
    </w:p>
    <w:tbl>
      <w:tblPr>
        <w:tblW w:type="dxa" w:w="127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000"/>
        <w:gridCol w:w="3960"/>
      </w:tblGrid>
      <w:tr>
        <w:tc>
          <w:tcPr>
            <w:tcW w:type="dxa" w:w="2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authority_class</w:t>
            </w:r>
          </w:p>
        </w:tc>
        <w:tc>
          <w:tcPr>
            <w:tcW w:type="dxa" w:w="3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document_class</w:t>
            </w:r>
          </w:p>
        </w:tc>
        <w:tc>
          <w:tcPr>
            <w:tcW w:type="dxa" w:w="3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9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supervisory_guidance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sr_letter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Standard SR letter with supervisory expectations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 11-7: Guidance on Model Risk Management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reference_interpretive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interagency_guidance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Interagency advisory or interpretive guidance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 99-18: Interagency Guidance on Subprime Lending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primary_normative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examination_guidance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Examination procedures and inspection manuals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 13-1: Supplemental Policy Statement</w:t>
            </w:r>
          </w:p>
        </w:tc>
      </w:tr>
    </w:tbl>
    <w:p>
      <w:r>
        <w:br w:type="page"/>
      </w:r>
    </w:p>
    <w:p>
      <w:pPr>
        <w:pStyle w:val="Heading1"/>
        <w:spacing w:after="120" w:before="240"/>
      </w:pPr>
      <w:r>
        <w:rPr>
          <w:rFonts w:ascii="Arial" w:cs="Arial" w:eastAsia="Arial" w:hAnsi="Arial"/>
          <w:b/>
          <w:bCs/>
          <w:sz w:val="32"/>
          <w:szCs w:val="32"/>
        </w:rPr>
        <w:t xml:space="preserve">6. Implementation Lists by Destination</w:t>
      </w:r>
    </w:p>
    <w:p>
      <w:pPr>
        <w:pStyle w:val="Heading2"/>
        <w:spacing w:after="120" w:before="240"/>
      </w:pPr>
      <w:r>
        <w:rPr>
          <w:rFonts w:ascii="Arial" w:cs="Arial" w:eastAsia="Arial" w:hAnsi="Arial"/>
          <w:b/>
          <w:bCs/>
          <w:sz w:val="28"/>
          <w:szCs w:val="28"/>
        </w:rPr>
        <w:t xml:space="preserve">6.1 Fields to Embed (Rule 1)</w:t>
      </w:r>
    </w:p>
    <w:p>
      <w:pPr>
        <w:spacing w:after="120"/>
      </w:pPr>
      <w:r>
        <w:rPr>
          <w:rFonts w:ascii="Arial" w:cs="Arial" w:eastAsia="Arial" w:hAnsi="Arial"/>
          <w:sz w:val="22"/>
          <w:szCs w:val="22"/>
        </w:rPr>
        <w:t xml:space="preserve">These fields are serialized into chunk text before the embedding model processes the chunk. They shift the vector representation.</w:t>
      </w:r>
    </w:p>
    <w:p>
      <w:pPr>
        <w:pStyle w:val="ListParagraph"/>
        <w:numPr>
          <w:ilvl w:val="0"/>
          <w:numId w:val="2"/>
        </w:numPr>
        <w:spacing w:after="60"/>
      </w:pPr>
      <w:r>
        <w:rPr>
          <w:rFonts w:ascii="Arial" w:cs="Arial" w:eastAsia="Arial" w:hAnsi="Arial"/>
          <w:sz w:val="22"/>
          <w:szCs w:val="22"/>
        </w:rPr>
        <w:t xml:space="preserve">doc_id, short_title, document_class, regulator, regulator_acronym, section_path, vector_text_prefix</w:t>
      </w:r>
    </w:p>
    <w:p>
      <w:pPr>
        <w:pStyle w:val="ListParagraph"/>
        <w:numPr>
          <w:ilvl w:val="0"/>
          <w:numId w:val="2"/>
        </w:numPr>
        <w:spacing w:after="60"/>
      </w:pPr>
      <w:r>
        <w:rPr>
          <w:rFonts w:ascii="Arial" w:cs="Arial" w:eastAsia="Arial" w:hAnsi="Arial"/>
          <w:sz w:val="22"/>
          <w:szCs w:val="22"/>
        </w:rPr>
        <w:t xml:space="preserve">eCFR-specific: cfr_citation, regulation_letter</w:t>
      </w:r>
    </w:p>
    <w:p>
      <w:pPr>
        <w:pStyle w:val="ListParagraph"/>
        <w:numPr>
          <w:ilvl w:val="0"/>
          <w:numId w:val="2"/>
        </w:numPr>
        <w:spacing w:after="60"/>
      </w:pPr>
      <w:r>
        <w:rPr>
          <w:rFonts w:ascii="Arial" w:cs="Arial" w:eastAsia="Arial" w:hAnsi="Arial"/>
          <w:sz w:val="22"/>
          <w:szCs w:val="22"/>
        </w:rPr>
        <w:t xml:space="preserve">FR-specific: cfr_references (affected parts)</w:t>
      </w:r>
    </w:p>
    <w:p>
      <w:pPr>
        <w:pStyle w:val="ListParagraph"/>
        <w:numPr>
          <w:ilvl w:val="0"/>
          <w:numId w:val="2"/>
        </w:numPr>
        <w:spacing w:after="60"/>
      </w:pPr>
      <w:r>
        <w:rPr>
          <w:rFonts w:ascii="Arial" w:cs="Arial" w:eastAsia="Arial" w:hAnsi="Arial"/>
          <w:sz w:val="22"/>
          <w:szCs w:val="22"/>
        </w:rPr>
        <w:t xml:space="preserve">SR-specific: sr_letter_number</w:t>
      </w:r>
    </w:p>
    <w:p>
      <w:pPr>
        <w:pStyle w:val="Heading2"/>
        <w:spacing w:after="120" w:before="240"/>
      </w:pPr>
      <w:r>
        <w:rPr>
          <w:rFonts w:ascii="Arial" w:cs="Arial" w:eastAsia="Arial" w:hAnsi="Arial"/>
          <w:b/>
          <w:bCs/>
          <w:sz w:val="28"/>
          <w:szCs w:val="28"/>
        </w:rPr>
        <w:t xml:space="preserve">6.2 Fields to Index (Rule 2)</w:t>
      </w:r>
    </w:p>
    <w:p>
      <w:pPr>
        <w:spacing w:after="120"/>
      </w:pPr>
      <w:r>
        <w:rPr>
          <w:rFonts w:ascii="Arial" w:cs="Arial" w:eastAsia="Arial" w:hAnsi="Arial"/>
          <w:sz w:val="22"/>
          <w:szCs w:val="22"/>
        </w:rPr>
        <w:t xml:space="preserve">These fields are stored as filterable/boostable columns in Elasticsearch and PGVector.</w:t>
      </w:r>
    </w:p>
    <w:p>
      <w:pPr>
        <w:pStyle w:val="ListParagraph"/>
        <w:numPr>
          <w:ilvl w:val="0"/>
          <w:numId w:val="2"/>
        </w:numPr>
        <w:spacing w:after="60"/>
      </w:pPr>
      <w:r>
        <w:rPr>
          <w:rFonts w:ascii="Arial" w:cs="Arial" w:eastAsia="Arial" w:hAnsi="Arial"/>
          <w:sz w:val="22"/>
          <w:szCs w:val="22"/>
        </w:rPr>
        <w:t xml:space="preserve">Universal: status, current_version_flag, jurisdiction, nova_tier, authority_class, authority_level, prudential_weight, publication_type, effective_date_start, bm25_text</w:t>
      </w:r>
    </w:p>
    <w:p>
      <w:pPr>
        <w:pStyle w:val="ListParagraph"/>
        <w:numPr>
          <w:ilvl w:val="0"/>
          <w:numId w:val="2"/>
        </w:numPr>
        <w:spacing w:after="60"/>
      </w:pPr>
      <w:r>
        <w:rPr>
          <w:rFonts w:ascii="Arial" w:cs="Arial" w:eastAsia="Arial" w:hAnsi="Arial"/>
          <w:sz w:val="22"/>
          <w:szCs w:val="22"/>
        </w:rPr>
        <w:t xml:space="preserve">Applicability: applies_to_state_member_banks, applies_to_bank_holding_companies, applies_to_savings_loan_holding, applies_to_foreign_banking_orgs, applies_to_nonbank_financial, applies_to_edge_agreement_corps</w:t>
      </w:r>
    </w:p>
    <w:p>
      <w:pPr>
        <w:pStyle w:val="ListParagraph"/>
        <w:numPr>
          <w:ilvl w:val="0"/>
          <w:numId w:val="2"/>
        </w:numPr>
        <w:spacing w:after="60"/>
      </w:pPr>
      <w:r>
        <w:rPr>
          <w:rFonts w:ascii="Arial" w:cs="Arial" w:eastAsia="Arial" w:hAnsi="Arial"/>
          <w:sz w:val="22"/>
          <w:szCs w:val="22"/>
        </w:rPr>
        <w:t xml:space="preserve">Content: section_headings, has_appendices, has_tables, has_footnotes, inline_cross_references</w:t>
      </w:r>
    </w:p>
    <w:p>
      <w:pPr>
        <w:pStyle w:val="Heading2"/>
        <w:spacing w:after="120" w:before="240"/>
      </w:pPr>
      <w:r>
        <w:rPr>
          <w:rFonts w:ascii="Arial" w:cs="Arial" w:eastAsia="Arial" w:hAnsi="Arial"/>
          <w:b/>
          <w:bCs/>
          <w:sz w:val="28"/>
          <w:szCs w:val="28"/>
        </w:rPr>
        <w:t xml:space="preserve">6.3 Fields to Inject at Prompt Time (Rule 3)</w:t>
      </w:r>
    </w:p>
    <w:p>
      <w:pPr>
        <w:spacing w:after="120"/>
      </w:pPr>
      <w:r>
        <w:rPr>
          <w:rFonts w:ascii="Arial" w:cs="Arial" w:eastAsia="Arial" w:hAnsi="Arial"/>
          <w:sz w:val="22"/>
          <w:szCs w:val="22"/>
        </w:rPr>
        <w:t xml:space="preserve">These fields are rendered into the prompt context header so the LLM can reason about source, authority, and temporal validity.</w:t>
      </w:r>
    </w:p>
    <w:p>
      <w:pPr>
        <w:pStyle w:val="ListParagraph"/>
        <w:numPr>
          <w:ilvl w:val="0"/>
          <w:numId w:val="2"/>
        </w:numPr>
        <w:spacing w:after="60"/>
      </w:pPr>
      <w:r>
        <w:rPr>
          <w:rFonts w:ascii="Arial" w:cs="Arial" w:eastAsia="Arial" w:hAnsi="Arial"/>
          <w:sz w:val="22"/>
          <w:szCs w:val="22"/>
        </w:rPr>
        <w:t xml:space="preserve">title, regulator, citation_anchor, status, current_version_flag, effective_date_start, authority_class, nova_tier, jurisdiction</w:t>
      </w:r>
    </w:p>
    <w:p>
      <w:pPr>
        <w:pStyle w:val="ListParagraph"/>
        <w:numPr>
          <w:ilvl w:val="0"/>
          <w:numId w:val="2"/>
        </w:numPr>
        <w:spacing w:after="60"/>
      </w:pPr>
      <w:r>
        <w:rPr>
          <w:rFonts w:ascii="Arial" w:cs="Arial" w:eastAsia="Arial" w:hAnsi="Arial"/>
          <w:sz w:val="22"/>
          <w:szCs w:val="22"/>
        </w:rPr>
        <w:t xml:space="preserve">SR-specific: applicability_raw (tells the LLM which institutions are covered)</w:t>
      </w:r>
    </w:p>
    <w:p>
      <w:pPr>
        <w:pStyle w:val="Heading2"/>
        <w:spacing w:after="120" w:before="240"/>
      </w:pPr>
      <w:r>
        <w:rPr>
          <w:rFonts w:ascii="Arial" w:cs="Arial" w:eastAsia="Arial" w:hAnsi="Arial"/>
          <w:b/>
          <w:bCs/>
          <w:sz w:val="28"/>
          <w:szCs w:val="28"/>
        </w:rPr>
        <w:t xml:space="preserve">6.4 Operational-Only Fields</w:t>
      </w:r>
    </w:p>
    <w:p>
      <w:pPr>
        <w:spacing w:after="120"/>
      </w:pPr>
      <w:r>
        <w:rPr>
          <w:rFonts w:ascii="Arial" w:cs="Arial" w:eastAsia="Arial" w:hAnsi="Arial"/>
          <w:sz w:val="22"/>
          <w:szCs w:val="22"/>
        </w:rPr>
        <w:t xml:space="preserve">Stored in JSON for traceability and pipeline management. Never embedded, indexed, or prompted.</w:t>
      </w:r>
    </w:p>
    <w:p>
      <w:pPr>
        <w:pStyle w:val="ListParagraph"/>
        <w:numPr>
          <w:ilvl w:val="0"/>
          <w:numId w:val="2"/>
        </w:numPr>
        <w:spacing w:after="60"/>
      </w:pPr>
      <w:r>
        <w:rPr>
          <w:rFonts w:ascii="Arial" w:cs="Arial" w:eastAsia="Arial" w:hAnsi="Arial"/>
          <w:sz w:val="22"/>
          <w:szCs w:val="22"/>
        </w:rPr>
        <w:t xml:space="preserve">normalized_text_sha256, normalized_md_path, canonical_json_path, source_url, parser_version, normalizer_version, quality_score, quality_flags, enriched_timestamp, scraped_on</w:t>
      </w:r>
    </w:p>
    <w:p>
      <w:pPr>
        <w:pStyle w:val="Heading1"/>
        <w:spacing w:after="120" w:before="240"/>
      </w:pPr>
      <w:r>
        <w:rPr>
          <w:rFonts w:ascii="Arial" w:cs="Arial" w:eastAsia="Arial" w:hAnsi="Arial"/>
          <w:b/>
          <w:bCs/>
          <w:sz w:val="32"/>
          <w:szCs w:val="32"/>
        </w:rPr>
        <w:t xml:space="preserve">7. Strongest Recommendations</w:t>
      </w:r>
    </w:p>
    <w:p>
      <w:pPr>
        <w:pStyle w:val="ListParagraph"/>
        <w:numPr>
          <w:ilvl w:val="0"/>
          <w:numId w:val="2"/>
        </w:numPr>
        <w:spacing w:after="60"/>
      </w:pPr>
      <w:r>
        <w:rPr>
          <w:rFonts w:ascii="Arial" w:cs="Arial" w:eastAsia="Arial" w:hAnsi="Arial"/>
          <w:sz w:val="22"/>
          <w:szCs w:val="22"/>
        </w:rPr>
        <w:t xml:space="preserve">Never embed status, dates, or tier numbers into chunk text. They add noise to the vector without improving retrieval accuracy. Use them as index filters and prompt injections instead.</w:t>
      </w:r>
    </w:p>
    <w:p>
      <w:pPr>
        <w:pStyle w:val="ListParagraph"/>
        <w:numPr>
          <w:ilvl w:val="0"/>
          <w:numId w:val="2"/>
        </w:numPr>
        <w:spacing w:after="60"/>
      </w:pPr>
      <w:r>
        <w:rPr>
          <w:rFonts w:ascii="Arial" w:cs="Arial" w:eastAsia="Arial" w:hAnsi="Arial"/>
          <w:sz w:val="22"/>
          <w:szCs w:val="22"/>
        </w:rPr>
        <w:t xml:space="preserve">Always embed regulator and cfr_citation/sr_letter_number. These are the strongest discriminators in a multi-jurisdiction corpus.</w:t>
      </w:r>
    </w:p>
    <w:p>
      <w:pPr>
        <w:pStyle w:val="ListParagraph"/>
        <w:numPr>
          <w:ilvl w:val="0"/>
          <w:numId w:val="2"/>
        </w:numPr>
        <w:spacing w:after="60"/>
      </w:pPr>
      <w:r>
        <w:rPr>
          <w:rFonts w:ascii="Arial" w:cs="Arial" w:eastAsia="Arial" w:hAnsi="Arial"/>
          <w:sz w:val="22"/>
          <w:szCs w:val="22"/>
        </w:rPr>
        <w:t xml:space="preserve">Use bm25_text for keyword matching, not the raw markdown. The bm25_text field is a curated composite of short_title, title, action, and abstract/headings.</w:t>
      </w:r>
    </w:p>
    <w:p>
      <w:pPr>
        <w:pStyle w:val="ListParagraph"/>
        <w:numPr>
          <w:ilvl w:val="0"/>
          <w:numId w:val="2"/>
        </w:numPr>
        <w:spacing w:after="60"/>
      </w:pPr>
      <w:r>
        <w:rPr>
          <w:rFonts w:ascii="Arial" w:cs="Arial" w:eastAsia="Arial" w:hAnsi="Arial"/>
          <w:sz w:val="22"/>
          <w:szCs w:val="22"/>
        </w:rPr>
        <w:t xml:space="preserve">Filter on status=active by default. Only include superseded content when the user explicitly requests historical analysis.</w:t>
      </w:r>
    </w:p>
    <w:p>
      <w:pPr>
        <w:pStyle w:val="ListParagraph"/>
        <w:numPr>
          <w:ilvl w:val="0"/>
          <w:numId w:val="2"/>
        </w:numPr>
        <w:spacing w:after="60"/>
      </w:pPr>
      <w:r>
        <w:rPr>
          <w:rFonts w:ascii="Arial" w:cs="Arial" w:eastAsia="Arial" w:hAnsi="Arial"/>
          <w:sz w:val="22"/>
          <w:szCs w:val="22"/>
        </w:rPr>
        <w:t xml:space="preserve">Boost by nova_tier. Tier 1 documents (core capital/liquidity rules) should rank higher than tier 3 (administrative notices) for general queries.</w:t>
      </w:r>
    </w:p>
    <w:p>
      <w:pPr>
        <w:pStyle w:val="ListParagraph"/>
        <w:numPr>
          <w:ilvl w:val="0"/>
          <w:numId w:val="2"/>
        </w:numPr>
        <w:spacing w:after="60"/>
      </w:pPr>
      <w:r>
        <w:rPr>
          <w:rFonts w:ascii="Arial" w:cs="Arial" w:eastAsia="Arial" w:hAnsi="Arial"/>
          <w:sz w:val="22"/>
          <w:szCs w:val="22"/>
        </w:rPr>
        <w:t xml:space="preserve">Inject authority_class at prompt time. The LLM needs to know whether it is citing a binding regulation (eCFR), a proposed rule (FR), or supervisory guidance (SR) to generate accurate compliance advice.</w:t>
      </w:r>
    </w:p>
    <w:p>
      <w:pPr>
        <w:pStyle w:val="ListParagraph"/>
        <w:numPr>
          <w:ilvl w:val="0"/>
          <w:numId w:val="2"/>
        </w:numPr>
        <w:spacing w:after="60"/>
      </w:pPr>
      <w:r>
        <w:rPr>
          <w:rFonts w:ascii="Arial" w:cs="Arial" w:eastAsia="Arial" w:hAnsi="Arial"/>
          <w:sz w:val="22"/>
          <w:szCs w:val="22"/>
        </w:rPr>
        <w:t xml:space="preserve">Use applies_to_* flags for institution-specific queries. A query about foreign banking organization requirements should only surface FBO-applicable documents.</w:t>
      </w:r>
    </w:p>
    <w:sectPr>
      <w:headerReference w:type="default" r:id="rId7"/>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6" w:space="1"/>
      </w:pBdr>
    </w:pPr>
    <w:r>
      <w:rPr>
        <w:rFonts w:ascii="Arial" w:cs="Arial" w:eastAsia="Arial" w:hAnsi="Arial"/>
        <w:color w:val="003366"/>
        <w:sz w:val="18"/>
        <w:szCs w:val="18"/>
      </w:rPr>
      <w:t xml:space="preserve">NOVA Metadata Build Specification — US Federal Reserve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3366"/>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00336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00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2026-03-26T05:34:53.818Z</dcterms:created>
  <dcterms:modified xsi:type="dcterms:W3CDTF">2026-03-26T05:34:53.818Z</dcterms:modified>
</cp:coreProperties>
</file>

<file path=docProps/custom.xml><?xml version="1.0" encoding="utf-8"?>
<Properties xmlns="http://schemas.openxmlformats.org/officeDocument/2006/custom-properties" xmlns:vt="http://schemas.openxmlformats.org/officeDocument/2006/docPropsVTypes"/>
</file>