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3366"/>
          <w:sz w:val="48"/>
          <w:szCs w:val="48"/>
        </w:rPr>
        <w:t xml:space="preserve">NOVA RAG Pipeline</w:t>
      </w:r>
    </w:p>
    <w:p>
      <w:pPr>
        <w:spacing w:after="100"/>
        <w:jc w:val="center"/>
      </w:pPr>
      <w:r>
        <w:rPr>
          <w:rFonts w:ascii="Arial" w:cs="Arial" w:eastAsia="Arial" w:hAnsi="Arial"/>
          <w:color w:val="003366"/>
          <w:sz w:val="28"/>
          <w:szCs w:val="28"/>
        </w:rPr>
        <w:t xml:space="preserve">ADLS → Elasticsearch + PGVector → GPT</w:t>
      </w:r>
    </w:p>
    <w:p>
      <w:pPr>
        <w:spacing w:after="200"/>
        <w:jc w:val="center"/>
      </w:pPr>
      <w:r>
        <w:rPr>
          <w:rFonts w:ascii="Arial" w:cs="Arial" w:eastAsia="Arial" w:hAnsi="Arial"/>
          <w:color w:val="003366"/>
          <w:sz w:val="28"/>
          <w:szCs w:val="28"/>
        </w:rPr>
        <w:t xml:space="preserve">Production Implementation Guide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US Federal Reserve Regulations Corpus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eCFR Binding Regulations, Federal Register Documents, and SR Letters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Dual Vector Store: Elasticsearch + PGVector</w:t>
      </w:r>
    </w:p>
    <w:p>
      <w:pPr>
        <w:spacing w:before="400"/>
        <w:jc w:val="center"/>
      </w:pPr>
      <w:r>
        <w:rPr>
          <w:rFonts w:ascii="Arial" w:cs="Arial" w:eastAsia="Arial" w:hAnsi="Arial"/>
          <w:sz w:val="22"/>
          <w:szCs w:val="22"/>
        </w:rPr>
        <w:t xml:space="preserve">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Architecture Overview and Dual-Store Design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Ingestion Path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ingestion script performs the following sequence for each US Federal Reserve document: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 raw file from ADLS Bronze layer (HTML/PDF for audit) or Silver layer (JSON metadata, MD content)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a DocumentRegistryRow for lineage and deduplication using doc_id and normalized_text_sha256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Route to the appropriate parser: eCFR JSON parser, Federal Register API parser, or SR letter HTML parser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Normalize into a CanonicalDocument with CanonicalUnit children (one unit per CFR section, FR paragraph, or SR section)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the canonical JSON to ADLS Silver layer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chunk documents with compact semantic headers and full index metadata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Generate dense vector embeddings via OpenAI text-embedding-3-large (1536 dimensions)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Index chunks into Elasticsearch (BM25 text + dense vector + metadata filters)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Index chunks into PGVector (dense vector + metadata columns for SQL-based filtering)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Retrieval Path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Embed the user query using the same embedding model (text-embedding-3-large)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Apply metadata pre-filters: status=active, jurisdiction=United States, plus any query-derived filters (institution type, publication type, date range)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Execute hybrid search: BM25 + kNN with RRF fusion (Elasticsearch) in parallel with ANN with SQL WHERE (PGVector)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Fuse results using Reciprocal Rank Fusion (RRF) with k=60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Render retrieved chunks with prompt-time metadata injection (title, status, authority_class, effective_date, nova_tier, jurisdiction)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Return assembled prompt context to the LLM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Target Operating Model for US Fed Corpus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US Federal Reserve corpus introduces three distinct document types into the NOVA pipeline, each with different authority levels, content structures, and retrieval characteristics.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Characteristic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eCFR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Federal Register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SR Letters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Binding regulation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 (binding/proposed/info)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Supervisory guidance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Chunking Strategy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 CFR section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 paragraph with headings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 section or ~500 tokens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Identifier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CFR citation (12 CFR 217)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number (2024-12345)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 number (SR 12-7)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Supersession 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current (eCFR updated)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 docs supersede each other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Letters may be rescinded/replaced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Default Boost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(binding law)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Varies by 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(guidance)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Typical Query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"What does Reg Q say about..."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"Latest rule on capital..."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"Supervisory expectations for..."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What Gets Embedded vs. Indexed vs. Injected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Embedding Construction (Rule 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each chunk, the embedding input is constructed by prepending Rule 1 fields to the chunk text. The template differs slightly by sub-corpus: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eCFR embedding template: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[FRS] [12 CFR Part 217] [Reg Q] [ecfr_regulation]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[Subpart A &gt; General Provisions &gt; 217.1 Purpose]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{chunk_text}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Federal Register embedding template: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[FRS] [2024-12345] [final_rule]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[Capital Adequacy &gt; Risk-Based Capital Requirements]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{chunk_text}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SR Letter embedding template: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[FRS] [SR 12-7] [sr_letter]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[Model Risk Management &gt; Governance]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{chunk_text}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Index Field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Elasticsearch index mapping for the US Fed corpus (nova_chunks_us_fed):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dense_vector:       dense_vector (1536 dims, cosine)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bm25_text:          text (analyzed, BM25 scoring)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title:              text + keyword (search + filter)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short_title:        text + keyword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status:             keyword (filter: active/superseded)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current_version_flag: boolean (filter: current only)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jurisdiction:       keyword (filter: United States)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nova_tier:          integer (boost: tier 1 &gt; tier 3)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authority_class:    keyword (boost: primary_normative)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authority_level:    keyword (filter: binding vs guidance)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publication_type:   keyword (filter: eCFR/FR/SR)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effective_date_start: date (filter + boost: recency)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applies_to_*:       boolean (6 flags, institution filter)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citation_anchor:    keyword (dedup key during fusion)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Prompt Context Assembly (Rule 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 prompt time, each retrieved chunk is rendered with a metadata header: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--- Source: Federal Reserve System ---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Document: 12 CFR Part 217 - Capital Adequacy of BHCs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Type: Binding Regulation | Authority: primary_normative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Status: active | Effective: 2026-03-01 | Tier: 1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Jurisdiction: United States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{chunk_text}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Starting from ADLS: Detailed Ingestion Pipeline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Step 1: Read from ADLS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ingestion script reads from three ADLS paths depending on sub-corpus: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silver/canonical_json/us_fed/ecfr/*.json — eCFR metadata (73 fields)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silver/canonical_json/us_fed/fr/*.json — Federal Register metadata (71 fields)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silver/canonical_json/us_fed/sr/*.json — SR letter metadata (67 fields)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silver/content/us_fed/ecfr/*.md — eCFR regulation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silver/content/us_fed/fr/*.md — Federal Register document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silver/content/us_fed/sr/*.md — SR letter text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Step 2: Build DocumentRegistryRow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each document, a registry row is created to track lineage: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doc_id:                  usfed.ecfr.12cfr217.2026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source_type:             external_regulatory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source_system:           ecfr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silver_json_path:        silver/canonical_json/us_fed/ecfr/12CFR217.json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silver_md_path:          silver/content/us_fed/ecfr/12CFR217.md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bronze_html_path:        bronze/external/us_fed/ecfr/12CFR217.html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normalized_text_sha256:  a1b2c3d4...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ingested_at:             2026-03-26T01:00:00Z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Step 3: Parse and Chunk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sub-corpus uses a different chunking strategy optimized for its content structure: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eCFR: Section-level chunking. Each numbered CFR section (e.g., 217.1, 217.2) becomes one chunk. Appendices are chunked as separate units. This preserves the regulatory structure and ensures each chunk is a complete regulatory provision.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Federal Register: Paragraph-level chunking with heading context. Long documents are split at paragraph boundaries, with the nearest heading path carried forward. Target chunk size: 500 tokens. Preamble, supplementary information, and rule text are chunked separately.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SR Letters: Section-level or token-boundary chunking. Letters with clear section headings are chunked by section. Shorter letters without headings are chunked at ~500-token boundaries.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Step 4: Embed and Index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chunk is processed through the embedding model and indexed into both stores: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Embedding model: text-embedding-3-large (1536 dimensions)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Embedding input: Rule 1 fields + chunk text (see Section 3.1)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Elasticsearch: chunk indexed with BM25 text, dense vector, and all Rule 2 metadata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PGVector: chunk inserted as row with embedding vector and metadata columns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Batch size: 100 chunks per API call, with exponential backoff on rate limits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PGVector Schema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PGVector table mirrors the Elasticsearch index fields so both stores receive identical chunk documents: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EXTENSION IF NOT EXISTS vector;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nova_chunks_us_fed (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citation_anchor    TEXT PRIMARY KEY,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doc_id             TEXT NOT NULL,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title              TEXT,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short_title        TEXT,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source_type        TEXT NOT NULL DEFAULT 'external_regulatory',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document_class     TEXT NOT NULL,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publication_type   TEXT,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chunk_text         TEXT NOT NULL,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bm25_text          TEXT NOT NULL,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heading_path       TEXT[],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status             TEXT DEFAULT 'active',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effective_date_start DATE,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jurisdiction       TEXT DEFAULT 'United States',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authority_class    TEXT,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authority_level    TEXT,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nova_tier          INTEGER,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prudential_weight  NUMERIC(3,2),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applies_to_smb    BOOLEAN DEFAULT false,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applies_to_bhc    BOOLEAN DEFAULT false,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applies_to_slhc   BOOLEAN DEFAULT false,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applies_to_fbo    BOOLEAN DEFAULT false,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embedding          vector(1536) NOT NULL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ON nova_chunks_us_fed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USING ivfflat (embedding vector_cosine_ops)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WITH (lists = 100);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Query-Time Retrieval in NOVA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Elasticsearch Hybrid Query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ES retrieval script combines BM25 keyword search with dense vector kNN, fused via RRF: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GET nova_chunks_us_fed/_search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"retriever":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"rrf":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"retrievers": [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{ "standard": { "query":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"bool":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"must": { "match": { "bm25_text": "&lt;query&gt;" } },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"filter": [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{ "term": { "status": "active" } },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{ "term": { "jurisdiction": "United States" }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 } },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{ "knn":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"field": "dense_vector",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"query_vector": [&lt;embedding&gt;],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"k": 20,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"num_candidates": 100,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"filter": { "term": { "status": "active" }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"rank_window_size": 100,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"rank_constant": 60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PGVector ANN Query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SELECT citation_anchor, doc_id, title, chunk_text,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1 - (embedding &lt;=&gt; $1::vector) AS similarity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nova_chunks_us_fed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WHERE status = 'active'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jurisdiction = 'United States'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($2::text IS NULL OR publication_type = $2)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($3::boolean IS NULL OR applies_to_bhc = $3)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ORDER BY embedding &lt;=&gt; $1::vector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LIMIT 20;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When Each Store Wins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00"/>
        <w:gridCol w:w="30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Type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 Advantage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PGVector Advantage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Exact: "12 CFR 217"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BM25 matches exact CFR citation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finds semantically similar regs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Semantic: "capital requirements"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BM25 + kNN hybrid captures both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Dense finds related concepts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Filtered: "BHC stress testing"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bool filters + hybrid scoring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WHERE very efficient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Cross-ref: "compare eCFR and SR"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Multi-field BM25 across types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JOIN with registry table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Analytics: "tier 1 docs by type"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Aggregation queries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BY queries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Prompt Assembly in NOVA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retrieval and fusion, the top-k chunks are assembled into a prompt context. Each chunk is wrapped with Rule 3 metadata so the LLM can reason about source authority, temporal validity, and jurisdiction.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prompt template for US Federal Reserve queries: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You are a regulatory compliance assistant. Use the following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Federal Reserve regulatory sources to answer the question.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Cite sources using their citation anchors. Note the authority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level: binding regulations (eCFR) carry more weight than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supervisory guidance (SR letters). Only cite active documents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unless explicitly asked about historical versions.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--- Sources ---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[For each chunk: metadata header + chunk text]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--- End Sources ---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Question: {user_query}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How the Three Sub-Corpora Behave Differently in RAG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eCFR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Federal Register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SR Letters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Default inclusion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included (binding law)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Included if status=active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Included as supplementary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Retrieval boost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(prudential_weight 1.0)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Varies by type (0.3–0.9)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(0.5–0.7)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Supersession handling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current (eCFR self-updates)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superseded_by_doc_id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SR status field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Citation format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CFR 217.1(a)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 FR 12345 (June 15, 2024)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 12-7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Prompt weight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authority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Supporting context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Guidance context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Mandatory Metadata Fields for US Fed NOVA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fields are required for every document in the US Federal Reserve corpus. Documents missing any of these fields will fail ingestion validation.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eCFR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regulator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document_class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nova_tier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authority_class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jurisdiction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normalized_text_sha256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bm25_text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vector_text_prefix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Strongest Recommendations for US Fed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Treat eCFR as the primary normative source. When an eCFR regulation and an SR letter give conflicting guidance, the eCFR regulation is legally binding; the SR letter is interpretive. The prompt template should make this distinction explicit.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Filter Federal Register documents by type. Default queries should prefer final_rule documents over proposed_rule or notice. Proposed rules should only surface when the user asks about upcoming regulatory changes.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applies_to_* flags aggressively. A query about foreign banking organization capital requirements should not surface documents that only apply to state member banks. These filters dramatically improve precision.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Boost by nova_tier and authority_class together. A tier 1 binding regulation (eCFR capital rule) should rank far above a tier 3 notice (FR administrative action) for general compliance queries.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Maintain the eCFR corpus as a living document. The eCFR is continuously updated; periodic re-scraping (monthly or quarterly) is needed to capture amendments. Re-enrichment should be automated to update metadata fields.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Preserve govinfo.gov PDF URLs. The pdf_url field in Federal Register metadata points to the official source PDFs on govinfo.gov. These should be bulk-downloaded outside the sandbox for the Bronze ADLS layer.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Cross-reference between sub-corpora. An SR letter about model risk management (SR 11-7) should link to the eCFR regulation it interprets (12 CFR 252). The inline_cross_references field captures these links for relationship-aware retrieval.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3366" w:sz="6" w:space="1"/>
      </w:pBdr>
    </w:pPr>
    <w:r>
      <w:rPr>
        <w:rFonts w:ascii="Arial" w:cs="Arial" w:eastAsia="Arial" w:hAnsi="Arial"/>
        <w:color w:val="003366"/>
        <w:sz w:val="18"/>
        <w:szCs w:val="18"/>
      </w:rPr>
      <w:t xml:space="preserve">NOVA RAG Pipeline — US Federal Reserve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00336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00336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0033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2026-03-26T05:37:09.431Z</dcterms:created>
  <dcterms:modified xsi:type="dcterms:W3CDTF">2026-03-26T05:37:09.431Z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