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4E79"/>
          <w:sz w:val="52"/>
          <w:szCs w:val="52"/>
        </w:rPr>
        <w:t xml:space="preserve">NOVA Retriever Enhancement</w:t>
      </w:r>
    </w:p>
    <w:p>
      <w:pPr>
        <w:spacing w:after="100"/>
        <w:jc w:val="center"/>
      </w:pPr>
      <w:r>
        <w:rPr>
          <w:b/>
          <w:bCs/>
          <w:color w:val="1F4E79"/>
          <w:sz w:val="52"/>
          <w:szCs w:val="52"/>
        </w:rPr>
        <w:t xml:space="preserve">Documentation</w:t>
      </w:r>
    </w:p>
    <w:p>
      <w:pPr>
        <w:spacing w:after="400"/>
        <w:jc w:val="center"/>
      </w:pPr>
      <w:r>
        <w:rPr>
          <w:color w:val="666666"/>
          <w:sz w:val="26"/>
          <w:szCs w:val="26"/>
        </w:rPr>
        <w:t xml:space="preserve">retriever.py - Three-Rule Metadata Architecture</w:t>
      </w:r>
    </w:p>
    <w:p>
      <w:pPr>
        <w:pBdr>
          <w:top w:val="single" w:color="1F4E79" w:sz="2"/>
        </w:pBdr>
        <w:spacing w:after="100"/>
        <w:jc w:val="center"/>
      </w:pPr>
    </w:p>
    <w:p>
      <w:pPr>
        <w:spacing w:after="80"/>
        <w:jc w:val="center"/>
      </w:pPr>
      <w:r>
        <w:rPr>
          <w:color w:val="333333"/>
          <w:sz w:val="21"/>
          <w:szCs w:val="21"/>
        </w:rPr>
        <w:t xml:space="preserve">NOVA RAG Pipeline - Metadata Usage Repository</w:t>
      </w:r>
    </w:p>
    <w:p>
      <w:pPr>
        <w:spacing w:after="80"/>
        <w:jc w:val="center"/>
      </w:pPr>
      <w:r>
        <w:rPr>
          <w:color w:val="666666"/>
          <w:sz w:val="21"/>
          <w:szCs w:val="21"/>
        </w:rPr>
        <w:t xml:space="preserve">April 2026  |  Version 2.0</w:t>
      </w:r>
    </w:p>
    <w:p>
      <w:r>
        <w:br w:type="page"/>
      </w:r>
    </w:p>
    <w:p>
      <w:pPr>
        <w:pStyle w:val="Heading1"/>
        <w:spacing w:after="200" w:before="360"/>
      </w:pPr>
      <w:r>
        <w:rPr>
          <w:b/>
          <w:bCs/>
        </w:rPr>
        <w:t xml:space="preserve">Table of Contents</w:t>
      </w:r>
    </w:p>
    <w:p>
      <w:pPr>
        <w:spacing w:after="100"/>
      </w:pPr>
      <w:r>
        <w:rPr>
          <w:rFonts w:ascii="Arial" w:cs="Arial" w:eastAsia="Arial" w:hAnsi="Arial"/>
          <w:sz w:val="21"/>
          <w:szCs w:val="21"/>
        </w:rPr>
        <w:t xml:space="preserve">1. Executive Summary</w:t>
      </w:r>
    </w:p>
    <w:p>
      <w:pPr>
        <w:spacing w:after="100"/>
      </w:pPr>
      <w:r>
        <w:rPr>
          <w:rFonts w:ascii="Arial" w:cs="Arial" w:eastAsia="Arial" w:hAnsi="Arial"/>
          <w:sz w:val="21"/>
          <w:szCs w:val="21"/>
        </w:rPr>
        <w:t xml:space="preserve">2. Architecture Overview</w:t>
      </w:r>
    </w:p>
    <w:p>
      <w:pPr>
        <w:spacing w:after="100"/>
      </w:pPr>
      <w:r>
        <w:rPr>
          <w:rFonts w:ascii="Arial" w:cs="Arial" w:eastAsia="Arial" w:hAnsi="Arial"/>
          <w:sz w:val="21"/>
          <w:szCs w:val="21"/>
        </w:rPr>
        <w:t xml:space="preserve">3. Enhancement 1: Regulator-Aware Version Filtering</w:t>
      </w:r>
    </w:p>
    <w:p>
      <w:pPr>
        <w:spacing w:after="100"/>
      </w:pPr>
      <w:r>
        <w:rPr>
          <w:rFonts w:ascii="Arial" w:cs="Arial" w:eastAsia="Arial" w:hAnsi="Arial"/>
          <w:sz w:val="21"/>
          <w:szCs w:val="21"/>
        </w:rPr>
        <w:t xml:space="preserve">4. Enhancement 2: Authority Hierarchy Scoring</w:t>
      </w:r>
    </w:p>
    <w:p>
      <w:pPr>
        <w:spacing w:after="100"/>
      </w:pPr>
      <w:r>
        <w:rPr>
          <w:rFonts w:ascii="Arial" w:cs="Arial" w:eastAsia="Arial" w:hAnsi="Arial"/>
          <w:sz w:val="21"/>
          <w:szCs w:val="21"/>
        </w:rPr>
        <w:t xml:space="preserve">5. Enhancement 3: Regulator-Aware Temporal Decay</w:t>
      </w:r>
    </w:p>
    <w:p>
      <w:pPr>
        <w:spacing w:after="100"/>
      </w:pPr>
      <w:r>
        <w:rPr>
          <w:rFonts w:ascii="Arial" w:cs="Arial" w:eastAsia="Arial" w:hAnsi="Arial"/>
          <w:sz w:val="21"/>
          <w:szCs w:val="21"/>
        </w:rPr>
        <w:t xml:space="preserve">6. Enhancement 4: Paragraph/Section-Aware Search</w:t>
      </w:r>
    </w:p>
    <w:p>
      <w:pPr>
        <w:spacing w:after="100"/>
      </w:pPr>
      <w:r>
        <w:rPr>
          <w:rFonts w:ascii="Arial" w:cs="Arial" w:eastAsia="Arial" w:hAnsi="Arial"/>
          <w:sz w:val="21"/>
          <w:szCs w:val="21"/>
        </w:rPr>
        <w:t xml:space="preserve">7. Enhancement 5: Promoted Metadata Fields in Elasticsearch</w:t>
      </w:r>
    </w:p>
    <w:p>
      <w:pPr>
        <w:spacing w:after="100"/>
      </w:pPr>
      <w:r>
        <w:rPr>
          <w:rFonts w:ascii="Arial" w:cs="Arial" w:eastAsia="Arial" w:hAnsi="Arial"/>
          <w:sz w:val="21"/>
          <w:szCs w:val="21"/>
        </w:rPr>
        <w:t xml:space="preserve">8. Enhancement 6: Rule 3 Prompt Injection Additions</w:t>
      </w:r>
    </w:p>
    <w:p>
      <w:pPr>
        <w:spacing w:after="100"/>
      </w:pPr>
      <w:r>
        <w:rPr>
          <w:rFonts w:ascii="Arial" w:cs="Arial" w:eastAsia="Arial" w:hAnsi="Arial"/>
          <w:sz w:val="21"/>
          <w:szCs w:val="21"/>
        </w:rPr>
        <w:t xml:space="preserve">9. Enhancement 7: Metadata Field Normalization Layer</w:t>
      </w:r>
    </w:p>
    <w:p>
      <w:pPr>
        <w:spacing w:after="100"/>
      </w:pPr>
      <w:r>
        <w:rPr>
          <w:rFonts w:ascii="Arial" w:cs="Arial" w:eastAsia="Arial" w:hAnsi="Arial"/>
          <w:sz w:val="21"/>
          <w:szCs w:val="21"/>
        </w:rPr>
        <w:t xml:space="preserve">10. Cross-Regulator Field Coverage Matrix</w:t>
      </w:r>
    </w:p>
    <w:p>
      <w:pPr>
        <w:spacing w:after="100"/>
      </w:pPr>
      <w:r>
        <w:rPr>
          <w:rFonts w:ascii="Arial" w:cs="Arial" w:eastAsia="Arial" w:hAnsi="Arial"/>
          <w:sz w:val="21"/>
          <w:szCs w:val="21"/>
        </w:rPr>
        <w:t xml:space="preserve">11. End-to-End Query Flow Example</w:t>
      </w:r>
    </w:p>
    <w:p>
      <w:pPr>
        <w:spacing w:after="100"/>
      </w:pPr>
      <w:r>
        <w:rPr>
          <w:rFonts w:ascii="Arial" w:cs="Arial" w:eastAsia="Arial" w:hAnsi="Arial"/>
          <w:sz w:val="21"/>
          <w:szCs w:val="21"/>
        </w:rPr>
        <w:t xml:space="preserve">12. Method Reference</w:t>
      </w:r>
    </w:p>
    <w:p>
      <w:r>
        <w:br w:type="page"/>
      </w:r>
    </w:p>
    <w:p>
      <w:pPr>
        <w:pStyle w:val="Heading1"/>
        <w:spacing w:after="200" w:before="360"/>
      </w:pPr>
      <w:r>
        <w:rPr>
          <w:b/>
          <w:bCs/>
        </w:rPr>
        <w:t xml:space="preserve">1. Executive Summary</w:t>
      </w:r>
    </w:p>
    <w:p>
      <w:pPr>
        <w:spacing w:after="100"/>
      </w:pPr>
      <w:r>
        <w:rPr>
          <w:rFonts w:ascii="Arial" w:cs="Arial" w:eastAsia="Arial" w:hAnsi="Arial"/>
          <w:sz w:val="21"/>
          <w:szCs w:val="21"/>
        </w:rPr>
        <w:t xml:space="preserve">This document describes all enhancements made to the NOVA retriever.py script, the core search component of the NOVA RAG pipeline. The retriever finds, filters, ranks, and formats regulatory documents from multiple jurisdictions (OSFI, Basel/BCBS, US Federal Reserve, PRA/BOE) for presentation to a Large Language Model (LLM).</w:t>
      </w:r>
    </w:p>
    <w:p>
      <w:pPr>
        <w:spacing w:after="80"/>
      </w:pPr>
    </w:p>
    <w:p>
      <w:pPr>
        <w:spacing w:after="100"/>
      </w:pPr>
      <w:r>
        <w:rPr>
          <w:rFonts w:ascii="Arial" w:cs="Arial" w:eastAsia="Arial" w:hAnsi="Arial"/>
          <w:sz w:val="21"/>
          <w:szCs w:val="21"/>
        </w:rPr>
        <w:t xml:space="preserve">Seven enhancements were implemented to address critical gaps in regulatory document retrieval:</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200"/>
        <w:gridCol w:w="3480"/>
      </w:tblGrid>
      <w:tr>
        <w:tc>
          <w:tcPr>
            <w:tcW w:type="dxa" w:w="4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Enhancement</w:t>
            </w:r>
          </w:p>
        </w:tc>
        <w:tc>
          <w:tcPr>
            <w:tcW w:type="dxa" w:w="42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Problem Solved</w:t>
            </w:r>
          </w:p>
        </w:tc>
        <w:tc>
          <w:tcPr>
            <w:tcW w:type="dxa" w:w="34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Impact</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Regulator-Aware Filtering</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Basel docs filtered out because they lack version lifecycle metadata</w:t>
            </w:r>
          </w:p>
        </w:tc>
        <w:tc>
          <w:tcPr>
            <w:tcW w:type="dxa" w:w="3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All Basel/BIS publications preserved; OSFI/PRA correctly filtered</w:t>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Authority Hierarchy Scoring</w:t>
            </w:r>
          </w:p>
        </w:tc>
        <w:tc>
          <w:tcPr>
            <w:tcW w:type="dxa" w:w="4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2,653 documents scored zero because their authority_class values were missing from the scoring dictionary</w:t>
            </w:r>
          </w:p>
        </w:tc>
        <w:tc>
          <w:tcPr>
            <w:tcW w:type="dxa" w:w="3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All 12 actual authority_class values mapped to 5-tier scoring system</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3</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Regulator-Aware Temporal Decay</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Old Basel II docs penalized as heavily as old OSFI guidelines</w:t>
            </w:r>
          </w:p>
        </w:tc>
        <w:tc>
          <w:tcPr>
            <w:tcW w:type="dxa" w:w="3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Publication-model regulators use gentle 3 pts/yr decay vs 10 pts/yr</w:t>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Paragraph/Section Search</w:t>
            </w:r>
          </w:p>
        </w:tc>
        <w:tc>
          <w:tcPr>
            <w:tcW w:type="dxa" w:w="4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"Basel paragraph 444" returned random content</w:t>
            </w:r>
          </w:p>
        </w:tc>
        <w:tc>
          <w:tcPr>
            <w:tcW w:type="dxa" w:w="3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Exact paragraph references detected and boosted 10x via metadata fields</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5</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Promoted Metadata Fields</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Metadata stored as opaque ES object; unsearchable</w:t>
            </w:r>
          </w:p>
        </w:tc>
        <w:tc>
          <w:tcPr>
            <w:tcW w:type="dxa" w:w="3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20 key fields promoted to top-level ES fields for filtering and boosting</w:t>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Rule 3 Prompt Additions</w:t>
            </w:r>
          </w:p>
        </w:tc>
        <w:tc>
          <w:tcPr>
            <w:tcW w:type="dxa" w:w="4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LLM missing normative_weight, paragraph_role, approval_status</w:t>
            </w:r>
          </w:p>
        </w:tc>
        <w:tc>
          <w:tcPr>
            <w:tcW w:type="dxa" w:w="3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4 critical reasoning fields now injected into LLM prompt context</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7</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Field Normalization</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OSFI uses prudential_weight instead of normative_weight; fields silently empty</w:t>
            </w:r>
          </w:p>
        </w:tc>
        <w:tc>
          <w:tcPr>
            <w:tcW w:type="dxa" w:w="3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Automatic translation of each regulator's field names to canonical NOVA names</w:t>
            </w:r>
          </w:p>
        </w:tc>
      </w:tr>
    </w:tbl>
    <w:p>
      <w:r>
        <w:br w:type="page"/>
      </w:r>
    </w:p>
    <w:p>
      <w:pPr>
        <w:pStyle w:val="Heading1"/>
        <w:spacing w:after="200" w:before="360"/>
      </w:pPr>
      <w:r>
        <w:rPr>
          <w:b/>
          <w:bCs/>
        </w:rPr>
        <w:t xml:space="preserve">2. Architecture Overview</w:t>
      </w:r>
    </w:p>
    <w:p>
      <w:pPr>
        <w:spacing w:after="100"/>
      </w:pPr>
      <w:r>
        <w:rPr>
          <w:rFonts w:ascii="Arial" w:cs="Arial" w:eastAsia="Arial" w:hAnsi="Arial"/>
          <w:sz w:val="21"/>
          <w:szCs w:val="21"/>
        </w:rPr>
        <w:t xml:space="preserve">The NOVA retriever implements a three-layer metadata architecture defined in nova_3_layer_metadata_architecture.md and metadata_spec.py: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700"/>
        <w:gridCol w:w="5280"/>
      </w:tblGrid>
      <w:tr>
        <w:tc>
          <w:tcPr>
            <w:tcW w:type="dxa" w:w="9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Rule</w:t>
            </w:r>
          </w:p>
        </w:tc>
        <w:tc>
          <w:tcPr>
            <w:tcW w:type="dxa" w:w="22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Layer Name</w:t>
            </w:r>
          </w:p>
        </w:tc>
        <w:tc>
          <w:tcPr>
            <w:tcW w:type="dxa" w:w="17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When It Runs</w:t>
            </w:r>
          </w:p>
        </w:tc>
        <w:tc>
          <w:tcPr>
            <w:tcW w:type="dxa" w:w="52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Purpose</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Rule 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Baked Into the Vector</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Ingestion time</w:t>
            </w:r>
          </w:p>
        </w:tc>
        <w:tc>
          <w:tcPr>
            <w:tcW w:type="dxa" w:w="5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Embed metadata that changes semantic meaning (handled by ingest pipeline)</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Rule 2</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Gates and Boosts Retrieval</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Query time</w:t>
            </w:r>
          </w:p>
        </w:tc>
        <w:tc>
          <w:tcPr>
            <w:tcW w:type="dxa" w:w="5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Filter, facet, and boost results via ES index fields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Rule 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What the LLM Reasons About</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Answer time</w:t>
            </w:r>
          </w:p>
        </w:tc>
        <w:tc>
          <w:tcPr>
            <w:tcW w:type="dxa" w:w="5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Inject authority/context signals into the LLM prompt window</w:t>
            </w:r>
          </w:p>
        </w:tc>
      </w:tr>
    </w:tbl>
    <w:p>
      <w:pPr>
        <w:spacing w:after="80"/>
      </w:pPr>
    </w:p>
    <w:p>
      <w:pPr>
        <w:spacing w:after="100"/>
      </w:pPr>
      <w:r>
        <w:rPr>
          <w:rFonts w:ascii="Arial" w:cs="Arial" w:eastAsia="Arial" w:hAnsi="Arial"/>
          <w:sz w:val="21"/>
          <w:szCs w:val="21"/>
        </w:rPr>
        <w:t xml:space="preserve">The retriever.py is responsible for Rules 2 and 3. Rule 1 is handled upstream during document ingestion via the semantic_header() function.</w:t>
      </w:r>
    </w:p>
    <w:p>
      <w:pPr>
        <w:spacing w:after="80"/>
      </w:pPr>
    </w:p>
    <w:p>
      <w:pPr>
        <w:spacing w:after="100"/>
      </w:pPr>
      <w:r>
        <w:rPr>
          <w:rFonts w:ascii="Arial" w:cs="Arial" w:eastAsia="Arial" w:hAnsi="Arial"/>
          <w:b/>
          <w:bCs/>
          <w:sz w:val="21"/>
          <w:szCs w:val="21"/>
        </w:rPr>
        <w:t xml:space="preserve">Retrieval Pipeline Flow:</w:t>
      </w:r>
    </w:p>
    <w:p>
      <w:pPr>
        <w:spacing w:after="40"/>
      </w:pPr>
      <w:r>
        <w:rPr>
          <w:rFonts w:ascii="Consolas" w:cs="Consolas" w:eastAsia="Consolas" w:hAnsi="Consolas"/>
          <w:sz w:val="18"/>
          <w:szCs w:val="18"/>
        </w:rPr>
        <w:t xml:space="preserve">Query  --&gt;  _search_elasticsearch()           [Hybrid: vector + BM25 + metadata boosts]</w:t>
      </w:r>
    </w:p>
    <w:p>
      <w:pPr>
        <w:spacing w:after="40"/>
      </w:pPr>
      <w:r>
        <w:rPr>
          <w:rFonts w:ascii="Consolas" w:cs="Consolas" w:eastAsia="Consolas" w:hAnsi="Consolas"/>
          <w:sz w:val="18"/>
          <w:szCs w:val="18"/>
        </w:rPr>
        <w:t xml:space="preserve">       --&gt;  _normalize_metadata()             [Translate regulator field names]</w:t>
      </w:r>
    </w:p>
    <w:p>
      <w:pPr>
        <w:spacing w:after="40"/>
      </w:pPr>
      <w:r>
        <w:rPr>
          <w:rFonts w:ascii="Consolas" w:cs="Consolas" w:eastAsia="Consolas" w:hAnsi="Consolas"/>
          <w:sz w:val="18"/>
          <w:szCs w:val="18"/>
        </w:rPr>
        <w:t xml:space="preserve">       --&gt;  _apply_rule2_filters()            [Remove superseded/expired/draft docs]</w:t>
      </w:r>
    </w:p>
    <w:p>
      <w:pPr>
        <w:spacing w:after="40"/>
      </w:pPr>
      <w:r>
        <w:rPr>
          <w:rFonts w:ascii="Consolas" w:cs="Consolas" w:eastAsia="Consolas" w:hAnsi="Consolas"/>
          <w:sz w:val="18"/>
          <w:szCs w:val="18"/>
        </w:rPr>
        <w:t xml:space="preserve">       --&gt;  _apply_rule2_boosting()           [Rerank by authority/tier/jurisdiction]</w:t>
      </w:r>
    </w:p>
    <w:p>
      <w:pPr>
        <w:spacing w:after="40"/>
      </w:pPr>
      <w:r>
        <w:rPr>
          <w:rFonts w:ascii="Consolas" w:cs="Consolas" w:eastAsia="Consolas" w:hAnsi="Consolas"/>
          <w:sz w:val="18"/>
          <w:szCs w:val="18"/>
        </w:rPr>
        <w:t xml:space="preserve">       --&gt;  _rerank_by_temporal_relevance()   [Rerank by date proximity]</w:t>
      </w:r>
    </w:p>
    <w:p>
      <w:pPr>
        <w:spacing w:after="40"/>
      </w:pPr>
      <w:r>
        <w:rPr>
          <w:rFonts w:ascii="Consolas" w:cs="Consolas" w:eastAsia="Consolas" w:hAnsi="Consolas"/>
          <w:sz w:val="18"/>
          <w:szCs w:val="18"/>
        </w:rPr>
        <w:t xml:space="preserve">       --&gt;  Rule 3 prompt injection           [Add metadata headers for LLM reasoning]</w:t>
      </w:r>
    </w:p>
    <w:p>
      <w:pPr>
        <w:spacing w:after="40"/>
      </w:pPr>
      <w:r>
        <w:rPr>
          <w:rFonts w:ascii="Consolas" w:cs="Consolas" w:eastAsia="Consolas" w:hAnsi="Consolas"/>
          <w:sz w:val="18"/>
          <w:szCs w:val="18"/>
        </w:rPr>
        <w:t xml:space="preserve">       --&gt;  Source grouping                    [Group PDF pages, markdown headers]</w:t>
      </w:r>
    </w:p>
    <w:p>
      <w:pPr>
        <w:spacing w:after="40"/>
      </w:pPr>
      <w:r>
        <w:rPr>
          <w:rFonts w:ascii="Consolas" w:cs="Consolas" w:eastAsia="Consolas" w:hAnsi="Consolas"/>
          <w:sz w:val="18"/>
          <w:szCs w:val="18"/>
        </w:rPr>
        <w:t xml:space="preserve">       --&gt;  Return {text, sources}</w:t>
      </w:r>
    </w:p>
    <w:p>
      <w:r>
        <w:br w:type="page"/>
      </w:r>
    </w:p>
    <w:p>
      <w:pPr>
        <w:pStyle w:val="Heading1"/>
        <w:spacing w:after="200" w:before="360"/>
      </w:pPr>
      <w:r>
        <w:rPr>
          <w:b/>
          <w:bCs/>
        </w:rPr>
        <w:t xml:space="preserve">3. Enhancement 1: Regulator-Aware Version Filtering</w:t>
      </w:r>
    </w:p>
    <w:p>
      <w:pPr>
        <w:pStyle w:val="Heading3"/>
        <w:spacing w:after="120" w:before="200"/>
      </w:pPr>
      <w:r>
        <w:rPr>
          <w:b/>
          <w:bCs/>
        </w:rPr>
        <w:t xml:space="preserve">Problem</w:t>
      </w:r>
    </w:p>
    <w:p>
      <w:pPr>
        <w:spacing w:after="100"/>
      </w:pPr>
      <w:r>
        <w:rPr>
          <w:rFonts w:ascii="Arial" w:cs="Arial" w:eastAsia="Arial" w:hAnsi="Arial"/>
          <w:sz w:val="21"/>
          <w:szCs w:val="21"/>
        </w:rPr>
        <w:t xml:space="preserve">The original filtering logic applied the same three filters (superseded version, inactive status, expired date) to all documents regardless of regulator. This caused all Basel/BIS documents to be filtered out because:</w:t>
      </w:r>
    </w:p>
    <w:p>
      <w:pPr>
        <w:pStyle w:val="ListParagraph"/>
        <w:numPr>
          <w:ilvl w:val="0"/>
          <w:numId w:val="2"/>
        </w:numPr>
        <w:spacing w:after="60"/>
      </w:pPr>
      <w:r>
        <w:rPr>
          <w:rFonts w:ascii="Arial" w:cs="Arial" w:eastAsia="Arial" w:hAnsi="Arial"/>
          <w:sz w:val="21"/>
          <w:szCs w:val="21"/>
        </w:rPr>
        <w:t xml:space="preserve">Basel II marked as status: "superseded" because Basel III exists</w:t>
      </w:r>
    </w:p>
    <w:p>
      <w:pPr>
        <w:pStyle w:val="ListParagraph"/>
        <w:numPr>
          <w:ilvl w:val="0"/>
          <w:numId w:val="2"/>
        </w:numPr>
        <w:spacing w:after="60"/>
      </w:pPr>
      <w:r>
        <w:rPr>
          <w:rFonts w:ascii="Arial" w:cs="Arial" w:eastAsia="Arial" w:hAnsi="Arial"/>
          <w:sz w:val="21"/>
          <w:szCs w:val="21"/>
        </w:rPr>
        <w:t xml:space="preserve">Basel publications don't use version lifecycles - they reference and build on predecessors</w:t>
      </w:r>
    </w:p>
    <w:p>
      <w:pPr>
        <w:pStyle w:val="ListParagraph"/>
        <w:numPr>
          <w:ilvl w:val="0"/>
          <w:numId w:val="2"/>
        </w:numPr>
        <w:spacing w:after="60"/>
      </w:pPr>
      <w:r>
        <w:rPr>
          <w:rFonts w:ascii="Arial" w:cs="Arial" w:eastAsia="Arial" w:hAnsi="Arial"/>
          <w:sz w:val="21"/>
          <w:szCs w:val="21"/>
        </w:rPr>
        <w:t xml:space="preserve">current_version_flag set to false on older Basel frameworks that are still foundational</w:t>
      </w:r>
    </w:p>
    <w:p>
      <w:pPr>
        <w:spacing w:after="80"/>
      </w:pPr>
    </w:p>
    <w:p>
      <w:pPr>
        <w:pStyle w:val="Heading3"/>
        <w:spacing w:after="120" w:before="200"/>
      </w:pPr>
      <w:r>
        <w:rPr>
          <w:b/>
          <w:bCs/>
        </w:rPr>
        <w:t xml:space="preserve">Why This Matters</w:t>
      </w:r>
    </w:p>
    <w:p>
      <w:pPr>
        <w:spacing w:after="100"/>
      </w:pPr>
      <w:r>
        <w:rPr>
          <w:rFonts w:ascii="Arial" w:cs="Arial" w:eastAsia="Arial" w:hAnsi="Arial"/>
          <w:sz w:val="21"/>
          <w:szCs w:val="21"/>
        </w:rPr>
        <w:t xml:space="preserve">A user asking about credit risk fundamentals needs Basel II content even though Basel III exists. The publication model used by international standard-setting bodies means older documents remain foundational - they are not replaced, they are built upon. Filtering them out removes critical context from the knowledge base.</w:t>
      </w:r>
    </w:p>
    <w:p>
      <w:pPr>
        <w:spacing w:after="80"/>
      </w:pPr>
    </w:p>
    <w:p>
      <w:pPr>
        <w:pStyle w:val="Heading3"/>
        <w:spacing w:after="120" w:before="200"/>
      </w:pPr>
      <w:r>
        <w:rPr>
          <w:b/>
          <w:bCs/>
        </w:rPr>
        <w:t xml:space="preserve">Solution: Three-Tier Versioning Model</w:t>
      </w:r>
    </w:p>
    <w:p>
      <w:pPr>
        <w:spacing w:after="100"/>
      </w:pPr>
      <w:r>
        <w:rPr>
          <w:rFonts w:ascii="Arial" w:cs="Arial" w:eastAsia="Arial" w:hAnsi="Arial"/>
          <w:sz w:val="21"/>
          <w:szCs w:val="21"/>
        </w:rPr>
        <w:t xml:space="preserve">Each regulator is now classified into one of three versioning models via the REGULATOR_VERSION_MODEL dictionary and _get_regulator_version_model() method: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3480"/>
      </w:tblGrid>
      <w:tr>
        <w:tc>
          <w:tcPr>
            <w:tcW w:type="dxa" w:w="14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Model</w:t>
            </w:r>
          </w:p>
        </w:tc>
        <w:tc>
          <w:tcPr>
            <w:tcW w:type="dxa" w:w="22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Regulators</w:t>
            </w:r>
          </w:p>
        </w:tc>
        <w:tc>
          <w:tcPr>
            <w:tcW w:type="dxa" w:w="3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Filtering Behaviour</w:t>
            </w:r>
          </w:p>
        </w:tc>
        <w:tc>
          <w:tcPr>
            <w:tcW w:type="dxa" w:w="34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Rationale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lifecycle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OSFI, PRA, BOE, OCC, FDIC</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All 3 filters applied (superseded, status, expiry)</w:t>
            </w:r>
          </w:p>
        </w:tc>
        <w:tc>
          <w:tcPr>
            <w:tcW w:type="dxa" w:w="3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New guidance explicitly supersedes old; only current version is relevant</w:t>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publication</w:t>
            </w:r>
          </w:p>
        </w:tc>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BIS, BCBS, Basel, IOSCO, FSB</w:t>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 version filters applied</w:t>
            </w:r>
          </w:p>
        </w:tc>
        <w:tc>
          <w:tcPr>
            <w:tcW w:type="dxa" w:w="3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Publications reference predecessors; Basel II remains foundational even after Basel III</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mixed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US Fed, EBA, SEC, ECB</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Binding rules filtered; circulars/consultations/FAQs kept</w:t>
            </w:r>
          </w:p>
        </w:tc>
        <w:tc>
          <w:tcPr>
            <w:tcW w:type="dxa" w:w="3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Binding standards are versioned, but other outputs accumulate over time</w:t>
            </w:r>
          </w:p>
        </w:tc>
      </w:tr>
    </w:tbl>
    <w:p>
      <w:pPr>
        <w:spacing w:after="80"/>
      </w:pPr>
    </w:p>
    <w:p>
      <w:pPr>
        <w:pStyle w:val="Heading3"/>
        <w:spacing w:after="120" w:before="200"/>
      </w:pPr>
      <w:r>
        <w:rPr>
          <w:b/>
          <w:bCs/>
        </w:rPr>
        <w:t xml:space="preserve">Mixed Model: KEEP_DOCUMENT_CLASSES</w:t>
      </w:r>
    </w:p>
    <w:p>
      <w:pPr>
        <w:spacing w:after="100"/>
      </w:pPr>
      <w:r>
        <w:rPr>
          <w:rFonts w:ascii="Arial" w:cs="Arial" w:eastAsia="Arial" w:hAnsi="Arial"/>
          <w:sz w:val="21"/>
          <w:szCs w:val="21"/>
        </w:rPr>
        <w:t xml:space="preserve">For mixed-model regulators, documents with these classes bypass version filters:</w:t>
      </w:r>
    </w:p>
    <w:p>
      <w:pPr>
        <w:spacing w:after="40"/>
      </w:pPr>
      <w:r>
        <w:rPr>
          <w:rFonts w:ascii="Consolas" w:cs="Consolas" w:eastAsia="Consolas" w:hAnsi="Consolas"/>
          <w:sz w:val="18"/>
          <w:szCs w:val="18"/>
        </w:rPr>
        <w:t xml:space="preserve">circular, consultation, discussion_paper, research, working_paper, speech, report, faq</w:t>
      </w:r>
    </w:p>
    <w:p>
      <w:pPr>
        <w:spacing w:after="80"/>
      </w:pPr>
    </w:p>
    <w:p>
      <w:pPr>
        <w:pStyle w:val="Heading3"/>
        <w:spacing w:after="120" w:before="200"/>
      </w:pPr>
      <w:r>
        <w:rPr>
          <w:b/>
          <w:bCs/>
        </w:rPr>
        <w:t xml:space="preserve">Implementation</w:t>
      </w:r>
    </w:p>
    <w:p>
      <w:pPr>
        <w:spacing w:after="100"/>
      </w:pPr>
      <w:r>
        <w:rPr>
          <w:rFonts w:ascii="Arial" w:cs="Arial" w:eastAsia="Arial" w:hAnsi="Arial"/>
          <w:sz w:val="21"/>
          <w:szCs w:val="21"/>
        </w:rPr>
        <w:t xml:space="preserve">Method: _apply_rule2_filters() at line 1702. Also uses _get_regulator_version_model() at line 1678.</w:t>
      </w:r>
    </w:p>
    <w:p>
      <w:pPr>
        <w:spacing w:after="100"/>
      </w:pPr>
      <w:r>
        <w:rPr>
          <w:rFonts w:ascii="Arial" w:cs="Arial" w:eastAsia="Arial" w:hAnsi="Arial"/>
          <w:sz w:val="21"/>
          <w:szCs w:val="21"/>
        </w:rPr>
        <w:t xml:space="preserve">The method checks the regulator's version model first. Publication-model docs skip all filters. Mixed-model docs with non-binding document classes skip filters. Everything else gets the full three-filter chain (superseded, status, expiry).</w:t>
      </w:r>
    </w:p>
    <w:p>
      <w:r>
        <w:br w:type="page"/>
      </w:r>
    </w:p>
    <w:p>
      <w:pPr>
        <w:pStyle w:val="Heading1"/>
        <w:spacing w:after="200" w:before="360"/>
      </w:pPr>
      <w:r>
        <w:rPr>
          <w:b/>
          <w:bCs/>
        </w:rPr>
        <w:t xml:space="preserve">4. Enhancement 2: Authority Hierarchy Scoring</w:t>
      </w:r>
    </w:p>
    <w:p>
      <w:pPr>
        <w:pStyle w:val="Heading3"/>
        <w:spacing w:after="120" w:before="200"/>
      </w:pPr>
      <w:r>
        <w:rPr>
          <w:b/>
          <w:bCs/>
        </w:rPr>
        <w:t xml:space="preserve">Problem</w:t>
      </w:r>
    </w:p>
    <w:p>
      <w:pPr>
        <w:spacing w:after="100"/>
      </w:pPr>
      <w:r>
        <w:rPr>
          <w:rFonts w:ascii="Arial" w:cs="Arial" w:eastAsia="Arial" w:hAnsi="Arial"/>
          <w:sz w:val="21"/>
          <w:szCs w:val="21"/>
        </w:rPr>
        <w:t xml:space="preserve">The authority_scores dictionary only contained 8 values. An audit of all four regulatory repos found 12 distinct authority_class values actually used across the knowledge base. The 4 missing values meant 2,653 documents scored zero on authority boost: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280"/>
      </w:tblGrid>
      <w:tr>
        <w:tc>
          <w:tcPr>
            <w:tcW w:type="dxa" w:w="28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Missing Value</w:t>
            </w:r>
          </w:p>
        </w:tc>
        <w:tc>
          <w:tcPr>
            <w:tcW w:type="dxa" w:w="4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Repo</w:t>
            </w:r>
          </w:p>
        </w:tc>
        <w:tc>
          <w:tcPr>
            <w:tcW w:type="dxa" w:w="32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Documents Affected</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guidance_interpretive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US Fed FR (2,283) + Basel (148)</w:t>
            </w:r>
          </w:p>
        </w:tc>
        <w:tc>
          <w:tcPr>
            <w:tcW w:type="dxa" w:w="3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2,431 documents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official_support</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OSFI</w:t>
            </w:r>
          </w:p>
        </w:tc>
        <w:tc>
          <w:tcPr>
            <w:tcW w:type="dxa" w:w="3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108 documents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interpretive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PRA</w:t>
            </w:r>
          </w:p>
        </w:tc>
        <w:tc>
          <w:tcPr>
            <w:tcW w:type="dxa" w:w="3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446 documents (reachable via existing entry)</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procedural_administrative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US Fed eCFR</w:t>
            </w:r>
          </w:p>
        </w:tc>
        <w:tc>
          <w:tcPr>
            <w:tcW w:type="dxa" w:w="3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13 documents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reference_definitional</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Basel</w:t>
            </w:r>
          </w:p>
        </w:tc>
        <w:tc>
          <w:tcPr>
            <w:tcW w:type="dxa" w:w="3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13 documents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context</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PRA</w:t>
            </w:r>
          </w:p>
        </w:tc>
        <w:tc>
          <w:tcPr>
            <w:tcW w:type="dxa" w:w="3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35 documents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consultative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PRA</w:t>
            </w:r>
          </w:p>
        </w:tc>
        <w:tc>
          <w:tcPr>
            <w:tcW w:type="dxa" w:w="32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13 documents</w:t>
            </w:r>
          </w:p>
        </w:tc>
      </w:tr>
    </w:tbl>
    <w:p>
      <w:pPr>
        <w:spacing w:after="80"/>
      </w:pPr>
    </w:p>
    <w:p>
      <w:pPr>
        <w:pStyle w:val="Heading3"/>
        <w:spacing w:after="120" w:before="200"/>
      </w:pPr>
      <w:r>
        <w:rPr>
          <w:b/>
          <w:bCs/>
        </w:rPr>
        <w:t xml:space="preserve">Why This Matters</w:t>
      </w:r>
    </w:p>
    <w:p>
      <w:pPr>
        <w:spacing w:after="100"/>
      </w:pPr>
      <w:r>
        <w:rPr>
          <w:rFonts w:ascii="Arial" w:cs="Arial" w:eastAsia="Arial" w:hAnsi="Arial"/>
          <w:sz w:val="21"/>
          <w:szCs w:val="21"/>
        </w:rPr>
        <w:t xml:space="preserve">The US Federal Register corpus contains 2,283 documents classified as "guidance_interpretive" - that is 75% of the entire Fed corpus. Without a score entry, these documents received zero authority boost, making them effectively invisible in search results despite being legitimate regulatory guidance.</w:t>
      </w:r>
    </w:p>
    <w:p>
      <w:pPr>
        <w:spacing w:after="80"/>
      </w:pPr>
    </w:p>
    <w:p>
      <w:pPr>
        <w:pStyle w:val="Heading3"/>
        <w:spacing w:after="120" w:before="200"/>
      </w:pPr>
      <w:r>
        <w:rPr>
          <w:b/>
          <w:bCs/>
        </w:rPr>
        <w:t xml:space="preserve">Solution: Five-Tier Cross-Regulator Scoring</w:t>
      </w:r>
    </w:p>
    <w:p>
      <w:pPr>
        <w:spacing w:after="100"/>
      </w:pPr>
      <w:r>
        <w:rPr>
          <w:rFonts w:ascii="Arial" w:cs="Arial" w:eastAsia="Arial" w:hAnsi="Arial"/>
          <w:sz w:val="21"/>
          <w:szCs w:val="21"/>
        </w:rPr>
        <w:t xml:space="preserve">All 12 actual authority_class values from all four repos are now mapped to a five-tier scoring system. The tiers reflect equivalent binding force across jurisdictions:</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500"/>
        <w:gridCol w:w="1500"/>
        <w:gridCol w:w="1500"/>
        <w:gridCol w:w="1800"/>
        <w:gridCol w:w="1500"/>
      </w:tblGrid>
      <w:tr>
        <w:tc>
          <w:tcPr>
            <w:tcW w:type="dxa" w:w="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Tier</w:t>
            </w:r>
          </w:p>
        </w:tc>
        <w:tc>
          <w:tcPr>
            <w:tcW w:type="dxa" w:w="8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Score</w:t>
            </w:r>
          </w:p>
        </w:tc>
        <w:tc>
          <w:tcPr>
            <w:tcW w:type="dxa" w:w="15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What It Means</w:t>
            </w:r>
          </w:p>
        </w:tc>
        <w:tc>
          <w:tcPr>
            <w:tcW w:type="dxa" w:w="15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OSFI Example</w:t>
            </w:r>
          </w:p>
        </w:tc>
        <w:tc>
          <w:tcPr>
            <w:tcW w:type="dxa" w:w="15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Basel Example</w:t>
            </w:r>
          </w:p>
        </w:tc>
        <w:tc>
          <w:tcPr>
            <w:tcW w:type="dxa" w:w="18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US Fed Example</w:t>
            </w:r>
          </w:p>
        </w:tc>
        <w:tc>
          <w:tcPr>
            <w:tcW w:type="dxa" w:w="15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PRA Example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The binding rules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B-20 guideline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LCR standard</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12 CFR regulation</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PRA Rulebook</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85</w:t>
            </w:r>
          </w:p>
        </w:tc>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Formal guidance</w:t>
            </w:r>
          </w:p>
        </w:tc>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Advisory letters (official_support)</w:t>
            </w:r>
          </w:p>
        </w:tc>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Supervisory guidelines</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SR Letters (procedural_administrative)</w:t>
            </w:r>
          </w:p>
        </w:tc>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Supervisory statements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55-65</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Supporting materials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Assessment tools (official_interpretive)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Policy papers (reference_definitional)</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FR interpretations (guidance_interpretive)</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Policy docs (secondary_guidance)</w:t>
            </w:r>
          </w:p>
        </w:tc>
      </w:tr>
      <w:tr>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w:t>
            </w:r>
          </w:p>
        </w:tc>
        <w:tc>
          <w:tcPr>
            <w:tcW w:type="dxa" w:w="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35</w:t>
            </w:r>
          </w:p>
        </w:tc>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Advisory / consultative</w:t>
            </w:r>
          </w:p>
        </w:tc>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Summaries (contextual_summary)</w:t>
            </w:r>
          </w:p>
        </w:tc>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FAQs</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Advisory opinions</w:t>
            </w:r>
          </w:p>
        </w:tc>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Consultation papers (consultative)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10-20</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Informational / excluded</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Excluded docs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Newsletters, FSI summaries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Reports</w:t>
            </w:r>
          </w:p>
        </w:tc>
        <w:tc>
          <w:tcPr>
            <w:tcW w:type="dxa" w:w="1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Reference / context docs</w:t>
            </w:r>
          </w:p>
        </w:tc>
      </w:tr>
    </w:tbl>
    <w:p>
      <w:pPr>
        <w:spacing w:after="80"/>
      </w:pPr>
    </w:p>
    <w:p>
      <w:pPr>
        <w:pStyle w:val="Heading3"/>
        <w:spacing w:after="120" w:before="200"/>
      </w:pPr>
      <w:r>
        <w:rPr>
          <w:b/>
          <w:bCs/>
        </w:rPr>
        <w:t xml:space="preserve">Design Rationale</w:t>
      </w:r>
    </w:p>
    <w:p>
      <w:pPr>
        <w:spacing w:after="100"/>
      </w:pPr>
      <w:r>
        <w:rPr>
          <w:rFonts w:ascii="Arial" w:cs="Arial" w:eastAsia="Arial" w:hAnsi="Arial"/>
          <w:sz w:val="21"/>
          <w:szCs w:val="21"/>
        </w:rPr>
        <w:t xml:space="preserve">Tier A scores all primary binding instruments equally at 100 because cross-jurisdiction authority comparison is meaningless - a US Fed regulation (12 CFR) is not "less authoritative" than an OSFI guideline (B-20). They are equivalent instruments in different jurisdictions. The jurisdiction boost (separate +50 mechanism) handles which jurisdiction's documents to prefer for a given query.</w:t>
      </w:r>
    </w:p>
    <w:p>
      <w:pPr>
        <w:spacing w:after="80"/>
      </w:pPr>
    </w:p>
    <w:p>
      <w:pPr>
        <w:pStyle w:val="Heading3"/>
        <w:spacing w:after="120" w:before="200"/>
      </w:pPr>
      <w:r>
        <w:rPr>
          <w:b/>
          <w:bCs/>
        </w:rPr>
        <w:t xml:space="preserve">Complete authority_scores Dictionary</w:t>
      </w:r>
    </w:p>
    <w:p>
      <w:pPr>
        <w:spacing w:after="100"/>
      </w:pPr>
      <w:r>
        <w:rPr>
          <w:rFonts w:ascii="Arial" w:cs="Arial" w:eastAsia="Arial" w:hAnsi="Arial"/>
          <w:sz w:val="21"/>
          <w:szCs w:val="21"/>
        </w:rPr>
        <w:t xml:space="preserve">All 22 values now mapped (line ~1831 in _apply_rule2_boosting):</w:t>
      </w:r>
    </w:p>
    <w:p>
      <w:pPr>
        <w:spacing w:after="80"/>
      </w:pP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700"/>
        <w:gridCol w:w="3200"/>
      </w:tblGrid>
      <w:tr>
        <w:tc>
          <w:tcPr>
            <w:tcW w:type="dxa" w:w="2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Value</w:t>
            </w:r>
          </w:p>
        </w:tc>
        <w:tc>
          <w:tcPr>
            <w:tcW w:type="dxa" w:w="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Tier</w:t>
            </w:r>
          </w:p>
        </w:tc>
        <w:tc>
          <w:tcPr>
            <w:tcW w:type="dxa" w:w="7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Score</w:t>
            </w:r>
          </w:p>
        </w:tc>
        <w:tc>
          <w:tcPr>
            <w:tcW w:type="dxa" w:w="32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Found In</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primary_normative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All 4 repos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primary_law</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100</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statute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regulation</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100</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US Fed, PRA</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guideline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OSFI, Basel</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official_support</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85</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OSFI (108 docs)</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primary_guidance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85</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guidance</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85</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directive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85</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procedural_administrative</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85</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US Fed eCFR (13 docs)</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secondary_normative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65</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guidance_interpretive</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60</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US Fed FR (2,283), Basel (148)</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interpretive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60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PRA (446 docs)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official_interpretive</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60</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OSFI (12 docs)</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reference_interpretive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60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US Fed eCFR (1 doc)</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secondary_guidance</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60</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reference_definitional</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55</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Basel (13 docs)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policy</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55</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advisory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35</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consultative</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35</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PRA (13 docs)</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context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35</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PRA (35 docs)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contextual_summary</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35</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OSFI (2 docs)</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informational</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20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General</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excluded</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w:t>
            </w:r>
          </w:p>
        </w:tc>
        <w:tc>
          <w:tcPr>
            <w:tcW w:type="dxa" w:w="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OSFI (5 docs)</w:t>
            </w:r>
          </w:p>
        </w:tc>
      </w:tr>
    </w:tbl>
    <w:p>
      <w:r>
        <w:br w:type="page"/>
      </w:r>
    </w:p>
    <w:p>
      <w:pPr>
        <w:pStyle w:val="Heading1"/>
        <w:spacing w:after="200" w:before="360"/>
      </w:pPr>
      <w:r>
        <w:rPr>
          <w:b/>
          <w:bCs/>
        </w:rPr>
        <w:t xml:space="preserve">5. Enhancement 3: Regulator-Aware Temporal Decay</w:t>
      </w:r>
    </w:p>
    <w:p>
      <w:pPr>
        <w:pStyle w:val="Heading3"/>
        <w:spacing w:after="120" w:before="200"/>
      </w:pPr>
      <w:r>
        <w:rPr>
          <w:b/>
          <w:bCs/>
        </w:rPr>
        <w:t xml:space="preserve">Problem</w:t>
      </w:r>
    </w:p>
    <w:p>
      <w:pPr>
        <w:spacing w:after="100"/>
      </w:pPr>
      <w:r>
        <w:rPr>
          <w:rFonts w:ascii="Arial" w:cs="Arial" w:eastAsia="Arial" w:hAnsi="Arial"/>
          <w:sz w:val="21"/>
          <w:szCs w:val="21"/>
        </w:rPr>
        <w:t xml:space="preserve">The original temporal reranking penalized all old documents equally at 10 points per year. Basel II (2004) lost 220 points relative to a 2026 query, scoring zero and becoming completely unretrievable. But Basel II is foundational content still heavily referenced by Basel III.</w:t>
      </w:r>
    </w:p>
    <w:p>
      <w:pPr>
        <w:spacing w:after="80"/>
      </w:pPr>
    </w:p>
    <w:p>
      <w:pPr>
        <w:pStyle w:val="Heading3"/>
        <w:spacing w:after="120" w:before="200"/>
      </w:pPr>
      <w:r>
        <w:rPr>
          <w:b/>
          <w:bCs/>
        </w:rPr>
        <w:t xml:space="preserve">Why This Matters</w:t>
      </w:r>
    </w:p>
    <w:p>
      <w:pPr>
        <w:spacing w:after="100"/>
      </w:pPr>
      <w:r>
        <w:rPr>
          <w:rFonts w:ascii="Arial" w:cs="Arial" w:eastAsia="Arial" w:hAnsi="Arial"/>
          <w:sz w:val="21"/>
          <w:szCs w:val="21"/>
        </w:rPr>
        <w:t xml:space="preserve">International standard-setting bodies like BCBS use a publication model where new frameworks explicitly build on and reference older ones. Basel III does not replace Basel II - it extends it. A user asking about credit risk needs access to both. Penalizing Basel II as heavily as an outdated OSFI guideline is incorrect.</w:t>
      </w:r>
    </w:p>
    <w:p>
      <w:pPr>
        <w:spacing w:after="80"/>
      </w:pPr>
    </w:p>
    <w:p>
      <w:pPr>
        <w:pStyle w:val="Heading3"/>
        <w:spacing w:after="120" w:before="200"/>
      </w:pPr>
      <w:r>
        <w:rPr>
          <w:b/>
          <w:bCs/>
        </w:rPr>
        <w:t xml:space="preserve">Solution: Variable Decay Rates</w:t>
      </w:r>
    </w:p>
    <w:p>
      <w:pPr>
        <w:spacing w:after="100"/>
      </w:pPr>
      <w:r>
        <w:rPr>
          <w:rFonts w:ascii="Arial" w:cs="Arial" w:eastAsia="Arial" w:hAnsi="Arial"/>
          <w:sz w:val="21"/>
          <w:szCs w:val="21"/>
        </w:rPr>
        <w:t xml:space="preserve">The _rerank_by_temporal_relevance() method (line 1987) now uses different decay rates per regulator versioning model:</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000"/>
        <w:gridCol w:w="2880"/>
      </w:tblGrid>
      <w:tr>
        <w:tc>
          <w:tcPr>
            <w:tcW w:type="dxa" w:w="2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Version Model</w:t>
            </w:r>
          </w:p>
        </w:tc>
        <w:tc>
          <w:tcPr>
            <w:tcW w:type="dxa" w:w="1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Decay Rate</w:t>
            </w:r>
          </w:p>
        </w:tc>
        <w:tc>
          <w:tcPr>
            <w:tcW w:type="dxa" w:w="3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Score for 2017 Doc (2026 Query)</w:t>
            </w:r>
          </w:p>
        </w:tc>
        <w:tc>
          <w:tcPr>
            <w:tcW w:type="dxa" w:w="28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Score for 2004 Doc (2026 Query)</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lifecycle (OSFI, PRA)</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 pts/year</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100 - (9 x 10) = 10</w:t>
            </w:r>
          </w:p>
        </w:tc>
        <w:tc>
          <w:tcPr>
            <w:tcW w:type="dxa" w:w="28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100 - (22 x 10) = 0</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mixed (US Fed, EBA)</w:t>
            </w:r>
          </w:p>
        </w:tc>
        <w:tc>
          <w:tcPr>
            <w:tcW w:type="dxa" w:w="1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6 pts/year</w:t>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100 - (9 x 6) = 46</w:t>
            </w:r>
          </w:p>
        </w:tc>
        <w:tc>
          <w:tcPr>
            <w:tcW w:type="dxa" w:w="28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100 - (22 x 6) = 0</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publication (Basel, BIS)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3 pts/year</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100 - (9 x 3) = 73</w:t>
            </w:r>
          </w:p>
        </w:tc>
        <w:tc>
          <w:tcPr>
            <w:tcW w:type="dxa" w:w="28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100 - (22 x 3) = 34</w:t>
            </w:r>
          </w:p>
        </w:tc>
      </w:tr>
    </w:tbl>
    <w:p>
      <w:pPr>
        <w:spacing w:after="80"/>
      </w:pPr>
    </w:p>
    <w:p>
      <w:pPr>
        <w:spacing w:after="100"/>
      </w:pPr>
      <w:r>
        <w:rPr>
          <w:rFonts w:ascii="Arial" w:cs="Arial" w:eastAsia="Arial" w:hAnsi="Arial"/>
          <w:sz w:val="21"/>
          <w:szCs w:val="21"/>
        </w:rPr>
        <w:t xml:space="preserve">Result: Basel III (2017) scores 73 while Basel II (2004) scores 34. Basel III ranks higher, but Basel II is still retrievable for foundational context rather than being completely buried.</w:t>
      </w:r>
    </w:p>
    <w:p>
      <w:r>
        <w:br w:type="page"/>
      </w:r>
    </w:p>
    <w:p>
      <w:pPr>
        <w:pStyle w:val="Heading1"/>
        <w:spacing w:after="200" w:before="360"/>
      </w:pPr>
      <w:r>
        <w:rPr>
          <w:b/>
          <w:bCs/>
        </w:rPr>
        <w:t xml:space="preserve">6. Enhancement 4: Paragraph/Section-Aware Search</w:t>
      </w:r>
    </w:p>
    <w:p>
      <w:pPr>
        <w:pStyle w:val="Heading3"/>
        <w:spacing w:after="120" w:before="200"/>
      </w:pPr>
      <w:r>
        <w:rPr>
          <w:b/>
          <w:bCs/>
        </w:rPr>
        <w:t xml:space="preserve">Problem</w:t>
      </w:r>
    </w:p>
    <w:p>
      <w:pPr>
        <w:spacing w:after="100"/>
      </w:pPr>
      <w:r>
        <w:rPr>
          <w:rFonts w:ascii="Arial" w:cs="Arial" w:eastAsia="Arial" w:hAnsi="Arial"/>
          <w:sz w:val="21"/>
          <w:szCs w:val="21"/>
        </w:rPr>
        <w:t xml:space="preserve">A query like "Basel paragraph 444" or "CRE31.4 credit risk" returned generic Basel content. The number "444" carries no semantic weight in embedding space, and the BM25 text match treated it as a generic token matching page numbers or dollar amounts.</w:t>
      </w:r>
    </w:p>
    <w:p>
      <w:pPr>
        <w:spacing w:after="80"/>
      </w:pPr>
    </w:p>
    <w:p>
      <w:pPr>
        <w:pStyle w:val="Heading3"/>
        <w:spacing w:after="120" w:before="200"/>
      </w:pPr>
      <w:r>
        <w:rPr>
          <w:b/>
          <w:bCs/>
        </w:rPr>
        <w:t xml:space="preserve">Why This Matters</w:t>
      </w:r>
    </w:p>
    <w:p>
      <w:pPr>
        <w:spacing w:after="100"/>
      </w:pPr>
      <w:r>
        <w:rPr>
          <w:rFonts w:ascii="Arial" w:cs="Arial" w:eastAsia="Arial" w:hAnsi="Arial"/>
          <w:sz w:val="21"/>
          <w:szCs w:val="21"/>
        </w:rPr>
        <w:t xml:space="preserve">Regulatory professionals frequently reference specific paragraphs, sections, and Basel-style codes. If the retriever cannot find "paragraph 444" when it exists in the knowledge base, users lose trust in the system and revert to manual search.</w:t>
      </w:r>
    </w:p>
    <w:p>
      <w:pPr>
        <w:spacing w:after="80"/>
      </w:pPr>
    </w:p>
    <w:p>
      <w:pPr>
        <w:pStyle w:val="Heading3"/>
        <w:spacing w:after="120" w:before="200"/>
      </w:pPr>
      <w:r>
        <w:rPr>
          <w:b/>
          <w:bCs/>
        </w:rPr>
        <w:t xml:space="preserve">Solution</w:t>
      </w:r>
    </w:p>
    <w:p>
      <w:pPr>
        <w:spacing w:after="100"/>
      </w:pPr>
      <w:r>
        <w:rPr>
          <w:rFonts w:ascii="Arial" w:cs="Arial" w:eastAsia="Arial" w:hAnsi="Arial"/>
          <w:sz w:val="21"/>
          <w:szCs w:val="21"/>
        </w:rPr>
        <w:t xml:space="preserve">New method _extract_paragraph_ref() (line 1478) detects regulatory reference patterns: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c>
          <w:tcPr>
            <w:tcW w:type="dxa" w:w="2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Pattern Type</w:t>
            </w:r>
          </w:p>
        </w:tc>
        <w:tc>
          <w:tcPr>
            <w:tcW w:type="dxa" w:w="35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Regex Pattern</w:t>
            </w:r>
          </w:p>
        </w:tc>
        <w:tc>
          <w:tcPr>
            <w:tcW w:type="dxa" w:w="45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Example Matches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Paragraph</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paragraph|para + digits</w:t>
            </w:r>
          </w:p>
        </w:tc>
        <w:tc>
          <w:tcPr>
            <w:tcW w:type="dxa" w:w="45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paragraph 444, para 12.3</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Section</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section|sec + digits</w:t>
            </w:r>
          </w:p>
        </w:tc>
        <w:tc>
          <w:tcPr>
            <w:tcW w:type="dxa" w:w="45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section 3.1</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Article</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article|art + digits</w:t>
            </w:r>
          </w:p>
        </w:tc>
        <w:tc>
          <w:tcPr>
            <w:tcW w:type="dxa" w:w="45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article 12</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Clause</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clause|cl + digits</w:t>
            </w:r>
          </w:p>
        </w:tc>
        <w:tc>
          <w:tcPr>
            <w:tcW w:type="dxa" w:w="45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clause 7.2</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Basel code</w:t>
            </w:r>
          </w:p>
        </w:tc>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2-4 uppercase + digits</w:t>
            </w:r>
          </w:p>
        </w:tc>
        <w:tc>
          <w:tcPr>
            <w:tcW w:type="dxa" w:w="45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CRE31.4, MAR10.2, SCO40.1</w:t>
            </w:r>
          </w:p>
        </w:tc>
      </w:tr>
    </w:tbl>
    <w:p>
      <w:pPr>
        <w:spacing w:after="80"/>
      </w:pPr>
    </w:p>
    <w:p>
      <w:pPr>
        <w:spacing w:after="100"/>
      </w:pPr>
      <w:r>
        <w:rPr>
          <w:rFonts w:ascii="Arial" w:cs="Arial" w:eastAsia="Arial" w:hAnsi="Arial"/>
          <w:sz w:val="21"/>
          <w:szCs w:val="21"/>
        </w:rPr>
        <w:t xml:space="preserve">When detected, the ES query adds targeted boosts via promoted top-level metadata fields: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780"/>
      </w:tblGrid>
      <w:tr>
        <w:tc>
          <w:tcPr>
            <w:tcW w:type="dxa" w:w="35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Target Field</w:t>
            </w:r>
          </w:p>
        </w:tc>
        <w:tc>
          <w:tcPr>
            <w:tcW w:type="dxa" w:w="8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Boost</w:t>
            </w:r>
          </w:p>
        </w:tc>
        <w:tc>
          <w:tcPr>
            <w:tcW w:type="dxa" w:w="57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Why</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meta_citation_anchor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10x</w:t>
            </w:r>
          </w:p>
        </w:tc>
        <w:tc>
          <w:tcPr>
            <w:tcW w:type="dxa" w:w="5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Direct metadata match - highest confidence</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meta_guideline_number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8x</w:t>
            </w:r>
          </w:p>
        </w:tc>
        <w:tc>
          <w:tcPr>
            <w:tcW w:type="dxa" w:w="5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Guideline identifier match</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text (match_phrase "paragraph 444")</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5x</w:t>
            </w:r>
          </w:p>
        </w:tc>
        <w:tc>
          <w:tcPr>
            <w:tcW w:type="dxa" w:w="5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Exact phrase in chunk text</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meta_paragraph_role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5x</w:t>
            </w:r>
          </w:p>
        </w:tc>
        <w:tc>
          <w:tcPr>
            <w:tcW w:type="dxa" w:w="5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Content role match</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meta_section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4x</w:t>
            </w:r>
          </w:p>
        </w:tc>
        <w:tc>
          <w:tcPr>
            <w:tcW w:type="dxa" w:w="5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Section number match</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text (match_phrase "444")</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3x</w:t>
            </w:r>
          </w:p>
        </w:tc>
        <w:tc>
          <w:tcPr>
            <w:tcW w:type="dxa" w:w="57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Bare reference in text</w:t>
            </w:r>
          </w:p>
        </w:tc>
      </w:tr>
    </w:tbl>
    <w:p>
      <w:r>
        <w:br w:type="page"/>
      </w:r>
    </w:p>
    <w:p>
      <w:pPr>
        <w:pStyle w:val="Heading1"/>
        <w:spacing w:after="200" w:before="360"/>
      </w:pPr>
      <w:r>
        <w:rPr>
          <w:b/>
          <w:bCs/>
        </w:rPr>
        <w:t xml:space="preserve">7. Enhancement 5: Promoted Metadata Fields in Elasticsearch</w:t>
      </w:r>
    </w:p>
    <w:p>
      <w:pPr>
        <w:pStyle w:val="Heading3"/>
        <w:spacing w:after="120" w:before="200"/>
      </w:pPr>
      <w:r>
        <w:rPr>
          <w:b/>
          <w:bCs/>
        </w:rPr>
        <w:t xml:space="preserve">Problem</w:t>
      </w:r>
    </w:p>
    <w:p>
      <w:pPr>
        <w:spacing w:after="100"/>
      </w:pPr>
      <w:r>
        <w:rPr>
          <w:rFonts w:ascii="Arial" w:cs="Arial" w:eastAsia="Arial" w:hAnsi="Arial"/>
          <w:sz w:val="21"/>
          <w:szCs w:val="21"/>
        </w:rPr>
        <w:t xml:space="preserve">Metadata was stored as an opaque ES object field. While it preserved all data for Rule 3 prompt injection, it was not searchable by ES queries. Querying on fields like citation_anchor or normative_weight was impossible without nested queries, which create a separate Lucene document per nested object - expensive and unnecessary for our single-object-per-document metadata.</w:t>
      </w:r>
    </w:p>
    <w:p>
      <w:pPr>
        <w:spacing w:after="80"/>
      </w:pPr>
    </w:p>
    <w:p>
      <w:pPr>
        <w:pStyle w:val="Heading3"/>
        <w:spacing w:after="120" w:before="200"/>
      </w:pPr>
      <w:r>
        <w:rPr>
          <w:b/>
          <w:bCs/>
        </w:rPr>
        <w:t xml:space="preserve">Why This Matters</w:t>
      </w:r>
    </w:p>
    <w:p>
      <w:pPr>
        <w:spacing w:after="100"/>
      </w:pPr>
      <w:r>
        <w:rPr>
          <w:rFonts w:ascii="Arial" w:cs="Arial" w:eastAsia="Arial" w:hAnsi="Arial"/>
          <w:sz w:val="21"/>
          <w:szCs w:val="21"/>
        </w:rPr>
        <w:t xml:space="preserve">Rule 2 of the NOVA spec requires metadata to "gate and boost retrieval." With metadata locked in an opaque object, the retriever could not apply the filtering and boosting that the spec demands. As-of-date queries, regulator filtering, and normative weight boosting all require searchable metadata fields.</w:t>
      </w:r>
    </w:p>
    <w:p>
      <w:pPr>
        <w:spacing w:after="80"/>
      </w:pPr>
    </w:p>
    <w:p>
      <w:pPr>
        <w:pStyle w:val="Heading3"/>
        <w:spacing w:after="120" w:before="200"/>
      </w:pPr>
      <w:r>
        <w:rPr>
          <w:b/>
          <w:bCs/>
        </w:rPr>
        <w:t xml:space="preserve">Solution: Top-Level Promoted Fields</w:t>
      </w:r>
    </w:p>
    <w:p>
      <w:pPr>
        <w:spacing w:after="100"/>
      </w:pPr>
      <w:r>
        <w:rPr>
          <w:rFonts w:ascii="Arial" w:cs="Arial" w:eastAsia="Arial" w:hAnsi="Arial"/>
          <w:sz w:val="21"/>
          <w:szCs w:val="21"/>
        </w:rPr>
        <w:t xml:space="preserve">20 metadata fields are now promoted to top-level ES fields during bulk indexing. The original metadata dict is preserved in the "metadata" object field for Rule 3 prompt injection. The promoted fields enable direct match/term/range queries: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6180"/>
      </w:tblGrid>
      <w:tr>
        <w:tc>
          <w:tcPr>
            <w:tcW w:type="dxa" w:w="28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Promoted Field</w:t>
            </w:r>
          </w:p>
        </w:tc>
        <w:tc>
          <w:tcPr>
            <w:tcW w:type="dxa" w:w="11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ES Type</w:t>
            </w:r>
          </w:p>
        </w:tc>
        <w:tc>
          <w:tcPr>
            <w:tcW w:type="dxa" w:w="61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meta_citation_anchor</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text</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Paragraph/section reference search (10x boost)</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meta_guideline_number</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Exact match on guideline identifiers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meta_paragraph_role</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text</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Content role (requirement, definition, scope)</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meta_regulator</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Auto-detected regulator filtering</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meta_jurisdiction</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Jurisdiction gating</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meta_authority_class</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Authority hierarchy boosting</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meta_nova_tier</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NOVA tier ranking</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meta_title</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text</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Document title BM25 matching</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meta_status</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Status filtering</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meta_section</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Section number matching</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meta_effective_date_start</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date</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As-of-date range queries</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meta_effective_date_end</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date</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Expiry range queries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meta_normative_weight</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Mandatory vs advisory boosting (2x)</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meta_structural_level</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Chapter/section/paragraph filtering</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meta_is_appendix</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Appendix deprioritization (1.2x)</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meta_contains_definition</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Definition content boosting (3x)</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meta_contains_requirement</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Requirement content boosting (3x)</w:t>
            </w:r>
          </w:p>
        </w:tc>
      </w:tr>
      <w:tr>
        <w:tc>
          <w:tcPr>
            <w:tcW w:type="dxa" w:w="2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meta_document_class</w:t>
            </w:r>
          </w:p>
        </w:tc>
        <w:tc>
          <w:tcPr>
            <w:tcW w:type="dxa" w:w="11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keyword</w:t>
            </w:r>
          </w:p>
        </w:tc>
        <w:tc>
          <w:tcPr>
            <w:tcW w:type="dxa" w:w="61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Document class filtering</w:t>
            </w:r>
          </w:p>
        </w:tc>
      </w:tr>
    </w:tbl>
    <w:p>
      <w:pPr>
        <w:spacing w:after="80"/>
      </w:pPr>
    </w:p>
    <w:p>
      <w:pPr>
        <w:pStyle w:val="Heading3"/>
        <w:spacing w:after="120" w:before="200"/>
      </w:pPr>
      <w:r>
        <w:rPr>
          <w:b/>
          <w:bCs/>
        </w:rPr>
        <w:t xml:space="preserve">As-of-Date Filtering</w:t>
      </w:r>
    </w:p>
    <w:p>
      <w:pPr>
        <w:spacing w:after="100"/>
      </w:pPr>
      <w:r>
        <w:rPr>
          <w:rFonts w:ascii="Arial" w:cs="Arial" w:eastAsia="Arial" w:hAnsi="Arial"/>
          <w:sz w:val="21"/>
          <w:szCs w:val="21"/>
        </w:rPr>
        <w:t xml:space="preserve">When a query references a historical year (e.g., "LCR requirements as of 2024"), the search adds ES range filters on meta_effective_date_start and meta_effective_date_end to retrieve the version that was in effect at that date. This implements the temporal versioning described in the NOVA metadata spec.</w:t>
      </w:r>
    </w:p>
    <w:p>
      <w:r>
        <w:br w:type="page"/>
      </w:r>
    </w:p>
    <w:p>
      <w:pPr>
        <w:pStyle w:val="Heading1"/>
        <w:spacing w:after="200" w:before="360"/>
      </w:pPr>
      <w:r>
        <w:rPr>
          <w:b/>
          <w:bCs/>
        </w:rPr>
        <w:t xml:space="preserve">8. Enhancement 6: Rule 3 Prompt Injection Additions</w:t>
      </w:r>
    </w:p>
    <w:p>
      <w:pPr>
        <w:pStyle w:val="Heading3"/>
        <w:spacing w:after="120" w:before="200"/>
      </w:pPr>
      <w:r>
        <w:rPr>
          <w:b/>
          <w:bCs/>
        </w:rPr>
        <w:t xml:space="preserve">Problem</w:t>
      </w:r>
    </w:p>
    <w:p>
      <w:pPr>
        <w:spacing w:after="100"/>
      </w:pPr>
      <w:r>
        <w:rPr>
          <w:rFonts w:ascii="Arial" w:cs="Arial" w:eastAsia="Arial" w:hAnsi="Arial"/>
          <w:sz w:val="21"/>
          <w:szCs w:val="21"/>
        </w:rPr>
        <w:t xml:space="preserve">The Rule 3 prompt header was missing four fields that the NOVA metadata spec identifies as critical for LLM regulatory reasoning. Without these, the LLM could not distinguish mandatory requirements from advisory guidance, or approved policies from drafts under review.</w:t>
      </w:r>
    </w:p>
    <w:p>
      <w:pPr>
        <w:spacing w:after="80"/>
      </w:pPr>
    </w:p>
    <w:p>
      <w:pPr>
        <w:pStyle w:val="Heading3"/>
        <w:spacing w:after="120" w:before="200"/>
      </w:pPr>
      <w:r>
        <w:rPr>
          <w:b/>
          <w:bCs/>
        </w:rPr>
        <w:t xml:space="preserve">Why This Matters</w:t>
      </w:r>
    </w:p>
    <w:p>
      <w:pPr>
        <w:spacing w:after="100"/>
      </w:pPr>
      <w:r>
        <w:rPr>
          <w:rFonts w:ascii="Arial" w:cs="Arial" w:eastAsia="Arial" w:hAnsi="Arial"/>
          <w:sz w:val="21"/>
          <w:szCs w:val="21"/>
        </w:rPr>
        <w:t xml:space="preserve">The NOVA spec states: "Without Layer 3, the LLM sees only raw text and has no way to distinguish between a current mandatory requirement and a superseded advisory guideline; an approved policy and a draft under review; a scope statement and an exception; a definition and a procedure step. These distinctions are the difference between a correct regulatory answer and a hallucinated one."</w:t>
      </w:r>
    </w:p>
    <w:p>
      <w:pPr>
        <w:spacing w:after="80"/>
      </w:pPr>
    </w:p>
    <w:p>
      <w:pPr>
        <w:pStyle w:val="Heading3"/>
        <w:spacing w:after="120" w:before="200"/>
      </w:pPr>
      <w:r>
        <w:rPr>
          <w:b/>
          <w:bCs/>
        </w:rPr>
        <w:t xml:space="preserve">Fields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Field Added</w:t>
            </w:r>
          </w:p>
        </w:tc>
        <w:tc>
          <w:tcPr>
            <w:tcW w:type="dxa" w:w="4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Why the LLM Needs It</w:t>
            </w:r>
          </w:p>
        </w:tc>
        <w:tc>
          <w:tcPr>
            <w:tcW w:type="dxa" w:w="40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Impact on Answer Quality</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Normative Weight</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Distinguishes mandatory ("shall") from advisory ("should")</w:t>
            </w:r>
          </w:p>
        </w:tc>
        <w:tc>
          <w:tcPr>
            <w:tcW w:type="dxa" w:w="4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"Institutions MUST comply" vs "Institutions SHOULD consider"</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Paragraph Role</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Identifies definitions, exceptions, scope statements</w:t>
            </w:r>
          </w:p>
        </w:tc>
        <w:tc>
          <w:tcPr>
            <w:tcW w:type="dxa" w:w="40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"This defines X as..." vs "This is an exception to..."</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Current Version Flag</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Tells LLM if this is the latest version</w:t>
            </w:r>
          </w:p>
        </w:tc>
        <w:tc>
          <w:tcPr>
            <w:tcW w:type="dxa" w:w="4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"Note: this has been superseded by the 2025 version"</w:t>
            </w:r>
          </w:p>
        </w:tc>
      </w:tr>
      <w:tr>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Approval Status</w:t>
            </w:r>
          </w:p>
        </w:tc>
        <w:tc>
          <w:tcPr>
            <w:tcW w:type="dxa" w:w="4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Draft vs approved vs under review</w:t>
            </w:r>
          </w:p>
        </w:tc>
        <w:tc>
          <w:tcPr>
            <w:tcW w:type="dxa" w:w="40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"This policy is currently under review and may change"</w:t>
            </w:r>
          </w:p>
        </w:tc>
      </w:tr>
    </w:tbl>
    <w:p>
      <w:pPr>
        <w:spacing w:after="80"/>
      </w:pPr>
    </w:p>
    <w:p>
      <w:pPr>
        <w:spacing w:after="100"/>
      </w:pPr>
      <w:r>
        <w:rPr>
          <w:rFonts w:ascii="Arial" w:cs="Arial" w:eastAsia="Arial" w:hAnsi="Arial"/>
          <w:b/>
          <w:bCs/>
          <w:sz w:val="21"/>
          <w:szCs w:val="21"/>
        </w:rPr>
        <w:t xml:space="preserve">Complete Rule 3 Header (15 fields, after enhancement):</w:t>
      </w:r>
    </w:p>
    <w:p>
      <w:pPr>
        <w:spacing w:after="100"/>
      </w:pPr>
      <w:r>
        <w:rPr>
          <w:rFonts w:ascii="Arial" w:cs="Arial" w:eastAsia="Arial" w:hAnsi="Arial"/>
          <w:sz w:val="21"/>
          <w:szCs w:val="21"/>
        </w:rPr>
        <w:t xml:space="preserve">Document, Version, Status, Effective Dates, Authority Class, Authority Level, NOVA Tier, Jurisdiction, Normative Weight, Paragraph Role, Current Version, Approval Status, Sector, Regulator, Citation</w:t>
      </w:r>
    </w:p>
    <w:p>
      <w:r>
        <w:br w:type="page"/>
      </w:r>
    </w:p>
    <w:p>
      <w:pPr>
        <w:pStyle w:val="Heading1"/>
        <w:spacing w:after="200" w:before="360"/>
      </w:pPr>
      <w:r>
        <w:rPr>
          <w:b/>
          <w:bCs/>
        </w:rPr>
        <w:t xml:space="preserve">9. Enhancement 7: Metadata Field Normalization Layer</w:t>
      </w:r>
    </w:p>
    <w:p>
      <w:pPr>
        <w:pStyle w:val="Heading3"/>
        <w:spacing w:after="120" w:before="200"/>
      </w:pPr>
      <w:r>
        <w:rPr>
          <w:b/>
          <w:bCs/>
        </w:rPr>
        <w:t xml:space="preserve">Problem</w:t>
      </w:r>
    </w:p>
    <w:p>
      <w:pPr>
        <w:spacing w:after="100"/>
      </w:pPr>
      <w:r>
        <w:rPr>
          <w:rFonts w:ascii="Arial" w:cs="Arial" w:eastAsia="Arial" w:hAnsi="Arial"/>
          <w:sz w:val="21"/>
          <w:szCs w:val="21"/>
        </w:rPr>
        <w:t xml:space="preserve">The four regulatory repos use different field names and value formats for the same metadata concepts. The retriever assumed uniform field names, causing ES searches, Rule 2 filtering/boosting, and Rule 3 prompt injection to silently fail for non-conforming repos. For example:</w:t>
      </w:r>
    </w:p>
    <w:p>
      <w:pPr>
        <w:pStyle w:val="ListParagraph"/>
        <w:numPr>
          <w:ilvl w:val="0"/>
          <w:numId w:val="2"/>
        </w:numPr>
        <w:spacing w:after="60"/>
      </w:pPr>
      <w:r>
        <w:rPr>
          <w:rFonts w:ascii="Arial" w:cs="Arial" w:eastAsia="Arial" w:hAnsi="Arial"/>
          <w:sz w:val="21"/>
          <w:szCs w:val="21"/>
        </w:rPr>
        <w:t xml:space="preserve">OSFI uses prudential_weight (a float 0.0-1.0) instead of normative_weight (a string enum)</w:t>
      </w:r>
    </w:p>
    <w:p>
      <w:pPr>
        <w:pStyle w:val="ListParagraph"/>
        <w:numPr>
          <w:ilvl w:val="0"/>
          <w:numId w:val="2"/>
        </w:numPr>
        <w:spacing w:after="60"/>
      </w:pPr>
      <w:r>
        <w:rPr>
          <w:rFonts w:ascii="Arial" w:cs="Arial" w:eastAsia="Arial" w:hAnsi="Arial"/>
          <w:sz w:val="21"/>
          <w:szCs w:val="21"/>
        </w:rPr>
        <w:t xml:space="preserve">US Fed uses regulation_letter + cfr_citation (two fields) instead of guideline_number (one field)</w:t>
      </w:r>
    </w:p>
    <w:p>
      <w:pPr>
        <w:pStyle w:val="ListParagraph"/>
        <w:numPr>
          <w:ilvl w:val="0"/>
          <w:numId w:val="2"/>
        </w:numPr>
        <w:spacing w:after="60"/>
      </w:pPr>
      <w:r>
        <w:rPr>
          <w:rFonts w:ascii="Arial" w:cs="Arial" w:eastAsia="Arial" w:hAnsi="Arial"/>
          <w:sz w:val="21"/>
          <w:szCs w:val="21"/>
        </w:rPr>
        <w:t xml:space="preserve">Basel uses chapter_code + bis_ref instead of guideline_number</w:t>
      </w:r>
    </w:p>
    <w:p>
      <w:pPr>
        <w:pStyle w:val="ListParagraph"/>
        <w:numPr>
          <w:ilvl w:val="0"/>
          <w:numId w:val="2"/>
        </w:numPr>
        <w:spacing w:after="60"/>
      </w:pPr>
      <w:r>
        <w:rPr>
          <w:rFonts w:ascii="Arial" w:cs="Arial" w:eastAsia="Arial" w:hAnsi="Arial"/>
          <w:sz w:val="21"/>
          <w:szCs w:val="21"/>
        </w:rPr>
        <w:t xml:space="preserve">OSFI status values (final_current, draft_or_consultation) differ from canonical (active, draft)</w:t>
      </w:r>
    </w:p>
    <w:p>
      <w:pPr>
        <w:spacing w:after="80"/>
      </w:pPr>
    </w:p>
    <w:p>
      <w:pPr>
        <w:pStyle w:val="Heading3"/>
        <w:spacing w:after="120" w:before="200"/>
      </w:pPr>
      <w:r>
        <w:rPr>
          <w:b/>
          <w:bCs/>
        </w:rPr>
        <w:t xml:space="preserve">Why This Matters</w:t>
      </w:r>
    </w:p>
    <w:p>
      <w:pPr>
        <w:spacing w:after="100"/>
      </w:pPr>
      <w:r>
        <w:rPr>
          <w:rFonts w:ascii="Arial" w:cs="Arial" w:eastAsia="Arial" w:hAnsi="Arial"/>
          <w:sz w:val="21"/>
          <w:szCs w:val="21"/>
        </w:rPr>
        <w:t xml:space="preserve">Without normalization, OSFI documents with prudential_weight: 1.0 (meaning "mandatory") received zero boost from the normative_weight matching logic. US Fed documents had empty guideline_number fields. Basel documents had empty guideline_number fields. The normalization gap affected thousands of documents.</w:t>
      </w:r>
    </w:p>
    <w:p>
      <w:pPr>
        <w:spacing w:after="80"/>
      </w:pPr>
    </w:p>
    <w:p>
      <w:pPr>
        <w:pStyle w:val="Heading3"/>
        <w:spacing w:after="120" w:before="200"/>
      </w:pPr>
      <w:r>
        <w:rPr>
          <w:b/>
          <w:bCs/>
        </w:rPr>
        <w:t xml:space="preserve">Solution: _normalize_metadata() Method (Line 867)</w:t>
      </w:r>
    </w:p>
    <w:p>
      <w:pPr>
        <w:spacing w:after="100"/>
      </w:pPr>
      <w:r>
        <w:rPr>
          <w:rFonts w:ascii="Arial" w:cs="Arial" w:eastAsia="Arial" w:hAnsi="Arial"/>
          <w:sz w:val="21"/>
          <w:szCs w:val="21"/>
        </w:rPr>
        <w:t xml:space="preserve">A four-layer normalization pipeline that translates each regulator's alternative fields to canonical NOVA names. Returns a new dict without modifying the original. Called at two critical points:</w:t>
      </w:r>
    </w:p>
    <w:p>
      <w:pPr>
        <w:pStyle w:val="ListParagraph"/>
        <w:numPr>
          <w:ilvl w:val="0"/>
          <w:numId w:val="3"/>
        </w:numPr>
        <w:spacing w:after="60"/>
      </w:pPr>
      <w:r>
        <w:rPr>
          <w:rFonts w:ascii="Arial" w:cs="Arial" w:eastAsia="Arial" w:hAnsi="Arial"/>
          <w:sz w:val="21"/>
          <w:szCs w:val="21"/>
        </w:rPr>
        <w:t xml:space="preserve">During bulk indexing - so promoted meta_* ES fields get correct normalized values</w:t>
      </w:r>
    </w:p>
    <w:p>
      <w:pPr>
        <w:pStyle w:val="ListParagraph"/>
        <w:numPr>
          <w:ilvl w:val="0"/>
          <w:numId w:val="3"/>
        </w:numPr>
        <w:spacing w:after="60"/>
      </w:pPr>
      <w:r>
        <w:rPr>
          <w:rFonts w:ascii="Arial" w:cs="Arial" w:eastAsia="Arial" w:hAnsi="Arial"/>
          <w:sz w:val="21"/>
          <w:szCs w:val="21"/>
        </w:rPr>
        <w:t xml:space="preserve">After ES search results return - so Rule 2 filtering/boosting and Rule 3 prompt injection see canonical field names and values</w:t>
      </w:r>
    </w:p>
    <w:p>
      <w:pPr>
        <w:spacing w:after="80"/>
      </w:pPr>
    </w:p>
    <w:p>
      <w:pPr>
        <w:spacing w:after="100"/>
      </w:pPr>
      <w:r>
        <w:rPr>
          <w:rFonts w:ascii="Arial" w:cs="Arial" w:eastAsia="Arial" w:hAnsi="Arial"/>
          <w:b/>
          <w:bCs/>
          <w:sz w:val="21"/>
          <w:szCs w:val="21"/>
        </w:rPr>
        <w:t xml:space="preserve">Layer 1: Field Name Aliases</w:t>
      </w:r>
    </w:p>
    <w:p>
      <w:pPr>
        <w:spacing w:after="100"/>
      </w:pPr>
      <w:r>
        <w:rPr>
          <w:rFonts w:ascii="Arial" w:cs="Arial" w:eastAsia="Arial" w:hAnsi="Arial"/>
          <w:sz w:val="21"/>
          <w:szCs w:val="21"/>
        </w:rPr>
        <w:t xml:space="preserve">Simple renames where the source field maps directly to a canonical field: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Regulator</w:t>
            </w:r>
          </w:p>
        </w:tc>
        <w:tc>
          <w:tcPr>
            <w:tcW w:type="dxa" w:w="4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Source Field</w:t>
            </w:r>
          </w:p>
        </w:tc>
        <w:tc>
          <w:tcPr>
            <w:tcW w:type="dxa" w:w="40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Canonical Field</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OSFI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guideline_number_normalized</w:t>
            </w:r>
          </w:p>
        </w:tc>
        <w:tc>
          <w:tcPr>
            <w:tcW w:type="dxa" w:w="4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guideline_number</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OSFI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has_appendices</w:t>
            </w:r>
          </w:p>
        </w:tc>
        <w:tc>
          <w:tcPr>
            <w:tcW w:type="dxa" w:w="4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is_appendix</w:t>
            </w:r>
          </w:p>
        </w:tc>
      </w:tr>
    </w:tbl>
    <w:p>
      <w:pPr>
        <w:spacing w:after="80"/>
      </w:pPr>
    </w:p>
    <w:p>
      <w:pPr>
        <w:spacing w:after="100"/>
      </w:pPr>
      <w:r>
        <w:rPr>
          <w:rFonts w:ascii="Arial" w:cs="Arial" w:eastAsia="Arial" w:hAnsi="Arial"/>
          <w:b/>
          <w:bCs/>
          <w:sz w:val="21"/>
          <w:szCs w:val="21"/>
        </w:rPr>
        <w:t xml:space="preserve">Layer 2: Value Transforms</w:t>
      </w:r>
    </w:p>
    <w:p>
      <w:pPr>
        <w:spacing w:after="100"/>
      </w:pPr>
      <w:r>
        <w:rPr>
          <w:rFonts w:ascii="Arial" w:cs="Arial" w:eastAsia="Arial" w:hAnsi="Arial"/>
          <w:sz w:val="21"/>
          <w:szCs w:val="21"/>
        </w:rPr>
        <w:t xml:space="preserve">Complex transforms where the source value format differs from canonical:</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4480"/>
      </w:tblGrid>
      <w:tr>
        <w:tc>
          <w:tcPr>
            <w:tcW w:type="dxa" w:w="12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Regulator</w:t>
            </w:r>
          </w:p>
        </w:tc>
        <w:tc>
          <w:tcPr>
            <w:tcW w:type="dxa" w:w="2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Source Field (Type)</w:t>
            </w:r>
          </w:p>
        </w:tc>
        <w:tc>
          <w:tcPr>
            <w:tcW w:type="dxa" w:w="18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Canonical Field</w:t>
            </w:r>
          </w:p>
        </w:tc>
        <w:tc>
          <w:tcPr>
            <w:tcW w:type="dxa" w:w="44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Transform Logic</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OSFI</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prudential_weight (float)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normative_weight</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&gt;= 0.9: mandatory, &gt;= 0.6: advisory, &gt;= 0.3: permissive, else: informational</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OSFI</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is_primary_normative + is_supporting_interpretive (bools)</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paragraph_role</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true/false: primary_normative, false/true: supporting_interpretive, else: general</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OSFI</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toc_depth (int 0-5)</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structural_level</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0: document, 1: chapter, 2: section, 3: subsection, 4: paragraph, 5: subparagraph</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OSFI</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status (final_current)</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approval_status</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final_current/final_future_effective: approved, draft_or_consultation: draft, superseded: superseded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US Fed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regulation_letter + cfr_citation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guideline_number</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Concatenated: "D (12 CFR Part 204)"</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US Fed</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sr_letter_number</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guideline_number</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Fallback: "SR 25-6"</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US Fed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structural_level ("part")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structural_level</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part -&gt; chapter, document -&gt; document</w:t>
            </w:r>
          </w:p>
        </w:tc>
      </w:tr>
      <w:tr>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US Fed</w:t>
            </w:r>
          </w:p>
        </w:tc>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(missing)</w:t>
            </w:r>
          </w:p>
        </w:tc>
        <w:tc>
          <w:tcPr>
            <w:tcW w:type="dxa" w:w="18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sector</w:t>
            </w:r>
          </w:p>
        </w:tc>
        <w:tc>
          <w:tcPr>
            <w:tcW w:type="dxa" w:w="44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Default: "Banking"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Basel</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chapter_code + bis_ref</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guideline_number</w:t>
            </w:r>
          </w:p>
        </w:tc>
        <w:tc>
          <w:tcPr>
            <w:tcW w:type="dxa" w:w="44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Concatenated: "bcbs128 CRE20"</w:t>
            </w:r>
          </w:p>
        </w:tc>
      </w:tr>
    </w:tbl>
    <w:p>
      <w:pPr>
        <w:spacing w:after="80"/>
      </w:pPr>
    </w:p>
    <w:p>
      <w:pPr>
        <w:spacing w:after="100"/>
      </w:pPr>
      <w:r>
        <w:rPr>
          <w:rFonts w:ascii="Arial" w:cs="Arial" w:eastAsia="Arial" w:hAnsi="Arial"/>
          <w:b/>
          <w:bCs/>
          <w:sz w:val="21"/>
          <w:szCs w:val="21"/>
        </w:rPr>
        <w:t xml:space="preserve">Layer 3: Status Value Normalization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OSFI Status Value</w:t>
            </w:r>
          </w:p>
        </w:tc>
        <w:tc>
          <w:tcPr>
            <w:tcW w:type="dxa" w:w="50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Canonical Value</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final_current</w:t>
            </w:r>
          </w:p>
        </w:tc>
        <w:tc>
          <w:tcPr>
            <w:tcW w:type="dxa" w:w="5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active</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superseded</w:t>
            </w:r>
          </w:p>
        </w:tc>
        <w:tc>
          <w:tcPr>
            <w:tcW w:type="dxa" w:w="5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superseded</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final_future_effective</w:t>
            </w:r>
          </w:p>
        </w:tc>
        <w:tc>
          <w:tcPr>
            <w:tcW w:type="dxa" w:w="5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future_effective</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draft_or_consultation</w:t>
            </w:r>
          </w:p>
        </w:tc>
        <w:tc>
          <w:tcPr>
            <w:tcW w:type="dxa" w:w="50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draft</w:t>
            </w:r>
          </w:p>
        </w:tc>
      </w:tr>
    </w:tbl>
    <w:p>
      <w:pPr>
        <w:spacing w:after="80"/>
      </w:pPr>
    </w:p>
    <w:p>
      <w:pPr>
        <w:spacing w:after="100"/>
      </w:pPr>
      <w:r>
        <w:rPr>
          <w:rFonts w:ascii="Arial" w:cs="Arial" w:eastAsia="Arial" w:hAnsi="Arial"/>
          <w:b/>
          <w:bCs/>
          <w:sz w:val="21"/>
          <w:szCs w:val="21"/>
        </w:rPr>
        <w:t xml:space="preserve">Layer 4: Graceful Defaults</w:t>
      </w:r>
    </w:p>
    <w:p>
      <w:pPr>
        <w:spacing w:after="100"/>
      </w:pPr>
      <w:r>
        <w:rPr>
          <w:rFonts w:ascii="Arial" w:cs="Arial" w:eastAsia="Arial" w:hAnsi="Arial"/>
          <w:sz w:val="21"/>
          <w:szCs w:val="21"/>
        </w:rPr>
        <w:t xml:space="preserve">Missing fields receive empty string or False rather than None, preventing downstream code from crashing on NoneType comparisons.</w:t>
      </w:r>
    </w:p>
    <w:p>
      <w:r>
        <w:br w:type="page"/>
      </w:r>
    </w:p>
    <w:p>
      <w:pPr>
        <w:pStyle w:val="Heading1"/>
        <w:spacing w:after="200" w:before="360"/>
      </w:pPr>
      <w:r>
        <w:rPr>
          <w:b/>
          <w:bCs/>
        </w:rPr>
        <w:t xml:space="preserve">10. Cross-Regulator Field Coverage Matrix</w:t>
      </w:r>
    </w:p>
    <w:p>
      <w:pPr>
        <w:spacing w:after="100"/>
      </w:pPr>
      <w:r>
        <w:rPr>
          <w:rFonts w:ascii="Arial" w:cs="Arial" w:eastAsia="Arial" w:hAnsi="Arial"/>
          <w:sz w:val="21"/>
          <w:szCs w:val="21"/>
        </w:rPr>
        <w:t xml:space="preserve">This matrix shows the status of each canonical metadata field across the four regulatory repos after normalization: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c>
          <w:tcPr>
            <w:tcW w:type="dxa" w:w="22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Canonical Field</w:t>
            </w:r>
          </w:p>
        </w:tc>
        <w:tc>
          <w:tcPr>
            <w:tcW w:type="dxa" w:w="17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US Fed</w:t>
            </w:r>
          </w:p>
        </w:tc>
        <w:tc>
          <w:tcPr>
            <w:tcW w:type="dxa" w:w="17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OSFI</w:t>
            </w:r>
          </w:p>
        </w:tc>
        <w:tc>
          <w:tcPr>
            <w:tcW w:type="dxa" w:w="17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Basel</w:t>
            </w:r>
          </w:p>
        </w:tc>
        <w:tc>
          <w:tcPr>
            <w:tcW w:type="dxa" w:w="17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PRA</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citation_anchor</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guideline_number</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paragraph_role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normative_weight</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authority_class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nova_tier</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current_version_flag</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effective_date_start</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effective_date_end</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 (40%)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approval_status</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Derived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Derived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document_class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structural_level</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is_appendix</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contains_definition</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Default (False)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contains_requirement</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Default (False)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jurisdiction</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regulator</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status</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Normalized</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sector</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Default</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Native</w:t>
            </w:r>
          </w:p>
        </w:tc>
      </w:tr>
      <w:tr>
        <w:tc>
          <w:tcPr>
            <w:tcW w:type="dxa" w:w="2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business_line</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Missing</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Missing</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Missing</w:t>
            </w:r>
          </w:p>
        </w:tc>
        <w:tc>
          <w:tcPr>
            <w:tcW w:type="dxa" w:w="17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Missing</w:t>
            </w:r>
          </w:p>
        </w:tc>
      </w:tr>
    </w:tbl>
    <w:p>
      <w:pPr>
        <w:spacing w:after="80"/>
      </w:pPr>
    </w:p>
    <w:p>
      <w:pPr>
        <w:spacing w:after="100"/>
      </w:pPr>
      <w:r>
        <w:rPr>
          <w:rFonts w:ascii="Arial" w:cs="Arial" w:eastAsia="Arial" w:hAnsi="Arial"/>
          <w:sz w:val="21"/>
          <w:szCs w:val="21"/>
        </w:rPr>
        <w:t xml:space="preserve">Native = field exists with canonical name and values. Normalized = field translated from alternative name/format via _normalize_metadata(). Derived = computed from other fields. Default = populated with a sensible default value. Missing = not available in any form.</w:t>
      </w:r>
    </w:p>
    <w:p>
      <w:r>
        <w:br w:type="page"/>
      </w:r>
    </w:p>
    <w:p>
      <w:pPr>
        <w:pStyle w:val="Heading1"/>
        <w:spacing w:after="200" w:before="360"/>
      </w:pPr>
      <w:r>
        <w:rPr>
          <w:b/>
          <w:bCs/>
        </w:rPr>
        <w:t xml:space="preserve">11. End-to-End Query Flow Example</w:t>
      </w:r>
    </w:p>
    <w:p>
      <w:pPr>
        <w:spacing w:after="100"/>
      </w:pPr>
      <w:r>
        <w:rPr>
          <w:rFonts w:ascii="Arial" w:cs="Arial" w:eastAsia="Arial" w:hAnsi="Arial"/>
          <w:b/>
          <w:bCs/>
          <w:sz w:val="21"/>
          <w:szCs w:val="21"/>
        </w:rPr>
        <w:t xml:space="preserve">Query: "What does Basel paragraph 444 require for credit risk?"</w:t>
      </w:r>
    </w:p>
    <w:p>
      <w:pPr>
        <w:spacing w:after="80"/>
      </w:pPr>
    </w:p>
    <w:p>
      <w:pPr>
        <w:pStyle w:val="Heading3"/>
        <w:spacing w:after="120" w:before="200"/>
      </w:pPr>
      <w:r>
        <w:rPr>
          <w:b/>
          <w:bCs/>
        </w:rPr>
        <w:t xml:space="preserve">Step 1: Search (_search_elasticsearch)</w:t>
      </w:r>
    </w:p>
    <w:p>
      <w:pPr>
        <w:pStyle w:val="ListParagraph"/>
        <w:numPr>
          <w:ilvl w:val="0"/>
          <w:numId w:val="2"/>
        </w:numPr>
        <w:spacing w:after="60"/>
      </w:pPr>
      <w:r>
        <w:rPr>
          <w:rFonts w:ascii="Arial" w:cs="Arial" w:eastAsia="Arial" w:hAnsi="Arial"/>
          <w:sz w:val="21"/>
          <w:szCs w:val="21"/>
        </w:rPr>
        <w:t xml:space="preserve">auto_detect_filters_from_query() detects intent: contains_requirement = True</w:t>
      </w:r>
    </w:p>
    <w:p>
      <w:pPr>
        <w:pStyle w:val="ListParagraph"/>
        <w:numPr>
          <w:ilvl w:val="0"/>
          <w:numId w:val="2"/>
        </w:numPr>
        <w:spacing w:after="60"/>
      </w:pPr>
      <w:r>
        <w:rPr>
          <w:rFonts w:ascii="Arial" w:cs="Arial" w:eastAsia="Arial" w:hAnsi="Arial"/>
          <w:sz w:val="21"/>
          <w:szCs w:val="21"/>
        </w:rPr>
        <w:t xml:space="preserve">_extract_paragraph_ref() detects reference: ["444"]</w:t>
      </w:r>
    </w:p>
    <w:p>
      <w:pPr>
        <w:pStyle w:val="ListParagraph"/>
        <w:numPr>
          <w:ilvl w:val="0"/>
          <w:numId w:val="2"/>
        </w:numPr>
        <w:spacing w:after="60"/>
      </w:pPr>
      <w:r>
        <w:rPr>
          <w:rFonts w:ascii="Arial" w:cs="Arial" w:eastAsia="Arial" w:hAnsi="Arial"/>
          <w:sz w:val="21"/>
          <w:szCs w:val="21"/>
        </w:rPr>
        <w:t xml:space="preserve">ES query adds: match_phrase "paragraph 444" (5x), match meta_citation_anchor "444" (10x)</w:t>
      </w:r>
    </w:p>
    <w:p>
      <w:pPr>
        <w:pStyle w:val="ListParagraph"/>
        <w:numPr>
          <w:ilvl w:val="0"/>
          <w:numId w:val="2"/>
        </w:numPr>
        <w:spacing w:after="60"/>
      </w:pPr>
      <w:r>
        <w:rPr>
          <w:rFonts w:ascii="Arial" w:cs="Arial" w:eastAsia="Arial" w:hAnsi="Arial"/>
          <w:sz w:val="21"/>
          <w:szCs w:val="21"/>
        </w:rPr>
        <w:t xml:space="preserve">Mandatory normative_weight boost applied (2x); appendix content deprioritized (1.2x)</w:t>
      </w:r>
    </w:p>
    <w:p>
      <w:pPr>
        <w:spacing w:after="80"/>
      </w:pPr>
    </w:p>
    <w:p>
      <w:pPr>
        <w:pStyle w:val="Heading3"/>
        <w:spacing w:after="120" w:before="200"/>
      </w:pPr>
      <w:r>
        <w:rPr>
          <w:b/>
          <w:bCs/>
        </w:rPr>
        <w:t xml:space="preserve">Step 2: Normalize (_normalize_metadata)</w:t>
      </w:r>
    </w:p>
    <w:p>
      <w:pPr>
        <w:pStyle w:val="ListParagraph"/>
        <w:numPr>
          <w:ilvl w:val="0"/>
          <w:numId w:val="2"/>
        </w:numPr>
        <w:spacing w:after="60"/>
      </w:pPr>
      <w:r>
        <w:rPr>
          <w:rFonts w:ascii="Arial" w:cs="Arial" w:eastAsia="Arial" w:hAnsi="Arial"/>
          <w:sz w:val="21"/>
          <w:szCs w:val="21"/>
        </w:rPr>
        <w:t xml:space="preserve">Basel docs: chapter_code "CRE20" + bis_ref "bcbs128" -&gt; guideline_number "bcbs128 CRE20"</w:t>
      </w:r>
    </w:p>
    <w:p>
      <w:pPr>
        <w:pStyle w:val="ListParagraph"/>
        <w:numPr>
          <w:ilvl w:val="0"/>
          <w:numId w:val="2"/>
        </w:numPr>
        <w:spacing w:after="60"/>
      </w:pPr>
      <w:r>
        <w:rPr>
          <w:rFonts w:ascii="Arial" w:cs="Arial" w:eastAsia="Arial" w:hAnsi="Arial"/>
          <w:sz w:val="21"/>
          <w:szCs w:val="21"/>
        </w:rPr>
        <w:t xml:space="preserve">All canonical fields populated for downstream processing</w:t>
      </w:r>
    </w:p>
    <w:p>
      <w:pPr>
        <w:spacing w:after="80"/>
      </w:pPr>
    </w:p>
    <w:p>
      <w:pPr>
        <w:pStyle w:val="Heading3"/>
        <w:spacing w:after="120" w:before="200"/>
      </w:pPr>
      <w:r>
        <w:rPr>
          <w:b/>
          <w:bCs/>
        </w:rPr>
        <w:t xml:space="preserve">Step 3: Filter (_apply_rule2_filters)</w:t>
      </w:r>
    </w:p>
    <w:p>
      <w:pPr>
        <w:pStyle w:val="ListParagraph"/>
        <w:numPr>
          <w:ilvl w:val="0"/>
          <w:numId w:val="2"/>
        </w:numPr>
        <w:spacing w:after="60"/>
      </w:pPr>
      <w:r>
        <w:rPr>
          <w:rFonts w:ascii="Arial" w:cs="Arial" w:eastAsia="Arial" w:hAnsi="Arial"/>
          <w:sz w:val="21"/>
          <w:szCs w:val="21"/>
        </w:rPr>
        <w:t xml:space="preserve">_get_regulator_version_model() returns "publication" for BCBS</w:t>
      </w:r>
    </w:p>
    <w:p>
      <w:pPr>
        <w:pStyle w:val="ListParagraph"/>
        <w:numPr>
          <w:ilvl w:val="0"/>
          <w:numId w:val="2"/>
        </w:numPr>
        <w:spacing w:after="60"/>
      </w:pPr>
      <w:r>
        <w:rPr>
          <w:rFonts w:ascii="Arial" w:cs="Arial" w:eastAsia="Arial" w:hAnsi="Arial"/>
          <w:sz w:val="21"/>
          <w:szCs w:val="21"/>
        </w:rPr>
        <w:t xml:space="preserve">All Basel docs KEPT - no version/status/expiry filters applied</w:t>
      </w:r>
    </w:p>
    <w:p>
      <w:pPr>
        <w:pStyle w:val="ListParagraph"/>
        <w:numPr>
          <w:ilvl w:val="0"/>
          <w:numId w:val="2"/>
        </w:numPr>
        <w:spacing w:after="60"/>
      </w:pPr>
      <w:r>
        <w:rPr>
          <w:rFonts w:ascii="Arial" w:cs="Arial" w:eastAsia="Arial" w:hAnsi="Arial"/>
          <w:sz w:val="21"/>
          <w:szCs w:val="21"/>
        </w:rPr>
        <w:t xml:space="preserve">If any OSFI or PRA docs were also retrieved, superseded ones are filtered out</w:t>
      </w:r>
    </w:p>
    <w:p>
      <w:pPr>
        <w:spacing w:after="80"/>
      </w:pPr>
    </w:p>
    <w:p>
      <w:pPr>
        <w:pStyle w:val="Heading3"/>
        <w:spacing w:after="120" w:before="200"/>
      </w:pPr>
      <w:r>
        <w:rPr>
          <w:b/>
          <w:bCs/>
        </w:rPr>
        <w:t xml:space="preserve">Step 4: Boost (_apply_rule2_boosting)</w:t>
      </w:r>
    </w:p>
    <w:p>
      <w:pPr>
        <w:pStyle w:val="ListParagraph"/>
        <w:numPr>
          <w:ilvl w:val="0"/>
          <w:numId w:val="2"/>
        </w:numPr>
        <w:spacing w:after="60"/>
      </w:pPr>
      <w:r>
        <w:rPr>
          <w:rFonts w:ascii="Arial" w:cs="Arial" w:eastAsia="Arial" w:hAnsi="Arial"/>
          <w:sz w:val="21"/>
          <w:szCs w:val="21"/>
        </w:rPr>
        <w:t xml:space="preserve">Authority class: primary_normative = 100 pts (Tier A)</w:t>
      </w:r>
    </w:p>
    <w:p>
      <w:pPr>
        <w:pStyle w:val="ListParagraph"/>
        <w:numPr>
          <w:ilvl w:val="0"/>
          <w:numId w:val="2"/>
        </w:numPr>
        <w:spacing w:after="60"/>
      </w:pPr>
      <w:r>
        <w:rPr>
          <w:rFonts w:ascii="Arial" w:cs="Arial" w:eastAsia="Arial" w:hAnsi="Arial"/>
          <w:sz w:val="21"/>
          <w:szCs w:val="21"/>
        </w:rPr>
        <w:t xml:space="preserve">NOVA tier: Tier 1 = 100 pts</w:t>
      </w:r>
    </w:p>
    <w:p>
      <w:pPr>
        <w:pStyle w:val="ListParagraph"/>
        <w:numPr>
          <w:ilvl w:val="0"/>
          <w:numId w:val="2"/>
        </w:numPr>
        <w:spacing w:after="60"/>
      </w:pPr>
      <w:r>
        <w:rPr>
          <w:rFonts w:ascii="Arial" w:cs="Arial" w:eastAsia="Arial" w:hAnsi="Arial"/>
          <w:sz w:val="21"/>
          <w:szCs w:val="21"/>
        </w:rPr>
        <w:t xml:space="preserve">Jurisdiction: "global" detected from "Basel" in query, matching docs get +50 pts</w:t>
      </w:r>
    </w:p>
    <w:p>
      <w:pPr>
        <w:spacing w:after="80"/>
      </w:pPr>
    </w:p>
    <w:p>
      <w:pPr>
        <w:pStyle w:val="Heading3"/>
        <w:spacing w:after="120" w:before="200"/>
      </w:pPr>
      <w:r>
        <w:rPr>
          <w:b/>
          <w:bCs/>
        </w:rPr>
        <w:t xml:space="preserve">Step 5: Temporal Rerank (_rerank_by_temporal_relevance)</w:t>
      </w:r>
    </w:p>
    <w:p>
      <w:pPr>
        <w:pStyle w:val="ListParagraph"/>
        <w:numPr>
          <w:ilvl w:val="0"/>
          <w:numId w:val="2"/>
        </w:numPr>
        <w:spacing w:after="60"/>
      </w:pPr>
      <w:r>
        <w:rPr>
          <w:rFonts w:ascii="Arial" w:cs="Arial" w:eastAsia="Arial" w:hAnsi="Arial"/>
          <w:sz w:val="21"/>
          <w:szCs w:val="21"/>
        </w:rPr>
        <w:t xml:space="preserve">Publication model detected -&gt; decay rate = 3 pts/year</w:t>
      </w:r>
    </w:p>
    <w:p>
      <w:pPr>
        <w:pStyle w:val="ListParagraph"/>
        <w:numPr>
          <w:ilvl w:val="0"/>
          <w:numId w:val="2"/>
        </w:numPr>
        <w:spacing w:after="60"/>
      </w:pPr>
      <w:r>
        <w:rPr>
          <w:rFonts w:ascii="Arial" w:cs="Arial" w:eastAsia="Arial" w:hAnsi="Arial"/>
          <w:sz w:val="21"/>
          <w:szCs w:val="21"/>
        </w:rPr>
        <w:t xml:space="preserve">Basel III (2017) scores 73; Basel II (2004) scores 34 - both retrievable</w:t>
      </w:r>
    </w:p>
    <w:p>
      <w:pPr>
        <w:spacing w:after="80"/>
      </w:pPr>
    </w:p>
    <w:p>
      <w:pPr>
        <w:pStyle w:val="Heading3"/>
        <w:spacing w:after="120" w:before="200"/>
      </w:pPr>
      <w:r>
        <w:rPr>
          <w:b/>
          <w:bCs/>
        </w:rPr>
        <w:t xml:space="preserve">Step 6: Rule 3 Prompt Injection</w:t>
      </w:r>
    </w:p>
    <w:p>
      <w:pPr>
        <w:spacing w:after="100"/>
      </w:pPr>
      <w:r>
        <w:rPr>
          <w:rFonts w:ascii="Arial" w:cs="Arial" w:eastAsia="Arial" w:hAnsi="Arial"/>
          <w:sz w:val="21"/>
          <w:szCs w:val="21"/>
        </w:rPr>
        <w:t xml:space="preserve">The chunk containing paragraph 444 gets this metadata header prepended for LLM reasoning:</w:t>
      </w:r>
    </w:p>
    <w:p>
      <w:pPr>
        <w:spacing w:after="80"/>
      </w:pPr>
    </w:p>
    <w:p>
      <w:pPr>
        <w:spacing w:after="40"/>
      </w:pPr>
      <w:r>
        <w:rPr>
          <w:rFonts w:ascii="Consolas" w:cs="Consolas" w:eastAsia="Consolas" w:hAnsi="Consolas"/>
          <w:sz w:val="18"/>
          <w:szCs w:val="18"/>
        </w:rPr>
        <w:t xml:space="preserve">DOCUMENT METADATA:</w:t>
      </w:r>
    </w:p>
    <w:p>
      <w:pPr>
        <w:spacing w:after="40"/>
      </w:pPr>
      <w:r>
        <w:rPr>
          <w:rFonts w:ascii="Consolas" w:cs="Consolas" w:eastAsia="Consolas" w:hAnsi="Consolas"/>
          <w:sz w:val="18"/>
          <w:szCs w:val="18"/>
        </w:rPr>
        <w:t xml:space="preserve">Document: Basel III Framework - Credit Risk</w:t>
      </w:r>
    </w:p>
    <w:p>
      <w:pPr>
        <w:spacing w:after="40"/>
      </w:pPr>
      <w:r>
        <w:rPr>
          <w:rFonts w:ascii="Consolas" w:cs="Consolas" w:eastAsia="Consolas" w:hAnsi="Consolas"/>
          <w:sz w:val="18"/>
          <w:szCs w:val="18"/>
        </w:rPr>
        <w:t xml:space="preserve">Version: 2017</w:t>
      </w:r>
    </w:p>
    <w:p>
      <w:pPr>
        <w:spacing w:after="40"/>
      </w:pPr>
      <w:r>
        <w:rPr>
          <w:rFonts w:ascii="Consolas" w:cs="Consolas" w:eastAsia="Consolas" w:hAnsi="Consolas"/>
          <w:sz w:val="18"/>
          <w:szCs w:val="18"/>
        </w:rPr>
        <w:t xml:space="preserve">Status: active</w:t>
      </w:r>
    </w:p>
    <w:p>
      <w:pPr>
        <w:spacing w:after="40"/>
      </w:pPr>
      <w:r>
        <w:rPr>
          <w:rFonts w:ascii="Consolas" w:cs="Consolas" w:eastAsia="Consolas" w:hAnsi="Consolas"/>
          <w:sz w:val="18"/>
          <w:szCs w:val="18"/>
        </w:rPr>
        <w:t xml:space="preserve">Effective: 2017-01-01</w:t>
      </w:r>
    </w:p>
    <w:p>
      <w:pPr>
        <w:spacing w:after="40"/>
      </w:pPr>
      <w:r>
        <w:rPr>
          <w:rFonts w:ascii="Consolas" w:cs="Consolas" w:eastAsia="Consolas" w:hAnsi="Consolas"/>
          <w:sz w:val="18"/>
          <w:szCs w:val="18"/>
        </w:rPr>
        <w:t xml:space="preserve">Authority: primary_normative</w:t>
      </w:r>
    </w:p>
    <w:p>
      <w:pPr>
        <w:spacing w:after="40"/>
      </w:pPr>
      <w:r>
        <w:rPr>
          <w:rFonts w:ascii="Consolas" w:cs="Consolas" w:eastAsia="Consolas" w:hAnsi="Consolas"/>
          <w:sz w:val="18"/>
          <w:szCs w:val="18"/>
        </w:rPr>
        <w:t xml:space="preserve">NOVA Tier: 1</w:t>
      </w:r>
    </w:p>
    <w:p>
      <w:pPr>
        <w:spacing w:after="40"/>
      </w:pPr>
      <w:r>
        <w:rPr>
          <w:rFonts w:ascii="Consolas" w:cs="Consolas" w:eastAsia="Consolas" w:hAnsi="Consolas"/>
          <w:sz w:val="18"/>
          <w:szCs w:val="18"/>
        </w:rPr>
        <w:t xml:space="preserve">Jurisdiction: International</w:t>
      </w:r>
    </w:p>
    <w:p>
      <w:pPr>
        <w:spacing w:after="40"/>
      </w:pPr>
      <w:r>
        <w:rPr>
          <w:rFonts w:ascii="Consolas" w:cs="Consolas" w:eastAsia="Consolas" w:hAnsi="Consolas"/>
          <w:sz w:val="18"/>
          <w:szCs w:val="18"/>
        </w:rPr>
        <w:t xml:space="preserve">Normative Weight: mandatory</w:t>
      </w:r>
    </w:p>
    <w:p>
      <w:pPr>
        <w:spacing w:after="40"/>
      </w:pPr>
      <w:r>
        <w:rPr>
          <w:rFonts w:ascii="Consolas" w:cs="Consolas" w:eastAsia="Consolas" w:hAnsi="Consolas"/>
          <w:sz w:val="18"/>
          <w:szCs w:val="18"/>
        </w:rPr>
        <w:t xml:space="preserve">Paragraph Role: requirement</w:t>
      </w:r>
    </w:p>
    <w:p>
      <w:pPr>
        <w:spacing w:after="40"/>
      </w:pPr>
      <w:r>
        <w:rPr>
          <w:rFonts w:ascii="Consolas" w:cs="Consolas" w:eastAsia="Consolas" w:hAnsi="Consolas"/>
          <w:sz w:val="18"/>
          <w:szCs w:val="18"/>
        </w:rPr>
        <w:t xml:space="preserve">Current Version: true</w:t>
      </w:r>
    </w:p>
    <w:p>
      <w:pPr>
        <w:spacing w:after="40"/>
      </w:pPr>
      <w:r>
        <w:rPr>
          <w:rFonts w:ascii="Consolas" w:cs="Consolas" w:eastAsia="Consolas" w:hAnsi="Consolas"/>
          <w:sz w:val="18"/>
          <w:szCs w:val="18"/>
        </w:rPr>
        <w:t xml:space="preserve">Approval Status: approved</w:t>
      </w:r>
    </w:p>
    <w:p>
      <w:pPr>
        <w:spacing w:after="40"/>
      </w:pPr>
      <w:r>
        <w:rPr>
          <w:rFonts w:ascii="Consolas" w:cs="Consolas" w:eastAsia="Consolas" w:hAnsi="Consolas"/>
          <w:sz w:val="18"/>
          <w:szCs w:val="18"/>
        </w:rPr>
        <w:t xml:space="preserve">Regulator: BCBS</w:t>
      </w:r>
    </w:p>
    <w:p>
      <w:pPr>
        <w:spacing w:after="40"/>
      </w:pPr>
      <w:r>
        <w:rPr>
          <w:rFonts w:ascii="Consolas" w:cs="Consolas" w:eastAsia="Consolas" w:hAnsi="Consolas"/>
          <w:sz w:val="18"/>
          <w:szCs w:val="18"/>
        </w:rPr>
        <w:t xml:space="preserve">Citation: paragraph 444</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[Actual paragraph 444 content follows...]</w:t>
      </w:r>
    </w:p>
    <w:p>
      <w:r>
        <w:br w:type="page"/>
      </w:r>
    </w:p>
    <w:p>
      <w:pPr>
        <w:pStyle w:val="Heading1"/>
        <w:spacing w:after="200" w:before="360"/>
      </w:pPr>
      <w:r>
        <w:rPr>
          <w:b/>
          <w:bCs/>
        </w:rPr>
        <w:t xml:space="preserve">12. Method Reference</w:t>
      </w:r>
    </w:p>
    <w:p>
      <w:pPr>
        <w:spacing w:after="100"/>
      </w:pPr>
      <w:r>
        <w:rPr>
          <w:rFonts w:ascii="Arial" w:cs="Arial" w:eastAsia="Arial" w:hAnsi="Arial"/>
          <w:sz w:val="21"/>
          <w:szCs w:val="21"/>
        </w:rPr>
        <w:t xml:space="preserve">Complete list of Retriever class methods: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200"/>
        <w:gridCol w:w="5680"/>
      </w:tblGrid>
      <w:tr>
        <w:tc>
          <w:tcPr>
            <w:tcW w:type="dxa" w:w="2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Method</w:t>
            </w:r>
          </w:p>
        </w:tc>
        <w:tc>
          <w:tcPr>
            <w:tcW w:type="dxa" w:w="6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Line</w:t>
            </w:r>
          </w:p>
        </w:tc>
        <w:tc>
          <w:tcPr>
            <w:tcW w:type="dxa" w:w="120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Category</w:t>
            </w:r>
          </w:p>
        </w:tc>
        <w:tc>
          <w:tcPr>
            <w:tcW w:type="dxa" w:w="5680"/>
            <w:tcBorders>
              <w:top w:val="single" w:color="CCCCCC" w:sz="1"/>
              <w:left w:val="single" w:color="CCCCCC" w:sz="1"/>
              <w:bottom w:val="single" w:color="CCCCCC" w:sz="1"/>
              <w:right w:val="single" w:color="CCCCCC" w:sz="1"/>
            </w:tcBorders>
            <w:shd w:fill="1F4E79" w:val="clear"/>
            <w:tcMar>
              <w:top w:type="dxa" w:w="50"/>
              <w:left w:type="dxa" w:w="80"/>
              <w:bottom w:type="dxa" w:w="50"/>
              <w:right w:type="dxa" w:w="8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__init__</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248</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Setup</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Initialize config, ES connection, embedding model, OCR processor</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_setup_embeddings</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307</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Setup</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Configure Azure OpenAI or custom embedding model</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_get_es_client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321</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Setup</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Create/reuse Elasticsearch client connection</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report_progress</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346</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Utility</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Report progress via callback</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load_and_split_documents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359</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Ingestion</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Load files, sort by type, process, chunk</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_process_pdf</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481</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Ingestion</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PDF processing with OCR fallback chain</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_process_pdf_with_ocr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523</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Ingestion</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PDF OCR: extract text, tables, images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_process_docx</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604</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Ingestion</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DOCX processing with OCR fallback</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_process_docx_with_ocr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645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Ingestion</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DOCX OCR: extract text, tables, images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_process_excel</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739</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Ingestion</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Excel with formula extraction via openpyxl</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_process_other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794</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Ingestion</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txt, html, json, csv, pptx, md processing</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_get_file_metadata</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852</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Ingestion</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Build metadata dict from file path</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_normalize_metadata</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867</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Normalization</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Translate regulator fields to canonical NOVA names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_setup_es_index_and_store</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1013</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Indexing</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Create ES index with promoted fields, bulk index</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connect_to_existing_store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1137</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Indexing</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Connect to existing ES index without re-indexing</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build_index</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1177</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Indexing</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Generate embeddings, index to ES, verify</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_wait_for_indexing_complete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1208</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Indexing</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Smart wait with doc count verification</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verify_indexing</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1248</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Indexing</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Verify documents are indexed and searchable</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retrieve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1265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Retrieval</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Main entry: search, filter, boost, rerank, format</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_extract_paragraph_ref</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1478</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Search</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Detect paragraph/section references in query</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_search_elasticsearch</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1502</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Search</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Hybrid vector+BM25 with metadata boosts/filters</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_get_regulator_version_model</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1678</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Filtering</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Classify regulator: lifecycle/publication/mixed</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_apply_rule2_filters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1702</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Filtering</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Regulator-aware version/status/expiry filtering</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_apply_rule2_boosting</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1811</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Boosting</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Authority/tier/jurisdiction reranking</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_extract_year_from_query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1935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Temporal</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Extract year from query text</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_extract_year_from_metadata</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1948</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Temporal</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Extract year from doc metadata or content</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_rerank_by_temporal_relevance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1987</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Temporal</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Regulator-aware temporal decay reranking</w:t>
            </w:r>
          </w:p>
        </w:tc>
      </w:tr>
      <w:tr>
        <w:tc>
          <w:tcPr>
            <w:tcW w:type="dxa" w:w="2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process_and_index</w:t>
            </w:r>
          </w:p>
        </w:tc>
        <w:tc>
          <w:tcPr>
            <w:tcW w:type="dxa" w:w="6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2035</w:t>
            </w:r>
          </w:p>
        </w:tc>
        <w:tc>
          <w:tcPr>
            <w:tcW w:type="dxa" w:w="12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End-to-end</w:t>
            </w:r>
          </w:p>
        </w:tc>
        <w:tc>
          <w:tcPr>
            <w:tcW w:type="dxa" w:w="56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b w:val="false"/>
                <w:bCs w:val="false"/>
                <w:sz w:val="19"/>
                <w:szCs w:val="19"/>
              </w:rPr>
              <w:t xml:space="preserve">Load, process, and index all files</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get_index_stats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2055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Utility</w:t>
            </w:r>
          </w:p>
        </w:tc>
        <w:tc>
          <w:tcPr>
            <w:tcW w:type="dxa" w:w="568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9"/>
                <w:szCs w:val="19"/>
              </w:rPr>
              <w:t xml:space="preserve">Return index statistics</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b/>
        <w:bCs/>
        <w:color w:val="1F4E79"/>
        <w:sz w:val="17"/>
        <w:szCs w:val="17"/>
      </w:rPr>
      <w:t xml:space="preserve">NOVA RAG Pipeline</w:t>
    </w:r>
    <w:r>
      <w:rPr>
        <w:color w:val="666666"/>
        <w:sz w:val="17"/>
        <w:szCs w:val="17"/>
      </w:rPr>
      <w:t xml:space="preserve">    Retriever Enhancement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2026-04-09T20:14:26.429Z</dcterms:created>
  <dcterms:modified xsi:type="dcterms:W3CDTF">2026-04-09T20:14:26.430Z</dcterms:modified>
</cp:coreProperties>
</file>

<file path=docProps/custom.xml><?xml version="1.0" encoding="utf-8"?>
<Properties xmlns="http://schemas.openxmlformats.org/officeDocument/2006/custom-properties" xmlns:vt="http://schemas.openxmlformats.org/officeDocument/2006/docPropsVTypes"/>
</file>