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pPr>
        <w:spacing w:before="12" w:after="12"/>
        <w:jc w:val="center"/>
      </w:pPr>
      <w:r>
        <w:rPr>
          <w:b w:val="on"/>
          <w:sz w:val="32"/>
        </w:rPr>
        <w:t>Annexe 2044 - Déclaration des Revenus Fonciers de 2024</w:t>
      </w:r>
    </w:p>
    <w:p>
      <w:pPr>
        <w:spacing w:before="12" w:after="6"/>
        <w:jc w:val="center"/>
      </w:pPr>
      <w:r>
        <w:rPr>
          <w:b w:val="on"/>
          <w:sz w:val="28"/>
        </w:rPr>
        <w:t>Caractéristiques des propriétés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Type</w:t>
            </w:r>
          </w:p>
        </w:tc>
        <w:tc>
          <w:p>
            <w:r>
              <w:t>Période de Construction</w:t>
            </w:r>
          </w:p>
        </w:tc>
        <w:tc>
          <w:p>
            <w:r>
              <w:t>Adresse</w:t>
            </w:r>
          </w:p>
        </w:tc>
        <w:tc>
          <w:p>
            <w:r>
              <w:t>Nombre de Locaux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Recettes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3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Recettes brutes diverses</w:t>
            </w:r>
          </w:p>
        </w:tc>
        <w:tc>
          <w:p>
            <w:r>
              <w:t>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Frais et charges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Frais d’administration et de gestion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Autres frais de gestion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Primes d’assurance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Dépenses de réparation, d’entretien et d’amélioration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Charges récupérables non récupérées au départ du locataire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Indemnités d’éviction, frais de relogement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Taxes foncières, taxes annexes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Régimes particuliers, déductions spécifiques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Syndic de copropriété : Provisions pour charges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Syndic de copropriété : Régularisation des provisions pour charges déduites au titre de 2023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Intérêts d'emprunt (inc frais et assurances)</w:t>
            </w:r>
          </w:p>
        </w:tc>
        <w:tc>
          <w:p>
            <w:r>
              <w:t>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Résultat Foncier</w:t>
      </w:r>
    </w:p>
    <w:p>
      <w:r>
        <w:t>420 RÉSULTAT	487</w:t>
      </w:r>
    </w:p>
    <w:p>
      <w:pPr>
        <w:spacing w:before="12" w:after="12"/>
        <w:jc w:val="center"/>
      </w:pPr>
      <w:r>
        <w:rPr>
          <w:i w:val="on"/>
        </w:rPr>
        <w:t>Fin de la Déclaration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