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Speech pipeline progress and results</w:t>
      </w:r>
    </w:p>
    <w:p>
      <w:r>
        <w:rPr>
          <w:b w:val="0"/>
          <w:sz w:val="18"/>
        </w:rPr>
        <w:t>October 15 2026</w:t>
      </w:r>
    </w:p>
    <w:p>
      <w:r>
        <w:rPr>
          <w:b/>
        </w:rPr>
        <w:t>The established pipeline remains best for our 10 participants. The newer models have not achieved the main goal of better utterances and final measurements.</w:t>
      </w:r>
    </w:p>
    <w:p>
      <w:pPr>
        <w:pStyle w:val="Heading1"/>
      </w:pPr>
      <w:r>
        <w:t>What we did</w:t>
      </w:r>
    </w:p>
    <w:p>
      <w:r>
        <w:rPr>
          <w:b w:val="0"/>
        </w:rPr>
        <w:t>We tested learned models with rule features using public OCSC and NYU–Emerson training and validation data. Most experiments removed speaker-turn boundaries and segmented one paragraph. We then scored the frozen models against human references and ran the latest pipeline on 37 recordings in both transcript conditions. All 74 native CLAN checks and 63 tests passed; this verifies calculation, not correct utterances.</w:t>
      </w:r>
    </w:p>
    <w:p>
      <w:pPr>
        <w:pStyle w:val="Heading1"/>
      </w:pPr>
      <w:r>
        <w:t>Results against our participants human values</w:t>
      </w:r>
    </w:p>
    <w:tbl>
      <w:tblPr>
        <w:tblW w:type="auto" w:w="0"/>
        <w:jc w:val="center"/>
        <w:tblLayout w:type="fixed"/>
        <w:tblLook w:firstColumn="1" w:firstRow="1" w:lastColumn="0" w:lastRow="0" w:noHBand="0" w:noVBand="1" w:val="04A0"/>
      </w:tblPr>
      <w:tblGrid>
        <w:gridCol w:w="2952"/>
        <w:gridCol w:w="2232"/>
        <w:gridCol w:w="1872"/>
        <w:gridCol w:w="1872"/>
      </w:tblGrid>
      <w:tr>
        <w:trPr>
          <w:cantSplit/>
          <w:tblHeader/>
        </w:trPr>
        <w:tc>
          <w:tcPr>
            <w:tcW w:type="dxa" w:w="2952"/>
            <w:vAlign w:val="center"/>
            <w:shd w:fill="E8EEF4"/>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left"/>
            </w:pPr>
            <w:r>
              <w:rPr>
                <w:b/>
                <w:sz w:val="19"/>
              </w:rPr>
              <w:t>Median error</w:t>
            </w:r>
          </w:p>
        </w:tc>
        <w:tc>
          <w:tcPr>
            <w:tcW w:type="dxa" w:w="2232"/>
            <w:vAlign w:val="center"/>
            <w:shd w:fill="E8EEF4"/>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sz w:val="19"/>
              </w:rPr>
              <w:t>Established rules</w:t>
            </w:r>
          </w:p>
        </w:tc>
        <w:tc>
          <w:tcPr>
            <w:tcW w:type="dxa" w:w="1872"/>
            <w:vAlign w:val="center"/>
            <w:shd w:fill="E8EEF4"/>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sz w:val="19"/>
              </w:rPr>
              <w:t>Previous model</w:t>
            </w:r>
          </w:p>
        </w:tc>
        <w:tc>
          <w:tcPr>
            <w:tcW w:type="dxa" w:w="1872"/>
            <w:vAlign w:val="center"/>
            <w:shd w:fill="E8EEF4"/>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sz w:val="19"/>
              </w:rPr>
              <w:t>Latest model</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left"/>
            </w:pPr>
            <w:r>
              <w:rPr>
                <w:b w:val="0"/>
                <w:sz w:val="19"/>
              </w:rPr>
              <w:t>Utterance count</w:t>
            </w:r>
          </w:p>
        </w:tc>
        <w:tc>
          <w:tcPr>
            <w:tcW w:type="dxa" w:w="2232"/>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6.31%</w:t>
            </w:r>
          </w:p>
        </w:tc>
        <w:tc>
          <w:tcPr>
            <w:tcW w:type="dxa" w:w="1872"/>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38.07%</w:t>
            </w:r>
          </w:p>
        </w:tc>
        <w:tc>
          <w:tcPr>
            <w:tcW w:type="dxa" w:w="1872"/>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39.00%</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left"/>
            </w:pPr>
            <w:r>
              <w:rPr>
                <w:b w:val="0"/>
                <w:sz w:val="19"/>
              </w:rPr>
              <w:t>MLUw</w:t>
            </w:r>
          </w:p>
        </w:tc>
        <w:tc>
          <w:tcPr>
            <w:tcW w:type="dxa" w:w="2232"/>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6.40%</w:t>
            </w:r>
          </w:p>
        </w:tc>
        <w:tc>
          <w:tcPr>
            <w:tcW w:type="dxa" w:w="1872"/>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27.39%</w:t>
            </w:r>
          </w:p>
        </w:tc>
        <w:tc>
          <w:tcPr>
            <w:tcW w:type="dxa" w:w="1872"/>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28.24%</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left"/>
            </w:pPr>
            <w:r>
              <w:rPr>
                <w:b w:val="0"/>
                <w:sz w:val="19"/>
              </w:rPr>
              <w:t>Length SD</w:t>
            </w:r>
          </w:p>
        </w:tc>
        <w:tc>
          <w:tcPr>
            <w:tcW w:type="dxa" w:w="2232"/>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16.76%</w:t>
            </w:r>
          </w:p>
        </w:tc>
        <w:tc>
          <w:tcPr>
            <w:tcW w:type="dxa" w:w="1872"/>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22.38%</w:t>
            </w:r>
          </w:p>
        </w:tc>
        <w:tc>
          <w:tcPr>
            <w:tcW w:type="dxa" w:w="1872"/>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23.64%</w:t>
            </w:r>
          </w:p>
        </w:tc>
      </w:tr>
    </w:tbl>
    <w:p>
      <w:r>
        <w:rPr>
          <w:b w:val="0"/>
        </w:rPr>
        <w:t>Lower is better. Same 14 manually labeled recordings, pooled within each of 10 participants. The latest model produces too many utterances. Rules retain observed speaker turns; paragraph models withhold those cuts.</w:t>
      </w:r>
    </w:p>
    <w:p>
      <w:pPr>
        <w:pStyle w:val="Heading1"/>
      </w:pPr>
      <w:r>
        <w:t>Results on our public test sets</w:t>
      </w:r>
    </w:p>
    <w:tbl>
      <w:tblPr>
        <w:tblW w:type="auto" w:w="0"/>
        <w:jc w:val="center"/>
        <w:tblLayout w:type="fixed"/>
        <w:tblLook w:firstColumn="1" w:firstRow="1" w:lastColumn="0" w:lastRow="0" w:noHBand="0" w:noVBand="1" w:val="04A0"/>
      </w:tblPr>
      <w:tblGrid>
        <w:gridCol w:w="3600"/>
        <w:gridCol w:w="2664"/>
        <w:gridCol w:w="2664"/>
      </w:tblGrid>
      <w:tr>
        <w:trPr>
          <w:cantSplit/>
          <w:tblHeader/>
        </w:trPr>
        <w:tc>
          <w:tcPr>
            <w:tcW w:type="dxa" w:w="3600"/>
            <w:vAlign w:val="center"/>
            <w:shd w:fill="E8EEF4"/>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left"/>
            </w:pPr>
            <w:r>
              <w:rPr>
                <w:b/>
                <w:sz w:val="19"/>
              </w:rPr>
              <w:t>Previous → latest</w:t>
            </w:r>
          </w:p>
        </w:tc>
        <w:tc>
          <w:tcPr>
            <w:tcW w:type="dxa" w:w="2664"/>
            <w:vAlign w:val="center"/>
            <w:shd w:fill="E8EEF4"/>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sz w:val="19"/>
              </w:rPr>
              <w:t>Boundary F1 ↑</w:t>
            </w:r>
          </w:p>
        </w:tc>
        <w:tc>
          <w:tcPr>
            <w:tcW w:type="dxa" w:w="2664"/>
            <w:vAlign w:val="center"/>
            <w:shd w:fill="E8EEF4"/>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sz w:val="19"/>
              </w:rPr>
              <w:t>Metric error ↓</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left"/>
            </w:pPr>
            <w:r>
              <w:rPr>
                <w:b w:val="0"/>
                <w:sz w:val="19"/>
              </w:rPr>
              <w:t>OCSC (45 children)</w:t>
            </w:r>
          </w:p>
        </w:tc>
        <w:tc>
          <w:tcPr>
            <w:tcW w:type="dxa" w:w="2664"/>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86.64 → 85.56%</w:t>
            </w:r>
          </w:p>
        </w:tc>
        <w:tc>
          <w:tcPr>
            <w:tcW w:type="dxa" w:w="2664"/>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11.46 → 11.91%</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left"/>
            </w:pPr>
            <w:r>
              <w:rPr>
                <w:b w:val="0"/>
                <w:sz w:val="19"/>
              </w:rPr>
              <w:t>NYU–Emerson (4 children)</w:t>
            </w:r>
          </w:p>
        </w:tc>
        <w:tc>
          <w:tcPr>
            <w:tcW w:type="dxa" w:w="2664"/>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79.39 → 76.92%</w:t>
            </w:r>
          </w:p>
        </w:tc>
        <w:tc>
          <w:tcPr>
            <w:tcW w:type="dxa" w:w="2664"/>
            <w:vAlign w:val="center"/>
            <w:shd w:fill="FFFFFF"/>
            <w:tcBorders>
              <w:top w:val="single" w:sz="4" w:color="D9D9D9"/>
              <w:left w:val="single" w:sz="4" w:color="D9D9D9"/>
              <w:bottom w:val="single" w:sz="4" w:color="D9D9D9"/>
              <w:right w:val="single" w:sz="4" w:color="D9D9D9"/>
            </w:tcBorders>
            <w:tcMar>
              <w:top w:w="50" w:type="dxa"/>
              <w:bottom w:w="50" w:type="dxa"/>
              <w:left w:w="85" w:type="dxa"/>
              <w:right w:w="85" w:type="dxa"/>
            </w:tcMar>
          </w:tcPr>
          <w:p>
            <w:pPr>
              <w:spacing w:after="0" w:before="0"/>
              <w:jc w:val="center"/>
            </w:pPr>
            <w:r>
              <w:rPr>
                <w:b w:val="0"/>
                <w:sz w:val="19"/>
              </w:rPr>
              <w:t>24.37 → 20.26%</w:t>
            </w:r>
          </w:p>
        </w:tc>
      </w:tr>
    </w:tbl>
    <w:p>
      <w:r>
        <w:rPr>
          <w:b w:val="0"/>
        </w:rPr>
        <w:t>The previous model is better on OCSC. The latest has lower metric error on NYU–Emerson. Metric error averages count, MLUw and length-SD errors; the equal-corpus average improved 17.91% → 16.09%. These reused tests do not establish a win over other published pipelines.</w:t>
      </w:r>
    </w:p>
    <w:p>
      <w:pPr>
        <w:pStyle w:val="Heading1"/>
      </w:pPr>
      <w:r>
        <w:t>Metrics now calculated</w:t>
      </w:r>
    </w:p>
    <w:p>
      <w:r>
        <w:rPr>
          <w:b w:val="0"/>
        </w:rPr>
        <w:t>Available: total and eligible utterance counts, MLUw (words per utterance), population length SD, TNW (word count), NDW (different words), TTR (types/tokens), MATTR 50, and 17 normalized lexical measures: six word/type counts, two lexical densities, four TTR forms, MATTR, MSTTR, HD-D and two MTLD forms. Surface and normalized measures use different word policies.</w:t>
      </w:r>
    </w:p>
    <w:p>
      <w:r>
        <w:rPr>
          <w:b w:val="0"/>
        </w:rPr>
        <w:t>Not available automatically: MLUm (morphemes), WPM (words/minute), PGU (% grammatical utterances), omission/substitution counts and maze percentage. They require reviewed morphology, timing, grammaticality or error/maze labels. Evaluation includes boundary precision/recall/F1, exact spans where valid, and participant-level metric errors.</w:t>
      </w:r>
    </w:p>
    <w:p>
      <w:pPr>
        <w:pStyle w:val="Heading1"/>
      </w:pPr>
      <w:r>
        <w:t>Next test for a conference paper</w:t>
      </w:r>
    </w:p>
    <w:p>
      <w:r>
        <w:rPr>
          <w:b w:val="0"/>
        </w:rPr>
        <w:t>First compare our frozen pipelines and an official Batchalign baseline on the same OCSC/NYU inputs and scoring. Then use public training/validation to test a small context-aware improvement; keep the 10 participants out of tuning. Confirm on new participants or a suitable independent corpus such as ENNI, after checking its different C-unit references. No new experiment has started.</w:t>
      </w:r>
    </w:p>
    <w:p>
      <w:r>
        <w:rPr>
          <w:b w:val="0"/>
        </w:rPr>
        <w:t xml:space="preserve">Published context only: </w:t>
      </w:r>
      <w:hyperlink r:id="rId9">
        <w:r>
          <w:rPr>
            <w:color w:val="185783"/>
          </w:rPr>
          <w:t>Batchalign 2023</w:t>
        </w:r>
      </w:hyperlink>
      <w:r>
        <w:t xml:space="preserve"> reports 86.9% segmentation F1; </w:t>
      </w:r>
      <w:hyperlink r:id="rId10">
        <w:r>
          <w:rPr>
            <w:color w:val="185783"/>
          </w:rPr>
          <w:t>IDEAS 2024</w:t>
        </w:r>
      </w:hyperlink>
      <w:r>
        <w:t xml:space="preserve"> reports 11.11% count and 9.29% MLU error on other data. Those numbers cannot prove we beat them. A paper claim requires a common-data comparison; improvement is not guaranteed.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s.asha.org/doi/full/10.1044/2023_JSLHR-22-00642" TargetMode="External"/><Relationship Id="rId10" Type="http://schemas.openxmlformats.org/officeDocument/2006/relationships/hyperlink" Target="https://www.frontiersin.org/journals/psychology/articles/10.3389/fpsyg.2024.1322665/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Speech pipeline progress and results</dc:title>
  <dc:subject>Current results, calculated metrics and next benchmark</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