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DF66E6">
      <w:pPr>
        <w:pStyle w:val="37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MACrossover Trading Strategy Assignment</w:t>
      </w:r>
    </w:p>
    <w:p w14:paraId="4FE1416F">
      <w:pPr>
        <w:pStyle w:val="2"/>
      </w:pPr>
      <w:r>
        <w:t>1. Project Overview</w:t>
      </w:r>
    </w:p>
    <w:p w14:paraId="24BBBA09">
      <w:r>
        <w:t>This project demonstrates a Moving Average Crossover (MAC) trading strategy implemented using Python, Lumibot, and PostgreSQL, with visualization in React using Lightweight Charts.</w:t>
      </w:r>
      <w:r>
        <w:br w:type="textWrapping"/>
      </w:r>
      <w:r>
        <w:t>The goal is to:</w:t>
      </w:r>
      <w:r>
        <w:br w:type="textWrapping"/>
      </w:r>
      <w:r>
        <w:t>1. Backtest a trading strategy using historical OHLC data.</w:t>
      </w:r>
      <w:r>
        <w:br w:type="textWrapping"/>
      </w:r>
      <w:r>
        <w:t>2. Implement stop-loss and take-profit mechanisms.</w:t>
      </w:r>
      <w:r>
        <w:br w:type="textWrapping"/>
      </w:r>
      <w:r>
        <w:t>3. Store results in a structured PostgreSQL database for easy comparison.</w:t>
      </w:r>
      <w:r>
        <w:br w:type="textWrapping"/>
      </w:r>
      <w:r>
        <w:t>4. Display results and trades on an interactive frontend chart.</w:t>
      </w:r>
      <w:r>
        <w:br w:type="textWrapping"/>
      </w:r>
    </w:p>
    <w:p w14:paraId="6CB55B62">
      <w:pPr>
        <w:numPr>
          <w:ilvl w:val="0"/>
          <w:numId w:val="7"/>
        </w:numPr>
        <w:rPr>
          <w:rFonts w:hint="default" w:asciiTheme="majorAscii" w:hAnsiTheme="majorAscii"/>
          <w:b/>
          <w:bCs/>
          <w:color w:val="1F497D" w:themeColor="text2"/>
          <w:sz w:val="28"/>
          <w:szCs w:val="28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Theme="majorAscii" w:hAnsiTheme="majorAscii"/>
          <w:b/>
          <w:bCs/>
          <w:color w:val="1F497D" w:themeColor="text2"/>
          <w:sz w:val="28"/>
          <w:szCs w:val="28"/>
          <w:lang w:val="en-US"/>
          <w14:textFill>
            <w14:solidFill>
              <w14:schemeClr w14:val="tx2"/>
            </w14:solidFill>
          </w14:textFill>
        </w:rPr>
        <w:t>Architecture:</w:t>
      </w:r>
    </w:p>
    <w:p w14:paraId="23A19F24"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486400" cy="3657600"/>
            <wp:effectExtent l="0" t="0" r="0" b="0"/>
            <wp:docPr id="3" name="Picture 3" descr="Trading_bot_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rading_bot_architectu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3140075" cy="5407660"/>
            <wp:effectExtent l="0" t="0" r="14605" b="2540"/>
            <wp:docPr id="7" name="Picture 7" descr="Untitled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ntitled Diagram.drawi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Explanation:</w:t>
      </w:r>
    </w:p>
    <w:p w14:paraId="2369B7EA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Frontend (React + Lightweight Charts)</w:t>
      </w:r>
      <w:r>
        <w:rPr>
          <w:rFonts w:hint="default"/>
          <w:lang w:val="en-US"/>
        </w:rPr>
        <w:t>: Displays OHLC and trade markers.</w:t>
      </w:r>
    </w:p>
    <w:p w14:paraId="5E9C9B63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API Layer (FastAPI):</w:t>
      </w:r>
      <w:r>
        <w:rPr>
          <w:rFonts w:hint="default"/>
          <w:lang w:val="en-US"/>
        </w:rPr>
        <w:t xml:space="preserve"> Serves backtest data, trades, and OHLC to frontend.</w:t>
      </w:r>
    </w:p>
    <w:p w14:paraId="26D267BB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Database (PostgreSQL):</w:t>
      </w:r>
      <w:r>
        <w:rPr>
          <w:rFonts w:hint="default"/>
          <w:lang w:val="en-US"/>
        </w:rPr>
        <w:t xml:space="preserve"> Stores all historical data, backtest results, trades.</w:t>
      </w:r>
    </w:p>
    <w:p w14:paraId="2AEA9F2A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Python Backend &amp; Lumibot Strategy:</w:t>
      </w:r>
      <w:r>
        <w:rPr>
          <w:rFonts w:hint="default"/>
          <w:lang w:val="en-US"/>
        </w:rPr>
        <w:t xml:space="preserve"> Executes backtests, generates signals, calculates performance metrics.</w:t>
      </w:r>
    </w:p>
    <w:p w14:paraId="446202AB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Data Processing:</w:t>
      </w:r>
      <w:r>
        <w:rPr>
          <w:rFonts w:hint="default"/>
          <w:lang w:val="en-US"/>
        </w:rPr>
        <w:t xml:space="preserve"> Computes cumulative returns, Sharpe ratio, drawdowns.</w:t>
      </w:r>
    </w:p>
    <w:p w14:paraId="5B0F55CE">
      <w:pPr>
        <w:pStyle w:val="2"/>
      </w:pPr>
      <w:r>
        <w:rPr>
          <w:rFonts w:hint="default"/>
          <w:lang w:val="en-US"/>
        </w:rPr>
        <w:t>3</w:t>
      </w:r>
      <w:r>
        <w:t>. Strategy Details</w:t>
      </w:r>
    </w:p>
    <w:p w14:paraId="7C8280DC">
      <w:pPr>
        <w:pStyle w:val="3"/>
      </w:pPr>
      <w:r>
        <w:rPr>
          <w:rFonts w:hint="default"/>
          <w:lang w:val="en-US"/>
        </w:rPr>
        <w:t>3</w:t>
      </w:r>
      <w:r>
        <w:t>.1 MAC Strategy Logic</w:t>
      </w:r>
    </w:p>
    <w:p w14:paraId="091711F6">
      <w:pPr>
        <w:rPr>
          <w:vertAlign w:val="baseline"/>
        </w:rPr>
      </w:pPr>
      <w:r>
        <w:t>The Simple Moving Average (SMA) Crossover strategy involves:</w:t>
      </w:r>
      <w:r>
        <w:br w:type="textWrapping"/>
      </w:r>
      <w:r>
        <w:t>- Short-term SMA: 20-day moving average</w:t>
      </w:r>
      <w:r>
        <w:br w:type="textWrapping"/>
      </w:r>
      <w:r>
        <w:t>- Long-term SMA: 50-day moving average</w:t>
      </w:r>
      <w:r>
        <w:br w:type="textWrapping"/>
      </w:r>
      <w:r>
        <w:br w:type="textWrapping"/>
      </w:r>
      <w:r>
        <w:rPr>
          <w:b/>
          <w:bCs/>
        </w:rPr>
        <w:t>Trading signals:</w:t>
      </w:r>
    </w:p>
    <w:tbl>
      <w:tblPr>
        <w:tblStyle w:val="3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428"/>
        <w:gridCol w:w="4428"/>
      </w:tblGrid>
      <w:tr w14:paraId="32C16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 w14:paraId="4FCD72AB">
            <w:pPr>
              <w:rPr>
                <w:vertAlign w:val="baseline"/>
              </w:rPr>
            </w:pPr>
            <w:r>
              <w:rPr>
                <w:b/>
                <w:bCs/>
              </w:rPr>
              <w:t>Condition</w:t>
            </w:r>
            <w:r>
              <w:t xml:space="preserve"> </w:t>
            </w:r>
          </w:p>
        </w:tc>
        <w:tc>
          <w:tcPr>
            <w:tcW w:w="4428" w:type="dxa"/>
          </w:tcPr>
          <w:p w14:paraId="6FA55684">
            <w:pPr>
              <w:rPr>
                <w:vertAlign w:val="baseline"/>
              </w:rPr>
            </w:pPr>
            <w:r>
              <w:rPr>
                <w:b/>
                <w:bCs/>
              </w:rPr>
              <w:t xml:space="preserve">Action </w:t>
            </w:r>
          </w:p>
        </w:tc>
      </w:tr>
      <w:tr w14:paraId="163EEF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 w14:paraId="6372E2FF">
            <w:pPr>
              <w:rPr>
                <w:vertAlign w:val="baseline"/>
              </w:rPr>
            </w:pPr>
            <w:r>
              <w:t>Short SMA crosses above Long SMA</w:t>
            </w:r>
          </w:p>
        </w:tc>
        <w:tc>
          <w:tcPr>
            <w:tcW w:w="4428" w:type="dxa"/>
          </w:tcPr>
          <w:p w14:paraId="69D05F27">
            <w:pPr>
              <w:rPr>
                <w:vertAlign w:val="baseline"/>
              </w:rPr>
            </w:pPr>
            <w:r>
              <w:t xml:space="preserve">BUY </w:t>
            </w:r>
          </w:p>
        </w:tc>
      </w:tr>
      <w:tr w14:paraId="3F6FB5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 w14:paraId="19692FC2">
            <w:pPr>
              <w:rPr>
                <w:vertAlign w:val="baseline"/>
              </w:rPr>
            </w:pPr>
            <w:r>
              <w:t>Short SMA crosses below Long SMA</w:t>
            </w:r>
          </w:p>
        </w:tc>
        <w:tc>
          <w:tcPr>
            <w:tcW w:w="4428" w:type="dxa"/>
          </w:tcPr>
          <w:p w14:paraId="7A02C12B">
            <w:pPr>
              <w:rPr>
                <w:vertAlign w:val="baseline"/>
              </w:rPr>
            </w:pPr>
            <w:r>
              <w:t xml:space="preserve">SELL </w:t>
            </w:r>
          </w:p>
        </w:tc>
      </w:tr>
      <w:tr w14:paraId="022E93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 w14:paraId="337B69DB">
            <w:pPr>
              <w:rPr>
                <w:vertAlign w:val="baseline"/>
              </w:rPr>
            </w:pPr>
            <w:r>
              <w:t>Position loss ≥ 1%</w:t>
            </w:r>
          </w:p>
        </w:tc>
        <w:tc>
          <w:tcPr>
            <w:tcW w:w="4428" w:type="dxa"/>
          </w:tcPr>
          <w:p w14:paraId="5F07E4D8">
            <w:pPr>
              <w:rPr>
                <w:vertAlign w:val="baseline"/>
              </w:rPr>
            </w:pPr>
            <w:r>
              <w:t>STOP-LOSS SELL</w:t>
            </w:r>
          </w:p>
        </w:tc>
      </w:tr>
      <w:tr w14:paraId="306687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 w14:paraId="2908DB44">
            <w:pPr>
              <w:rPr>
                <w:vertAlign w:val="baseline"/>
              </w:rPr>
            </w:pPr>
            <w:r>
              <w:t xml:space="preserve"> Position profit ≥ 50%</w:t>
            </w:r>
          </w:p>
        </w:tc>
        <w:tc>
          <w:tcPr>
            <w:tcW w:w="4428" w:type="dxa"/>
          </w:tcPr>
          <w:p w14:paraId="2D4C875F">
            <w:pPr>
              <w:rPr>
                <w:vertAlign w:val="baseline"/>
              </w:rPr>
            </w:pPr>
            <w:r>
              <w:t>TAKE-PROFIT SELL</w:t>
            </w:r>
          </w:p>
        </w:tc>
      </w:tr>
    </w:tbl>
    <w:p w14:paraId="37D4AE1C"/>
    <w:p w14:paraId="0F769A3B">
      <w:pPr>
        <w:pStyle w:val="3"/>
      </w:pPr>
      <w:r>
        <w:rPr>
          <w:rFonts w:hint="default"/>
          <w:lang w:val="en-US"/>
        </w:rPr>
        <w:t>3</w:t>
      </w:r>
      <w:r>
        <w:t>.2 Python Implementation</w:t>
      </w:r>
    </w:p>
    <w:p w14:paraId="68B2D59D">
      <w:r>
        <w:t>- Libraries Used: Pandas, NumPy, yfinance, SQLAlchemy, Lumibot.</w:t>
      </w:r>
      <w:r>
        <w:br w:type="textWrapping"/>
      </w:r>
      <w:r>
        <w:t>- Backtesting Logic:</w:t>
      </w:r>
      <w:r>
        <w:br w:type="textWrapping"/>
      </w:r>
      <w:r>
        <w:t xml:space="preserve">  - Fetch historical OHLC data using </w:t>
      </w:r>
      <w:r>
        <w:rPr>
          <w:rFonts w:hint="default"/>
        </w:rPr>
        <w:t>YahooDataBacktesting</w:t>
      </w:r>
      <w:r>
        <w:t>.</w:t>
      </w:r>
      <w:r>
        <w:br w:type="textWrapping"/>
      </w:r>
      <w:r>
        <w:t xml:space="preserve">  - Generate signals based on SMA crossover.</w:t>
      </w:r>
      <w:r>
        <w:br w:type="textWrapping"/>
      </w:r>
      <w:r>
        <w:t xml:space="preserve">  - Execute trades with stop-loss and take-profit.</w:t>
      </w:r>
      <w:r>
        <w:br w:type="textWrapping"/>
      </w:r>
      <w:r>
        <w:t xml:space="preserve">  - Track portfolio value, cumulative returns, and performance metrics.</w:t>
      </w:r>
      <w:r>
        <w:br w:type="textWrapping"/>
      </w:r>
      <w:r>
        <w:br w:type="textWrapping"/>
      </w:r>
      <w:r>
        <w:br w:type="textWrapping"/>
      </w:r>
      <w:r>
        <w:t>- Performance Metrics Calculated:</w:t>
      </w:r>
      <w:r>
        <w:br w:type="textWrapping"/>
      </w:r>
      <w:r>
        <w:t xml:space="preserve">  - Total Returns (%)</w:t>
      </w:r>
      <w:r>
        <w:br w:type="textWrapping"/>
      </w:r>
      <w:r>
        <w:t xml:space="preserve">  - Maximum Drawdown (%)</w:t>
      </w:r>
      <w:r>
        <w:br w:type="textWrapping"/>
      </w:r>
      <w:r>
        <w:t xml:space="preserve">  - Sharpe Ratio</w:t>
      </w:r>
      <w:r>
        <w:br w:type="textWrapping"/>
      </w:r>
      <w:r>
        <w:t xml:space="preserve">  - Number of Trades</w:t>
      </w:r>
    </w:p>
    <w:p w14:paraId="20A118DE">
      <w:pPr>
        <w:pStyle w:val="2"/>
      </w:pPr>
      <w:r>
        <w:rPr>
          <w:rFonts w:hint="default"/>
          <w:lang w:val="en-US"/>
        </w:rPr>
        <w:t>4</w:t>
      </w:r>
      <w:r>
        <w:t>. Database Schema</w:t>
      </w:r>
    </w:p>
    <w:p w14:paraId="2588439C">
      <w:pPr>
        <w:pStyle w:val="3"/>
      </w:pPr>
      <w:r>
        <w:rPr>
          <w:rFonts w:hint="default"/>
          <w:lang w:val="en-US"/>
        </w:rPr>
        <w:t>4</w:t>
      </w:r>
      <w:r>
        <w:t>.1 Tables</w:t>
      </w:r>
    </w:p>
    <w:p w14:paraId="0BC3E3DB">
      <w:r>
        <w:rPr>
          <w:rFonts w:hint="default"/>
          <w:lang w:val="en-US"/>
        </w:rPr>
        <w:t>“</w:t>
      </w:r>
      <w:r>
        <w:t>backtests</w:t>
      </w:r>
      <w:r>
        <w:rPr>
          <w:rFonts w:hint="default"/>
          <w:lang w:val="en-US"/>
        </w:rPr>
        <w:t>”</w:t>
      </w:r>
      <w:r>
        <w:t xml:space="preserve"> – Summary of each backtest</w:t>
      </w:r>
      <w:r>
        <w:br w:type="textWrapping"/>
      </w:r>
      <w:r>
        <w:rPr>
          <w:rFonts w:hint="default"/>
          <w:lang w:val="en-US"/>
        </w:rPr>
        <w:t>“t</w:t>
      </w:r>
      <w:r>
        <w:t>rades</w:t>
      </w:r>
      <w:r>
        <w:rPr>
          <w:rFonts w:hint="default"/>
          <w:lang w:val="en-US"/>
        </w:rPr>
        <w:t>”</w:t>
      </w:r>
      <w:r>
        <w:t xml:space="preserve"> – Individual trades executed by the strategy</w:t>
      </w:r>
      <w:r>
        <w:br w:type="textWrapping"/>
      </w:r>
      <w:r>
        <w:rPr>
          <w:rFonts w:hint="default"/>
          <w:lang w:val="en-US"/>
        </w:rPr>
        <w:t>“</w:t>
      </w:r>
      <w:r>
        <w:t>ohlc</w:t>
      </w:r>
      <w:r>
        <w:rPr>
          <w:rFonts w:hint="default"/>
          <w:lang w:val="en-US"/>
        </w:rPr>
        <w:t>”</w:t>
      </w:r>
      <w:r>
        <w:t xml:space="preserve"> – Historical price data used for backtesting</w:t>
      </w:r>
      <w: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t>Schema Diagram:</w:t>
      </w:r>
      <w:r>
        <w:br w:type="textWrapping"/>
      </w:r>
      <w:r>
        <w:rPr>
          <w:b/>
          <w:bCs/>
        </w:rPr>
        <w:t>backtests</w:t>
      </w:r>
      <w:r>
        <w:rPr>
          <w:rFonts w:hint="default"/>
          <w:b/>
          <w:bCs/>
          <w:lang w:val="en-US"/>
        </w:rPr>
        <w:t>:</w:t>
      </w:r>
      <w:r>
        <w:br w:type="textWrapping"/>
      </w:r>
      <w:r>
        <w:br w:type="textWrapping"/>
      </w:r>
      <w:r>
        <w:t>| id | name | symbol | start_date | end_date | short_window | long_window | stop_loss_pct | take_profit_pct | initial_capital | total_return_pct | max_drawdown_pct | sharpe | n_trades | created_at |</w:t>
      </w:r>
      <w:r>
        <w:br w:type="textWrapping"/>
      </w:r>
      <w:r>
        <w:br w:type="textWrapping"/>
      </w:r>
      <w:r>
        <w:rPr>
          <w:b/>
          <w:bCs/>
        </w:rPr>
        <w:t>trades</w:t>
      </w:r>
      <w:r>
        <w:rPr>
          <w:rFonts w:hint="default"/>
          <w:b/>
          <w:bCs/>
          <w:lang w:val="en-US"/>
        </w:rPr>
        <w:t>:</w:t>
      </w:r>
      <w:r>
        <w:br w:type="textWrapping"/>
      </w:r>
      <w:r>
        <w:t>| id | backtest_id | timestamp | side | price | size | pnl | cumulative_return_pct |</w:t>
      </w:r>
      <w:r>
        <w:br w:type="textWrapping"/>
      </w:r>
      <w:r>
        <w:br w:type="textWrapping"/>
      </w:r>
      <w:r>
        <w:rPr>
          <w:b/>
          <w:bCs/>
        </w:rPr>
        <w:t>ohlc</w:t>
      </w:r>
      <w:r>
        <w:rPr>
          <w:rFonts w:hint="default"/>
          <w:b/>
          <w:bCs/>
          <w:lang w:val="en-US"/>
        </w:rPr>
        <w:t>:</w:t>
      </w:r>
      <w:r>
        <w:br w:type="textWrapping"/>
      </w:r>
      <w:r>
        <w:t>| id | symbol | timestamp | open | high | low | close | volume |</w:t>
      </w:r>
    </w:p>
    <w:p w14:paraId="08914910">
      <w:pPr>
        <w:pStyle w:val="3"/>
      </w:pPr>
      <w:r>
        <w:rPr>
          <w:rFonts w:hint="default"/>
          <w:lang w:val="en-US"/>
        </w:rPr>
        <w:t>4</w:t>
      </w:r>
      <w:r>
        <w:t>.2 Design Motivation</w:t>
      </w:r>
    </w:p>
    <w:p w14:paraId="3529C4DA">
      <w:r>
        <w:t>- Normalization: Avoids duplication by separating trades, OHLC, and backtests.</w:t>
      </w:r>
      <w:r>
        <w:br w:type="textWrapping"/>
      </w:r>
      <w:r>
        <w:t>- Flexibility: Can store multiple backtests and symbols.</w:t>
      </w:r>
      <w:r>
        <w:br w:type="textWrapping"/>
      </w:r>
      <w:r>
        <w:t>- Ease of Comparison: Performance metrics stored in backtests allow quick comparison across strategies and symbols.</w:t>
      </w:r>
    </w:p>
    <w:p w14:paraId="1E749D28">
      <w:pPr>
        <w:pStyle w:val="2"/>
      </w:pPr>
      <w:r>
        <w:rPr>
          <w:rFonts w:hint="default"/>
          <w:lang w:val="en-US"/>
        </w:rPr>
        <w:t>5</w:t>
      </w:r>
      <w:r>
        <w:t>. Backtesting Example</w:t>
      </w:r>
    </w:p>
    <w:p w14:paraId="4767A5BF">
      <w:r>
        <w:t>Symbols Tested: AAPL, MSFT, TSLA</w:t>
      </w:r>
      <w:r>
        <w:br w:type="textWrapping"/>
      </w:r>
      <w:r>
        <w:t>Initial Capital: $10,000</w:t>
      </w:r>
      <w:r>
        <w:br w:type="textWrapping"/>
      </w:r>
      <w:r>
        <w:t>Short Window: 10 days</w:t>
      </w:r>
      <w:r>
        <w:br w:type="textWrapping"/>
      </w:r>
      <w:r>
        <w:t>Long Window: 40 days</w:t>
      </w:r>
      <w:r>
        <w:br w:type="textWrapping"/>
      </w:r>
      <w:r>
        <w:t>Stop Loss: 1%</w:t>
      </w:r>
      <w:r>
        <w:br w:type="textWrapping"/>
      </w:r>
      <w:r>
        <w:t>Take Profit: 50%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b/>
          <w:bCs/>
        </w:rPr>
        <w:t>Sample Results Table: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6FF66A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08813DDB">
            <w:r>
              <w:t>Symbol</w:t>
            </w:r>
          </w:p>
        </w:tc>
        <w:tc>
          <w:tcPr>
            <w:tcW w:w="1728" w:type="dxa"/>
          </w:tcPr>
          <w:p w14:paraId="6379609B">
            <w:r>
              <w:t>Total Return (%)</w:t>
            </w:r>
          </w:p>
        </w:tc>
        <w:tc>
          <w:tcPr>
            <w:tcW w:w="1728" w:type="dxa"/>
          </w:tcPr>
          <w:p w14:paraId="2DD69AE4">
            <w:r>
              <w:t>Max Drawdown (%)</w:t>
            </w:r>
          </w:p>
        </w:tc>
        <w:tc>
          <w:tcPr>
            <w:tcW w:w="1728" w:type="dxa"/>
          </w:tcPr>
          <w:p w14:paraId="06208FF3">
            <w:r>
              <w:t>Sharpe Ratio</w:t>
            </w:r>
          </w:p>
        </w:tc>
        <w:tc>
          <w:tcPr>
            <w:tcW w:w="1728" w:type="dxa"/>
          </w:tcPr>
          <w:p w14:paraId="613F251D">
            <w:r>
              <w:t>Number of Trades</w:t>
            </w:r>
          </w:p>
        </w:tc>
      </w:tr>
      <w:tr w14:paraId="3FF44B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4CB6CDD4">
            <w:r>
              <w:t>AAPL</w:t>
            </w:r>
          </w:p>
        </w:tc>
        <w:tc>
          <w:tcPr>
            <w:tcW w:w="1728" w:type="dxa"/>
          </w:tcPr>
          <w:p w14:paraId="28969DBE">
            <w:r>
              <w:t>12.5</w:t>
            </w:r>
          </w:p>
        </w:tc>
        <w:tc>
          <w:tcPr>
            <w:tcW w:w="1728" w:type="dxa"/>
          </w:tcPr>
          <w:p w14:paraId="3B8E1989">
            <w:r>
              <w:t>-8.3</w:t>
            </w:r>
          </w:p>
        </w:tc>
        <w:tc>
          <w:tcPr>
            <w:tcW w:w="1728" w:type="dxa"/>
          </w:tcPr>
          <w:p w14:paraId="61CF559E">
            <w:r>
              <w:t>1.12</w:t>
            </w:r>
          </w:p>
        </w:tc>
        <w:tc>
          <w:tcPr>
            <w:tcW w:w="1728" w:type="dxa"/>
          </w:tcPr>
          <w:p w14:paraId="0420A6AD">
            <w:r>
              <w:t>15</w:t>
            </w:r>
          </w:p>
        </w:tc>
      </w:tr>
      <w:tr w14:paraId="32A8CA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41A9CFC">
            <w:r>
              <w:t>MSFT</w:t>
            </w:r>
          </w:p>
        </w:tc>
        <w:tc>
          <w:tcPr>
            <w:tcW w:w="1728" w:type="dxa"/>
          </w:tcPr>
          <w:p w14:paraId="504F60B3">
            <w:r>
              <w:t>18.9</w:t>
            </w:r>
          </w:p>
        </w:tc>
        <w:tc>
          <w:tcPr>
            <w:tcW w:w="1728" w:type="dxa"/>
          </w:tcPr>
          <w:p w14:paraId="05CDB31F">
            <w:r>
              <w:t>-10.1</w:t>
            </w:r>
          </w:p>
        </w:tc>
        <w:tc>
          <w:tcPr>
            <w:tcW w:w="1728" w:type="dxa"/>
          </w:tcPr>
          <w:p w14:paraId="04588D9F">
            <w:r>
              <w:t>1.34</w:t>
            </w:r>
          </w:p>
        </w:tc>
        <w:tc>
          <w:tcPr>
            <w:tcW w:w="1728" w:type="dxa"/>
          </w:tcPr>
          <w:p w14:paraId="4B7D4571">
            <w:r>
              <w:t>20</w:t>
            </w:r>
          </w:p>
        </w:tc>
      </w:tr>
      <w:tr w14:paraId="574660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</w:tcPr>
          <w:p w14:paraId="5BB4F553">
            <w:r>
              <w:t>TSLA</w:t>
            </w:r>
          </w:p>
        </w:tc>
        <w:tc>
          <w:tcPr>
            <w:tcW w:w="1728" w:type="dxa"/>
          </w:tcPr>
          <w:p w14:paraId="64293286">
            <w:r>
              <w:t>25.2</w:t>
            </w:r>
          </w:p>
        </w:tc>
        <w:tc>
          <w:tcPr>
            <w:tcW w:w="1728" w:type="dxa"/>
          </w:tcPr>
          <w:p w14:paraId="02772C12">
            <w:r>
              <w:t>-15.4</w:t>
            </w:r>
          </w:p>
        </w:tc>
        <w:tc>
          <w:tcPr>
            <w:tcW w:w="1728" w:type="dxa"/>
          </w:tcPr>
          <w:p w14:paraId="283999BA">
            <w:r>
              <w:t>1.22</w:t>
            </w:r>
          </w:p>
        </w:tc>
        <w:tc>
          <w:tcPr>
            <w:tcW w:w="1728" w:type="dxa"/>
          </w:tcPr>
          <w:p w14:paraId="77918E2A">
            <w:r>
              <w:t>18</w:t>
            </w:r>
          </w:p>
        </w:tc>
      </w:tr>
    </w:tbl>
    <w:p w14:paraId="6FC3BBA8">
      <w:pPr>
        <w:pStyle w:val="2"/>
      </w:pPr>
      <w:r>
        <w:rPr>
          <w:rFonts w:hint="default"/>
          <w:lang w:val="en-US"/>
        </w:rPr>
        <w:t>6</w:t>
      </w:r>
      <w:r>
        <w:t>. Frontend Visualization</w:t>
      </w:r>
    </w:p>
    <w:p w14:paraId="5E7A348F">
      <w:pPr>
        <w:rPr>
          <w:rFonts w:hint="default"/>
          <w:lang w:val="en-US"/>
        </w:rPr>
      </w:pPr>
      <w:r>
        <w:t>Technology: React + Lightweight Charts</w:t>
      </w:r>
      <w:r>
        <w:br w:type="textWrapping"/>
      </w:r>
      <w:r>
        <w:t>Features:</w:t>
      </w:r>
      <w:r>
        <w:br w:type="textWrapping"/>
      </w:r>
      <w:r>
        <w:t>- Candlestick chart of OHLC data</w:t>
      </w:r>
      <w:r>
        <w:br w:type="textWrapping"/>
      </w:r>
      <w:r>
        <w:t>- Buy/Sell markers on chart</w:t>
      </w:r>
      <w:r>
        <w:br w:type="textWrapping"/>
      </w:r>
      <w:r>
        <w:t>- Tooltip displaying OHLC for hovered candlestick</w:t>
      </w:r>
      <w:r>
        <w:br w:type="textWrapping"/>
      </w:r>
      <w:r>
        <w:t>- Responsive resizing</w:t>
      </w:r>
      <w:r>
        <w:br w:type="textWrapping"/>
      </w:r>
      <w:r>
        <w:rPr>
          <w:b/>
          <w:bCs/>
        </w:rPr>
        <w:t>Screenshot of UI:</w:t>
      </w:r>
      <w: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195060" cy="2753995"/>
            <wp:effectExtent l="0" t="0" r="7620" b="4445"/>
            <wp:docPr id="2" name="Picture 2" descr="AAPL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APL Ch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00C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018530" cy="2141855"/>
            <wp:effectExtent l="0" t="0" r="1270" b="6985"/>
            <wp:docPr id="1" name="Picture 1" descr="TSLA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SLA_Char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B2A1">
      <w:pPr>
        <w:pStyle w:val="2"/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7</w:t>
      </w:r>
      <w:r>
        <w:t>. Project Structure</w:t>
      </w:r>
    </w:p>
    <w:p w14:paraId="3BE877A1">
      <w:r>
        <w:t>project/</w:t>
      </w:r>
      <w:r>
        <w:br w:type="textWrapping"/>
      </w:r>
      <w:r>
        <w:t>│</w:t>
      </w:r>
      <w:r>
        <w:br w:type="textWrapping"/>
      </w:r>
      <w:r>
        <w:t>├─ backend/</w:t>
      </w:r>
      <w:r>
        <w:br w:type="textWrapping"/>
      </w:r>
      <w:r>
        <w:t>│   ├─ backtest.py</w:t>
      </w:r>
      <w:r>
        <w:br w:type="textWrapping"/>
      </w:r>
      <w:r>
        <w:t>│   ├─ db.py</w:t>
      </w:r>
      <w:r>
        <w:br w:type="textWrapping"/>
      </w:r>
      <w:r>
        <w:t>│   ├─ api.py</w:t>
      </w:r>
      <w:r>
        <w:br w:type="textWrapping"/>
      </w:r>
      <w:r>
        <w:t>│   ├─ lumibot_strategy.py</w:t>
      </w:r>
      <w:r>
        <w:br w:type="textWrapping"/>
      </w:r>
      <w:r>
        <w:t>│   ├─ run_strategy.py</w:t>
      </w:r>
      <w:r>
        <w:br w:type="textWrapping"/>
      </w:r>
      <w:r>
        <w:t>│   └─ schema.sql</w:t>
      </w:r>
      <w:r>
        <w:br w:type="textWrapping"/>
      </w:r>
      <w:r>
        <w:t>│</w:t>
      </w:r>
      <w:r>
        <w:br w:type="textWrapping"/>
      </w:r>
      <w:r>
        <w:t>├─ frontend/</w:t>
      </w:r>
      <w:r>
        <w:br w:type="textWrapping"/>
      </w:r>
      <w:r>
        <w:t>│   ├─ App.tsx</w:t>
      </w:r>
      <w:r>
        <w:br w:type="textWrapping"/>
      </w:r>
      <w:r>
        <w:t>│   └─ components/</w:t>
      </w:r>
      <w:r>
        <w:br w:type="textWrapping"/>
      </w:r>
      <w:r>
        <w:t>│       └─ Chart.tsx</w:t>
      </w:r>
      <w:r>
        <w:br w:type="textWrapping"/>
      </w:r>
      <w:r>
        <w:t>│</w:t>
      </w:r>
      <w:r>
        <w:br w:type="textWrapping"/>
      </w:r>
      <w:r>
        <w:t>├─ docker-compose.yml</w:t>
      </w:r>
      <w:r>
        <w:br w:type="textWrapping"/>
      </w:r>
      <w:r>
        <w:t>├─ .env</w:t>
      </w:r>
      <w:r>
        <w:br w:type="textWrapping"/>
      </w:r>
      <w:r>
        <w:t>└─ README.docx</w:t>
      </w:r>
    </w:p>
    <w:p w14:paraId="347CBCE0">
      <w:pPr>
        <w:pStyle w:val="2"/>
      </w:pPr>
      <w:r>
        <w:rPr>
          <w:rFonts w:hint="default"/>
          <w:lang w:val="en-US"/>
        </w:rPr>
        <w:t>8</w:t>
      </w:r>
      <w:r>
        <w:t>. How to Run</w:t>
      </w:r>
    </w:p>
    <w:p w14:paraId="4B3FC14B">
      <w:r>
        <w:t>1. Start PostgreSQL using Docker:</w:t>
      </w:r>
      <w:r>
        <w:br w:type="textWrapping"/>
      </w:r>
      <w:r>
        <w:rPr>
          <w:b/>
          <w:bCs/>
          <w:i/>
          <w:iCs/>
        </w:rPr>
        <w:t>docker-compose up -d</w:t>
      </w:r>
      <w:r>
        <w:br w:type="textWrapping"/>
      </w:r>
      <w:r>
        <w:br w:type="textWrapping"/>
      </w:r>
      <w:r>
        <w:t>2. Install Python dependencies:</w:t>
      </w:r>
      <w:r>
        <w:br w:type="textWrapping"/>
      </w:r>
      <w:r>
        <w:rPr>
          <w:b/>
          <w:bCs/>
          <w:i/>
          <w:iCs/>
        </w:rPr>
        <w:t>pip install -r requirements.txt</w:t>
      </w:r>
      <w:r>
        <w:br w:type="textWrapping"/>
      </w:r>
      <w:r>
        <w:br w:type="textWrapping"/>
      </w:r>
      <w:r>
        <w:t>3. Run Backtests:</w:t>
      </w:r>
      <w:r>
        <w:br w:type="textWrapping"/>
      </w:r>
      <w:r>
        <w:rPr>
          <w:b/>
          <w:bCs/>
          <w:i/>
          <w:iCs/>
        </w:rPr>
        <w:t>python backend/run_strategy.py</w:t>
      </w:r>
      <w:r>
        <w:br w:type="textWrapping"/>
      </w:r>
      <w:r>
        <w:t>4. Start FastAPI Backend:</w:t>
      </w:r>
      <w:r>
        <w:br w:type="textWrapping"/>
      </w:r>
      <w:r>
        <w:rPr>
          <w:b/>
          <w:bCs/>
          <w:i/>
          <w:iCs/>
        </w:rPr>
        <w:t>uvicorn backend/api:app --reload</w:t>
      </w:r>
      <w:r>
        <w:br w:type="textWrapping"/>
      </w:r>
      <w:r>
        <w:br w:type="textWrapping"/>
      </w:r>
      <w:r>
        <w:t>5. Start Frontend:</w:t>
      </w:r>
      <w:r>
        <w:br w:type="textWrapping"/>
      </w:r>
      <w:r>
        <w:rPr>
          <w:b/>
          <w:bCs/>
          <w:i/>
          <w:iCs/>
        </w:rPr>
        <w:t>npm install</w:t>
      </w:r>
      <w:r>
        <w:rPr>
          <w:b/>
          <w:bCs/>
          <w:i/>
          <w:iCs/>
        </w:rPr>
        <w:br w:type="textWrapping"/>
      </w:r>
      <w:r>
        <w:rPr>
          <w:b/>
          <w:bCs/>
          <w:i/>
          <w:iCs/>
        </w:rPr>
        <w:t>npm start</w:t>
      </w:r>
    </w:p>
    <w:p w14:paraId="5D83BD64">
      <w:pPr>
        <w:pStyle w:val="2"/>
      </w:pPr>
      <w:r>
        <w:rPr>
          <w:rFonts w:hint="default"/>
          <w:lang w:val="en-US"/>
        </w:rPr>
        <w:t>9</w:t>
      </w:r>
      <w:r>
        <w:t>. Observations and Insights</w:t>
      </w:r>
    </w:p>
    <w:p w14:paraId="19965685">
      <w:r>
        <w:t>- Adding stop-loss reduced risk but slightly lowered overall returns.</w:t>
      </w:r>
      <w:r>
        <w:br w:type="textWrapping"/>
      </w:r>
      <w:r>
        <w:t>- Take-profit strategy allows booking profits in trending markets.</w:t>
      </w:r>
      <w:r>
        <w:br w:type="textWrapping"/>
      </w:r>
      <w:r>
        <w:t>- Strategy performs differently across symbols due to volatility differences.</w:t>
      </w:r>
      <w:r>
        <w:br w:type="textWrapping"/>
      </w:r>
      <w:r>
        <w:t>- Storing data in PostgreSQL enables multi-symbol analysis and historical record-keeping.</w:t>
      </w:r>
      <w:r>
        <w:br w:type="textWrapping"/>
      </w:r>
    </w:p>
    <w:p w14:paraId="6BED65FD"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Additional Screenshots: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Trades Table Screenshot:</w:t>
      </w:r>
    </w:p>
    <w:p w14:paraId="4274E06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1320" cy="2324100"/>
            <wp:effectExtent l="0" t="0" r="5080" b="7620"/>
            <wp:docPr id="4" name="Picture 4" descr="trades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ades_tab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OHLC CSV Screenshot: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485130" cy="3178810"/>
            <wp:effectExtent l="0" t="0" r="1270" b="6350"/>
            <wp:docPr id="5" name="Picture 5" descr="c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sv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Portfolio Chart: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034405" cy="2682240"/>
            <wp:effectExtent l="0" t="0" r="635" b="0"/>
            <wp:docPr id="6" name="Picture 6" descr="MSFT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SFT_Char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461A">
      <w:pPr>
        <w:pStyle w:val="2"/>
      </w:pPr>
      <w:r>
        <w:rPr>
          <w:rFonts w:hint="default"/>
          <w:lang w:val="en-US"/>
        </w:rPr>
        <w:t>11</w:t>
      </w:r>
      <w:r>
        <w:t>. References</w:t>
      </w:r>
    </w:p>
    <w:p w14:paraId="2894DA6A">
      <w:r>
        <w:t xml:space="preserve">- Lumibot Documentation: </w:t>
      </w:r>
      <w:r>
        <w:fldChar w:fldCharType="begin"/>
      </w:r>
      <w:r>
        <w:instrText xml:space="preserve"> HYPERLINK "lumibot.lumiwealth.com" </w:instrText>
      </w:r>
      <w:r>
        <w:fldChar w:fldCharType="separate"/>
      </w:r>
      <w:r>
        <w:rPr>
          <w:rStyle w:val="20"/>
        </w:rPr>
        <w:t>https://lumibot.lumiwealth.com/</w:t>
      </w:r>
      <w:r>
        <w:fldChar w:fldCharType="end"/>
      </w:r>
      <w:r>
        <w:br w:type="textWrapping"/>
      </w:r>
      <w:r>
        <w:t xml:space="preserve">- Lightweight Charts: </w:t>
      </w:r>
      <w:r>
        <w:fldChar w:fldCharType="begin"/>
      </w:r>
      <w:r>
        <w:instrText xml:space="preserve"> HYPERLINK "tradingview/lightweight-charts" </w:instrText>
      </w:r>
      <w:r>
        <w:fldChar w:fldCharType="separate"/>
      </w:r>
      <w:r>
        <w:rPr>
          <w:rStyle w:val="20"/>
        </w:rPr>
        <w:t>https://github.com/tradingview/lightweight-charts</w:t>
      </w:r>
      <w:r>
        <w:fldChar w:fldCharType="end"/>
      </w:r>
      <w:r>
        <w:br w:type="textWrapping"/>
      </w:r>
      <w:r>
        <w:t xml:space="preserve">- SQLAlchemy ORM: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"http://www.sqlalchemy.org" </w:instrText>
      </w:r>
      <w:r>
        <w:rPr>
          <w:b w:val="0"/>
          <w:bCs w:val="0"/>
        </w:rPr>
        <w:fldChar w:fldCharType="separate"/>
      </w:r>
      <w:r>
        <w:rPr>
          <w:rStyle w:val="20"/>
          <w:b w:val="0"/>
          <w:bCs w:val="0"/>
        </w:rPr>
        <w:t>https://www.sqlalchemy.org/</w:t>
      </w:r>
      <w:r>
        <w:rPr>
          <w:b w:val="0"/>
          <w:bCs w:val="0"/>
        </w:rPr>
        <w:fldChar w:fldCharType="end"/>
      </w:r>
    </w:p>
    <w:sectPr>
      <w:pgSz w:w="12240" w:h="15840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A2B66D"/>
    <w:multiLevelType w:val="singleLevel"/>
    <w:tmpl w:val="A8A2B66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 w:cs="Wingdings"/>
        <w:sz w:val="11"/>
      </w:rPr>
    </w:lvl>
  </w:abstractNum>
  <w:abstractNum w:abstractNumId="1">
    <w:nsid w:val="A95C553E"/>
    <w:multiLevelType w:val="singleLevel"/>
    <w:tmpl w:val="A95C553E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B1067108"/>
    <w:multiLevelType w:val="singleLevel"/>
    <w:tmpl w:val="B1067108"/>
    <w:lvl w:ilvl="0" w:tentative="0">
      <w:start w:val="10"/>
      <w:numFmt w:val="decimal"/>
      <w:suff w:val="space"/>
      <w:lvlText w:val="%1."/>
      <w:lvlJc w:val="left"/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DA63A83"/>
    <w:rsid w:val="24F868DF"/>
    <w:rsid w:val="3DF1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qFormat/>
    <w:uiPriority w:val="99"/>
  </w:style>
  <w:style w:type="character" w:customStyle="1" w:styleId="137">
    <w:name w:val="Footer Char"/>
    <w:basedOn w:val="11"/>
    <w:link w:val="18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qFormat/>
    <w:uiPriority w:val="99"/>
  </w:style>
  <w:style w:type="character" w:customStyle="1" w:styleId="147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feel2</cp:lastModifiedBy>
  <dcterms:modified xsi:type="dcterms:W3CDTF">2025-09-16T10:40:50Z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18EBFE36ABE344028616FE840D054552_12</vt:lpwstr>
  </property>
</Properties>
</file>