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Objectives:</w:t>
      </w:r>
    </w:p>
    <w:p w:rsidR="00000000" w:rsidDel="00000000" w:rsidP="00000000" w:rsidRDefault="00000000" w:rsidRPr="00000000" w14:paraId="0000000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see the evidence of growth on agricultural trade among the region.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examine the effects of </w:t>
      </w:r>
      <w:r w:rsidDel="00000000" w:rsidR="00000000" w:rsidRPr="00000000">
        <w:rPr>
          <w:highlight w:val="white"/>
          <w:rtl w:val="0"/>
        </w:rPr>
        <w:t xml:space="preserve">particular</w:t>
      </w:r>
      <w:r w:rsidDel="00000000" w:rsidR="00000000" w:rsidRPr="00000000">
        <w:rPr>
          <w:highlight w:val="white"/>
          <w:rtl w:val="0"/>
        </w:rPr>
        <w:t xml:space="preserve"> NTMs on agricultural trade among BIMSTEC member countries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understand the patterns of sub-regional trade vis-à-vis Bangladesh;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 give an analytical overview of SPS-TBT structure in Bangladesh in terms of infrastructure and institutional capacities, legislative and regulatory framework, outreach.</w:t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