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color w:val="050505"/>
        </w:rPr>
      </w:pPr>
      <w:r w:rsidDel="00000000" w:rsidR="00000000" w:rsidRPr="00000000">
        <w:rPr>
          <w:color w:val="050505"/>
          <w:rtl w:val="0"/>
        </w:rPr>
        <w:t xml:space="preserve">[1]        </w:t>
        <w:tab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Dhami, J. K., Kaur, G., &amp; Singh, S. (2020). Trade performance between India and BIMSTEC countries pre-and post-formation of bloc.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International Journal of Business and Globalisation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24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(4), 529-542.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>
          <w:color w:val="050505"/>
          <w:u w:val="single"/>
        </w:rPr>
      </w:pPr>
      <w:r w:rsidDel="00000000" w:rsidR="00000000" w:rsidRPr="00000000">
        <w:rPr>
          <w:color w:val="050505"/>
          <w:rtl w:val="0"/>
        </w:rPr>
        <w:t xml:space="preserve">[2]</w:t>
        <w:tab/>
        <w:tab/>
      </w:r>
      <w:hyperlink r:id="rId6">
        <w:r w:rsidDel="00000000" w:rsidR="00000000" w:rsidRPr="00000000">
          <w:rPr>
            <w:color w:val="050505"/>
            <w:u w:val="single"/>
            <w:rtl w:val="0"/>
          </w:rPr>
          <w:t xml:space="preserve">https://bimstec.org/?page_id=189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color w:val="05050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color w:val="050505"/>
        </w:rPr>
      </w:pPr>
      <w:r w:rsidDel="00000000" w:rsidR="00000000" w:rsidRPr="00000000">
        <w:rPr>
          <w:color w:val="050505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Rule="auto"/>
        <w:rPr>
          <w:color w:val="050505"/>
        </w:rPr>
      </w:pPr>
      <w:r w:rsidDel="00000000" w:rsidR="00000000" w:rsidRPr="00000000">
        <w:rPr>
          <w:color w:val="050505"/>
          <w:rtl w:val="0"/>
        </w:rPr>
        <w:t xml:space="preserve">[3]</w:t>
        <w:tab/>
        <w:tab/>
        <w:t xml:space="preserve">Kumar, C., &amp; Bharti, N. (2021). Post-SAFTA NTMs for Agricultural Trade: Revelations from the India–South Asia Approach. Foreign Trade Review, 56(1), 117-135.</w:t>
      </w:r>
    </w:p>
    <w:p w:rsidR="00000000" w:rsidDel="00000000" w:rsidP="00000000" w:rsidRDefault="00000000" w:rsidRPr="00000000" w14:paraId="00000006">
      <w:pPr>
        <w:spacing w:before="240" w:lineRule="auto"/>
        <w:rPr>
          <w:color w:val="050505"/>
        </w:rPr>
      </w:pPr>
      <w:r w:rsidDel="00000000" w:rsidR="00000000" w:rsidRPr="00000000">
        <w:rPr>
          <w:color w:val="050505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rPr>
          <w:color w:val="050505"/>
        </w:rPr>
      </w:pPr>
      <w:r w:rsidDel="00000000" w:rsidR="00000000" w:rsidRPr="00000000">
        <w:rPr>
          <w:color w:val="050505"/>
          <w:rtl w:val="0"/>
        </w:rPr>
        <w:t xml:space="preserve">[2]       </w:t>
        <w:tab/>
        <w:t xml:space="preserve">Kathuria, S. (Ed.). (2018). A glass half full: The promise of regional trade in South Asia. World Bank Publications.</w:t>
      </w:r>
    </w:p>
    <w:p w:rsidR="00000000" w:rsidDel="00000000" w:rsidP="00000000" w:rsidRDefault="00000000" w:rsidRPr="00000000" w14:paraId="00000008">
      <w:pPr>
        <w:spacing w:before="240" w:lineRule="auto"/>
        <w:rPr>
          <w:color w:val="050505"/>
        </w:rPr>
      </w:pPr>
      <w:r w:rsidDel="00000000" w:rsidR="00000000" w:rsidRPr="00000000">
        <w:rPr>
          <w:color w:val="050505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>
          <w:color w:val="050505"/>
        </w:rPr>
      </w:pPr>
      <w:r w:rsidDel="00000000" w:rsidR="00000000" w:rsidRPr="00000000">
        <w:rPr>
          <w:color w:val="050505"/>
          <w:rtl w:val="0"/>
        </w:rPr>
        <w:t xml:space="preserve">[3]        </w:t>
        <w:tab/>
        <w:t xml:space="preserve">Kinzius, L., Sandkamp, A., &amp; Yalcin, E. (2019). Trade protection and the role of non-tariff barriers. </w:t>
      </w:r>
      <w:r w:rsidDel="00000000" w:rsidR="00000000" w:rsidRPr="00000000">
        <w:rPr>
          <w:i w:val="1"/>
          <w:color w:val="050505"/>
          <w:rtl w:val="0"/>
        </w:rPr>
        <w:t xml:space="preserve">Review of World Economics, 155(4)</w:t>
      </w:r>
      <w:r w:rsidDel="00000000" w:rsidR="00000000" w:rsidRPr="00000000">
        <w:rPr>
          <w:color w:val="050505"/>
          <w:rtl w:val="0"/>
        </w:rPr>
        <w:t xml:space="preserve">, 603-643.</w:t>
      </w:r>
    </w:p>
    <w:p w:rsidR="00000000" w:rsidDel="00000000" w:rsidP="00000000" w:rsidRDefault="00000000" w:rsidRPr="00000000" w14:paraId="0000000A">
      <w:pPr>
        <w:spacing w:before="240" w:lineRule="auto"/>
        <w:rPr>
          <w:color w:val="050505"/>
        </w:rPr>
      </w:pPr>
      <w:r w:rsidDel="00000000" w:rsidR="00000000" w:rsidRPr="00000000">
        <w:rPr>
          <w:color w:val="050505"/>
          <w:rtl w:val="0"/>
        </w:rPr>
        <w:t xml:space="preserve">[4]</w:t>
        <w:tab/>
        <w:tab/>
        <w:t xml:space="preserve">Rahman, M., Bari, E. and Farin, S. M. (2017). SAARC Food Bank (SFB): Institutional Architecture and Issues of Operationalisation. CPD Working Paper 113. Dhaka: Centre for Policy Dialogue (CPD).</w:t>
      </w:r>
    </w:p>
    <w:p w:rsidR="00000000" w:rsidDel="00000000" w:rsidP="00000000" w:rsidRDefault="00000000" w:rsidRPr="00000000" w14:paraId="0000000B">
      <w:pPr>
        <w:spacing w:before="240" w:lineRule="auto"/>
        <w:rPr>
          <w:color w:val="050505"/>
        </w:rPr>
      </w:pPr>
      <w:r w:rsidDel="00000000" w:rsidR="00000000" w:rsidRPr="00000000">
        <w:rPr>
          <w:color w:val="050505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rPr>
          <w:color w:val="050505"/>
        </w:rPr>
      </w:pPr>
      <w:r w:rsidDel="00000000" w:rsidR="00000000" w:rsidRPr="00000000">
        <w:rPr>
          <w:color w:val="050505"/>
          <w:rtl w:val="0"/>
        </w:rPr>
        <w:t xml:space="preserve">Niu, Z., Liu, C., Gunessee, S., &amp; Milner, C. (2017). Non-tariff and overall protection: Evidence from</w:t>
      </w:r>
    </w:p>
    <w:p w:rsidR="00000000" w:rsidDel="00000000" w:rsidP="00000000" w:rsidRDefault="00000000" w:rsidRPr="00000000" w14:paraId="0000000D">
      <w:pPr>
        <w:spacing w:before="240" w:lineRule="auto"/>
        <w:rPr>
          <w:i w:val="1"/>
          <w:color w:val="050505"/>
        </w:rPr>
      </w:pPr>
      <w:r w:rsidDel="00000000" w:rsidR="00000000" w:rsidRPr="00000000">
        <w:rPr>
          <w:color w:val="050505"/>
          <w:rtl w:val="0"/>
        </w:rPr>
        <w:t xml:space="preserve">across countries and over time. </w:t>
      </w:r>
      <w:r w:rsidDel="00000000" w:rsidR="00000000" w:rsidRPr="00000000">
        <w:rPr>
          <w:i w:val="1"/>
          <w:color w:val="050505"/>
          <w:rtl w:val="0"/>
        </w:rPr>
        <w:t xml:space="preserve">University of Nottingham Research Paper Series Political Economy</w:t>
      </w:r>
    </w:p>
    <w:p w:rsidR="00000000" w:rsidDel="00000000" w:rsidP="00000000" w:rsidRDefault="00000000" w:rsidRPr="00000000" w14:paraId="0000000E">
      <w:pPr>
        <w:spacing w:before="240" w:lineRule="auto"/>
        <w:rPr>
          <w:color w:val="050505"/>
        </w:rPr>
      </w:pPr>
      <w:r w:rsidDel="00000000" w:rsidR="00000000" w:rsidRPr="00000000">
        <w:rPr>
          <w:i w:val="1"/>
          <w:color w:val="050505"/>
          <w:rtl w:val="0"/>
        </w:rPr>
        <w:t xml:space="preserve">of Globalisation</w:t>
      </w:r>
      <w:r w:rsidDel="00000000" w:rsidR="00000000" w:rsidRPr="00000000">
        <w:rPr>
          <w:color w:val="050505"/>
          <w:rtl w:val="0"/>
        </w:rPr>
        <w:t xml:space="preserve">, 08.</w:t>
      </w:r>
    </w:p>
    <w:p w:rsidR="00000000" w:rsidDel="00000000" w:rsidP="00000000" w:rsidRDefault="00000000" w:rsidRPr="00000000" w14:paraId="0000000F">
      <w:pPr>
        <w:spacing w:before="240" w:lineRule="auto"/>
        <w:rPr>
          <w:color w:val="050505"/>
        </w:rPr>
      </w:pPr>
      <w:r w:rsidDel="00000000" w:rsidR="00000000" w:rsidRPr="00000000">
        <w:rPr>
          <w:color w:val="050505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rPr>
          <w:color w:val="050505"/>
        </w:rPr>
      </w:pPr>
      <w:r w:rsidDel="00000000" w:rsidR="00000000" w:rsidRPr="00000000">
        <w:rPr>
          <w:color w:val="050505"/>
          <w:rtl w:val="0"/>
        </w:rPr>
        <w:t xml:space="preserve">Hoekman, B., &amp; Nicita, A. (2011). Trade policy, trade costs, and developing country trade. </w:t>
      </w:r>
      <w:r w:rsidDel="00000000" w:rsidR="00000000" w:rsidRPr="00000000">
        <w:rPr>
          <w:i w:val="1"/>
          <w:color w:val="050505"/>
          <w:rtl w:val="0"/>
        </w:rPr>
        <w:t xml:space="preserve">World Development, 39(12)</w:t>
      </w:r>
      <w:r w:rsidDel="00000000" w:rsidR="00000000" w:rsidRPr="00000000">
        <w:rPr>
          <w:color w:val="050505"/>
          <w:rtl w:val="0"/>
        </w:rPr>
        <w:t xml:space="preserve">, 2069–2079.</w:t>
      </w:r>
    </w:p>
    <w:p w:rsidR="00000000" w:rsidDel="00000000" w:rsidP="00000000" w:rsidRDefault="00000000" w:rsidRPr="00000000" w14:paraId="00000011">
      <w:pPr>
        <w:spacing w:before="240" w:lineRule="auto"/>
        <w:rPr>
          <w:color w:val="050505"/>
        </w:rPr>
      </w:pPr>
      <w:r w:rsidDel="00000000" w:rsidR="00000000" w:rsidRPr="00000000">
        <w:rPr>
          <w:color w:val="050505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rPr>
          <w:color w:val="050505"/>
        </w:rPr>
      </w:pPr>
      <w:r w:rsidDel="00000000" w:rsidR="00000000" w:rsidRPr="00000000">
        <w:rPr>
          <w:color w:val="050505"/>
          <w:rtl w:val="0"/>
        </w:rPr>
        <w:t xml:space="preserve">Crivelli, P., &amp; Gröschl, J. (2016). The impact of sanitary and phytosanitary measures on market entry and</w:t>
      </w:r>
    </w:p>
    <w:p w:rsidR="00000000" w:rsidDel="00000000" w:rsidP="00000000" w:rsidRDefault="00000000" w:rsidRPr="00000000" w14:paraId="00000013">
      <w:pPr>
        <w:spacing w:before="240" w:lineRule="auto"/>
        <w:rPr>
          <w:color w:val="050505"/>
        </w:rPr>
      </w:pPr>
      <w:r w:rsidDel="00000000" w:rsidR="00000000" w:rsidRPr="00000000">
        <w:rPr>
          <w:color w:val="050505"/>
          <w:rtl w:val="0"/>
        </w:rPr>
        <w:t xml:space="preserve">trade flows. </w:t>
      </w:r>
      <w:r w:rsidDel="00000000" w:rsidR="00000000" w:rsidRPr="00000000">
        <w:rPr>
          <w:i w:val="1"/>
          <w:color w:val="050505"/>
          <w:rtl w:val="0"/>
        </w:rPr>
        <w:t xml:space="preserve">The World Economy</w:t>
      </w:r>
      <w:r w:rsidDel="00000000" w:rsidR="00000000" w:rsidRPr="00000000">
        <w:rPr>
          <w:color w:val="050505"/>
          <w:rtl w:val="0"/>
        </w:rPr>
        <w:t xml:space="preserve">. https ://doi.org/10.1111/twec.12283 .</w:t>
      </w:r>
    </w:p>
    <w:p w:rsidR="00000000" w:rsidDel="00000000" w:rsidP="00000000" w:rsidRDefault="00000000" w:rsidRPr="00000000" w14:paraId="00000014">
      <w:pPr>
        <w:spacing w:before="240" w:lineRule="auto"/>
        <w:rPr>
          <w:color w:val="050505"/>
        </w:rPr>
      </w:pPr>
      <w:r w:rsidDel="00000000" w:rsidR="00000000" w:rsidRPr="00000000">
        <w:rPr>
          <w:color w:val="050505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rPr>
          <w:color w:val="050505"/>
        </w:rPr>
      </w:pPr>
      <w:r w:rsidDel="00000000" w:rsidR="00000000" w:rsidRPr="00000000">
        <w:rPr>
          <w:color w:val="050505"/>
          <w:rtl w:val="0"/>
        </w:rPr>
        <w:t xml:space="preserve">Ghodsi, M., Grübler, J., Reiter, O., &amp; Stehrer, R. (2017). The evolution of non-tariff measures and their diverse effects on trade. Technical Report 419, Vienna Institute for International Economic Studies, Vienna.</w:t>
      </w:r>
    </w:p>
    <w:p w:rsidR="00000000" w:rsidDel="00000000" w:rsidP="00000000" w:rsidRDefault="00000000" w:rsidRPr="00000000" w14:paraId="00000016">
      <w:pPr>
        <w:spacing w:before="240" w:lineRule="auto"/>
        <w:rPr>
          <w:color w:val="050505"/>
        </w:rPr>
      </w:pPr>
      <w:r w:rsidDel="00000000" w:rsidR="00000000" w:rsidRPr="00000000">
        <w:rPr>
          <w:color w:val="050505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Rule="auto"/>
        <w:rPr>
          <w:color w:val="050505"/>
        </w:rPr>
      </w:pPr>
      <w:r w:rsidDel="00000000" w:rsidR="00000000" w:rsidRPr="00000000">
        <w:rPr>
          <w:color w:val="050505"/>
          <w:rtl w:val="0"/>
        </w:rPr>
        <w:t xml:space="preserve">Swinnen, J. F. and Vandemoortele, T. ‘Trade and the political economy of food standards’,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i w:val="1"/>
          <w:color w:val="050505"/>
          <w:rtl w:val="0"/>
        </w:rPr>
        <w:t xml:space="preserve">Journal of Agricultural Economics</w:t>
      </w:r>
      <w:r w:rsidDel="00000000" w:rsidR="00000000" w:rsidRPr="00000000">
        <w:rPr>
          <w:color w:val="050505"/>
          <w:rtl w:val="0"/>
        </w:rPr>
        <w:t xml:space="preserve">, Vol. 62, (2011) pp. 259–280.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mstec.org/?page_id=1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