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6E14" w14:textId="0D28E399" w:rsidR="002208EB" w:rsidRDefault="002208EB" w:rsidP="001B62F7">
      <w:pPr>
        <w:spacing w:after="0" w:line="240" w:lineRule="auto"/>
        <w:rPr>
          <w:rFonts w:ascii="Arial Narrow" w:hAnsi="Arial Narrow"/>
        </w:rPr>
      </w:pPr>
      <w:r w:rsidRPr="00D03C62">
        <w:rPr>
          <w:rFonts w:ascii="Arial Narrow" w:hAnsi="Arial Narrow"/>
        </w:rPr>
        <w:t xml:space="preserve">Impact of </w:t>
      </w:r>
      <w:r w:rsidR="00CC6494" w:rsidRPr="00D03C62">
        <w:rPr>
          <w:rFonts w:ascii="Arial Narrow" w:hAnsi="Arial Narrow"/>
        </w:rPr>
        <w:t>Non-Tariff</w:t>
      </w:r>
      <w:r w:rsidRPr="00D03C62">
        <w:rPr>
          <w:rFonts w:ascii="Arial Narrow" w:hAnsi="Arial Narrow"/>
        </w:rPr>
        <w:t xml:space="preserve"> Measures in trade among BIMSTEC Member Countries</w:t>
      </w:r>
    </w:p>
    <w:p w14:paraId="74B01402" w14:textId="21FC901B" w:rsidR="00E24D7E" w:rsidRDefault="00E24D7E" w:rsidP="001B62F7">
      <w:pPr>
        <w:spacing w:after="0" w:line="240" w:lineRule="auto"/>
        <w:rPr>
          <w:rFonts w:ascii="Arial Narrow" w:hAnsi="Arial Narrow"/>
        </w:rPr>
      </w:pPr>
    </w:p>
    <w:p w14:paraId="71312D8D" w14:textId="717B5711" w:rsidR="00E24D7E" w:rsidRDefault="00E24D7E" w:rsidP="001B62F7">
      <w:pPr>
        <w:spacing w:after="0" w:line="240" w:lineRule="auto"/>
        <w:rPr>
          <w:rFonts w:ascii="Arial Narrow" w:hAnsi="Arial Narrow"/>
        </w:rPr>
      </w:pPr>
      <w:r>
        <w:rPr>
          <w:rFonts w:ascii="Arial Narrow" w:hAnsi="Arial Narrow"/>
        </w:rPr>
        <w:t>Introduction</w:t>
      </w:r>
    </w:p>
    <w:p w14:paraId="23C80B35" w14:textId="4C62B69C" w:rsidR="00E24D7E" w:rsidRDefault="00E24D7E" w:rsidP="001B62F7">
      <w:pPr>
        <w:spacing w:after="0" w:line="240" w:lineRule="auto"/>
        <w:rPr>
          <w:rFonts w:ascii="Arial Narrow" w:hAnsi="Arial Narrow"/>
        </w:rPr>
      </w:pPr>
    </w:p>
    <w:p w14:paraId="02046E05" w14:textId="4BF96003" w:rsidR="00E24D7E" w:rsidRDefault="00E24D7E" w:rsidP="00E24D7E">
      <w:pPr>
        <w:spacing w:after="0" w:line="240" w:lineRule="auto"/>
        <w:rPr>
          <w:rFonts w:ascii="Arial Narrow" w:hAnsi="Arial Narrow"/>
        </w:rPr>
      </w:pPr>
      <w:r w:rsidRPr="00E24D7E">
        <w:rPr>
          <w:rFonts w:ascii="Arial Narrow" w:hAnsi="Arial Narrow"/>
        </w:rPr>
        <w:t>According to the definition proposed by UNCTAD (2012), NTMs are policy measures,</w:t>
      </w:r>
      <w:r>
        <w:rPr>
          <w:rFonts w:ascii="Arial Narrow" w:hAnsi="Arial Narrow"/>
        </w:rPr>
        <w:t xml:space="preserve"> </w:t>
      </w:r>
      <w:r w:rsidRPr="00E24D7E">
        <w:rPr>
          <w:rFonts w:ascii="Arial Narrow" w:hAnsi="Arial Narrow"/>
        </w:rPr>
        <w:t>other than ordinary customs tariffs, that may have economic effects on international</w:t>
      </w:r>
      <w:r>
        <w:rPr>
          <w:rFonts w:ascii="Arial Narrow" w:hAnsi="Arial Narrow"/>
        </w:rPr>
        <w:t xml:space="preserve"> </w:t>
      </w:r>
      <w:r w:rsidRPr="00E24D7E">
        <w:rPr>
          <w:rFonts w:ascii="Arial Narrow" w:hAnsi="Arial Narrow"/>
        </w:rPr>
        <w:t>trade of goods, changing traded quantities and/or prices. NTMs may also have</w:t>
      </w:r>
      <w:r>
        <w:rPr>
          <w:rFonts w:ascii="Arial Narrow" w:hAnsi="Arial Narrow"/>
        </w:rPr>
        <w:t xml:space="preserve"> </w:t>
      </w:r>
      <w:r w:rsidRPr="00E24D7E">
        <w:rPr>
          <w:rFonts w:ascii="Arial Narrow" w:hAnsi="Arial Narrow"/>
        </w:rPr>
        <w:t>a corrective role, by reducing asymmetric information (Technical Barriers to Trade,</w:t>
      </w:r>
      <w:r>
        <w:rPr>
          <w:rFonts w:ascii="Arial Narrow" w:hAnsi="Arial Narrow"/>
        </w:rPr>
        <w:t xml:space="preserve"> </w:t>
      </w:r>
      <w:r w:rsidRPr="00E24D7E">
        <w:rPr>
          <w:rFonts w:ascii="Arial Narrow" w:hAnsi="Arial Narrow"/>
        </w:rPr>
        <w:t>TBTs), mitigating risks in consumption, improving the sustainability of eco-systems</w:t>
      </w:r>
      <w:r>
        <w:rPr>
          <w:rFonts w:ascii="Arial Narrow" w:hAnsi="Arial Narrow"/>
        </w:rPr>
        <w:t xml:space="preserve"> </w:t>
      </w:r>
      <w:r w:rsidRPr="00E24D7E">
        <w:rPr>
          <w:rFonts w:ascii="Arial Narrow" w:hAnsi="Arial Narrow"/>
        </w:rPr>
        <w:t>(Sanitary and Phytosanitary Standards, SPSs), and influencing the competition and</w:t>
      </w:r>
      <w:r w:rsidR="0083176E">
        <w:rPr>
          <w:rFonts w:ascii="Arial Narrow" w:hAnsi="Arial Narrow"/>
        </w:rPr>
        <w:t xml:space="preserve"> </w:t>
      </w:r>
      <w:r w:rsidRPr="00E24D7E">
        <w:rPr>
          <w:rFonts w:ascii="Arial Narrow" w:hAnsi="Arial Narrow"/>
        </w:rPr>
        <w:t>the decision to import or export (non-technical NTMs).</w:t>
      </w:r>
    </w:p>
    <w:p w14:paraId="38E52E81" w14:textId="77777777" w:rsidR="000A0E28" w:rsidRDefault="000A0E28" w:rsidP="00E24D7E">
      <w:pPr>
        <w:spacing w:after="0" w:line="240" w:lineRule="auto"/>
        <w:rPr>
          <w:rFonts w:ascii="Arial Narrow" w:hAnsi="Arial Narrow"/>
        </w:rPr>
      </w:pPr>
    </w:p>
    <w:p w14:paraId="111F824A" w14:textId="00D6155F" w:rsidR="005B347F" w:rsidRDefault="005B347F" w:rsidP="001B62F7">
      <w:pPr>
        <w:spacing w:after="0" w:line="240" w:lineRule="auto"/>
        <w:rPr>
          <w:rFonts w:ascii="Arial Narrow" w:hAnsi="Arial Narrow"/>
        </w:rPr>
      </w:pPr>
    </w:p>
    <w:p w14:paraId="2FFE91BD" w14:textId="1A393FD2" w:rsidR="005B347F" w:rsidRDefault="005B347F" w:rsidP="005B347F">
      <w:pPr>
        <w:spacing w:after="0" w:line="240" w:lineRule="auto"/>
        <w:jc w:val="both"/>
        <w:rPr>
          <w:rFonts w:ascii="Arial Narrow" w:hAnsi="Arial Narrow"/>
          <w:sz w:val="24"/>
          <w:szCs w:val="24"/>
        </w:rPr>
      </w:pPr>
      <w:r w:rsidRPr="005B347F">
        <w:rPr>
          <w:rFonts w:ascii="Arial Narrow" w:hAnsi="Arial Narrow"/>
          <w:sz w:val="24"/>
          <w:szCs w:val="24"/>
        </w:rPr>
        <w:t xml:space="preserve">NTMs were started with non-trade objectives like protecting health and environment and looking beyond the objectives of NTBs which were only for trade restricting purposes. But in South Asia, the case is found different. Here, NTMs have turned into NTBs. It was found that post-SAFTA; member countries have not successfully reaped the benefits of trade due to emerging hidden trade barriers. Almost all the trading partners have witnessed trade barriers within the SAARC region. Exporting countries of South Asia are unable to meet the technical requirements of standards due to poor infrastructure, defective accreditation boards and testing and laboratory at the land custom check points, etc., Nepal and Bhutan have remained landlocked for long period of time due to no transit route for investment opportunities with the </w:t>
      </w:r>
      <w:proofErr w:type="spellStart"/>
      <w:r w:rsidRPr="005B347F">
        <w:rPr>
          <w:rFonts w:ascii="Arial Narrow" w:hAnsi="Arial Narrow"/>
          <w:sz w:val="24"/>
          <w:szCs w:val="24"/>
        </w:rPr>
        <w:t>neighbouring</w:t>
      </w:r>
      <w:proofErr w:type="spellEnd"/>
      <w:r w:rsidRPr="005B347F">
        <w:rPr>
          <w:rFonts w:ascii="Arial Narrow" w:hAnsi="Arial Narrow"/>
          <w:sz w:val="24"/>
          <w:szCs w:val="24"/>
        </w:rPr>
        <w:t xml:space="preserve"> countries. Removing NTMs from agriculture in South Asia is difficult because a large population is dependent on agriculture for employment. Lack of NTMs awareness is one of the major reasons behind trade restrictions. Thus, each country must be aware of different trade procedures and regulations of one another. Trading partners must aim to revamp the policies and regulations, identify, evaluate and eliminate NTMs for rapid growth. Sensitive products should be identified and extensively promoted for fast intra-regional trade in South Asia. Regional cooperation may be an important tool to bring productive </w:t>
      </w:r>
      <w:proofErr w:type="spellStart"/>
      <w:r w:rsidRPr="005B347F">
        <w:rPr>
          <w:rFonts w:ascii="Arial Narrow" w:hAnsi="Arial Narrow"/>
          <w:sz w:val="24"/>
          <w:szCs w:val="24"/>
        </w:rPr>
        <w:t>endeavours</w:t>
      </w:r>
      <w:proofErr w:type="spellEnd"/>
      <w:r w:rsidRPr="005B347F">
        <w:rPr>
          <w:rFonts w:ascii="Arial Narrow" w:hAnsi="Arial Narrow"/>
          <w:sz w:val="24"/>
          <w:szCs w:val="24"/>
        </w:rPr>
        <w:t xml:space="preserve"> and new dimensions. Mukherji (2015) suggested that countries like India, Pakistan and Afghanistan must try to seize the emerging trade opportunities through removing NTMs and ensuring that NTMs are used in a transparent manner otherwise NTMs may turn into </w:t>
      </w:r>
      <w:proofErr w:type="gramStart"/>
      <w:r w:rsidRPr="005B347F">
        <w:rPr>
          <w:rFonts w:ascii="Arial Narrow" w:hAnsi="Arial Narrow"/>
          <w:sz w:val="24"/>
          <w:szCs w:val="24"/>
        </w:rPr>
        <w:t>a</w:t>
      </w:r>
      <w:proofErr w:type="gramEnd"/>
      <w:r w:rsidRPr="005B347F">
        <w:rPr>
          <w:rFonts w:ascii="Arial Narrow" w:hAnsi="Arial Narrow"/>
          <w:sz w:val="24"/>
          <w:szCs w:val="24"/>
        </w:rPr>
        <w:t xml:space="preserve"> NTB. Based on our own findings and also by other authors cited above, the focus should be given to reduce NTMs, increase product competitiveness and diversification. Connectivity, collaborations, international standards and trade agreements must be developed to achieve high trade benefits within South Asia. To conclude, it was pointed out that although SAARC members had agreed to follow SAFTA but when it came to investing NTMs in </w:t>
      </w:r>
      <w:proofErr w:type="spellStart"/>
      <w:r w:rsidRPr="005B347F">
        <w:rPr>
          <w:rFonts w:ascii="Arial Narrow" w:hAnsi="Arial Narrow"/>
          <w:sz w:val="24"/>
          <w:szCs w:val="24"/>
        </w:rPr>
        <w:t>agri</w:t>
      </w:r>
      <w:proofErr w:type="spellEnd"/>
      <w:r w:rsidRPr="005B347F">
        <w:rPr>
          <w:rFonts w:ascii="Arial Narrow" w:hAnsi="Arial Narrow"/>
          <w:sz w:val="24"/>
          <w:szCs w:val="24"/>
        </w:rPr>
        <w:t xml:space="preserve">-trade, results gave a different picture. It is noteworthy to mention that the major objectives and commitments of SAFTA are yet to be achieved and import penetration within the members of South Asia is low. This article provides a concerted effort to show that </w:t>
      </w:r>
      <w:proofErr w:type="spellStart"/>
      <w:r w:rsidRPr="005B347F">
        <w:rPr>
          <w:rFonts w:ascii="Arial Narrow" w:hAnsi="Arial Narrow"/>
          <w:sz w:val="24"/>
          <w:szCs w:val="24"/>
        </w:rPr>
        <w:t>agri</w:t>
      </w:r>
      <w:proofErr w:type="spellEnd"/>
      <w:r w:rsidRPr="005B347F">
        <w:rPr>
          <w:rFonts w:ascii="Arial Narrow" w:hAnsi="Arial Narrow"/>
          <w:sz w:val="24"/>
          <w:szCs w:val="24"/>
        </w:rPr>
        <w:t xml:space="preserve">-trade between India and selected SAARC trading partners are poorly disseminated with low shares. Trade barriers are present within South Asia in spite of trade potential present in many </w:t>
      </w:r>
      <w:proofErr w:type="spellStart"/>
      <w:r w:rsidRPr="005B347F">
        <w:rPr>
          <w:rFonts w:ascii="Arial Narrow" w:hAnsi="Arial Narrow"/>
          <w:sz w:val="24"/>
          <w:szCs w:val="24"/>
        </w:rPr>
        <w:t>agro</w:t>
      </w:r>
      <w:proofErr w:type="spellEnd"/>
      <w:r w:rsidRPr="005B347F">
        <w:rPr>
          <w:rFonts w:ascii="Arial Narrow" w:hAnsi="Arial Narrow"/>
          <w:sz w:val="24"/>
          <w:szCs w:val="24"/>
        </w:rPr>
        <w:t xml:space="preserve">-products between India and rest SAEs (see Table 7). RTB index confirmed that low exports were present due to existing trade barriers (as evident from Tables 5 and 6). This was also supported by Tables 3 and 4. Study proves that post-SAFTA, NTMs have emerged as a key challenge and substantially reduced intra-regional </w:t>
      </w:r>
      <w:proofErr w:type="spellStart"/>
      <w:r w:rsidRPr="005B347F">
        <w:rPr>
          <w:rFonts w:ascii="Arial Narrow" w:hAnsi="Arial Narrow"/>
          <w:sz w:val="24"/>
          <w:szCs w:val="24"/>
        </w:rPr>
        <w:t>agri</w:t>
      </w:r>
      <w:proofErr w:type="spellEnd"/>
      <w:r w:rsidRPr="005B347F">
        <w:rPr>
          <w:rFonts w:ascii="Arial Narrow" w:hAnsi="Arial Narrow"/>
          <w:sz w:val="24"/>
          <w:szCs w:val="24"/>
        </w:rPr>
        <w:t xml:space="preserve">-trade in South Asia. Trade of wheat between India and SAARC countries was severely affected during 2002–2012. Export ban was one of the major reasons that India had put in 2007. Kumar and Bharti 17 Trade potential as well as RTB value for wheat between both the trading partners was also nil during the same period. NTMs are also extensively used by rest SAARC countries to restrict India’s </w:t>
      </w:r>
      <w:proofErr w:type="spellStart"/>
      <w:r w:rsidRPr="005B347F">
        <w:rPr>
          <w:rFonts w:ascii="Arial Narrow" w:hAnsi="Arial Narrow"/>
          <w:sz w:val="24"/>
          <w:szCs w:val="24"/>
        </w:rPr>
        <w:t>agri</w:t>
      </w:r>
      <w:proofErr w:type="spellEnd"/>
      <w:r w:rsidRPr="005B347F">
        <w:rPr>
          <w:rFonts w:ascii="Arial Narrow" w:hAnsi="Arial Narrow"/>
          <w:sz w:val="24"/>
          <w:szCs w:val="24"/>
        </w:rPr>
        <w:t xml:space="preserve">-trade (see Figure 1). On the other side, it was also revealed that India too restricted </w:t>
      </w:r>
      <w:proofErr w:type="spellStart"/>
      <w:r w:rsidRPr="005B347F">
        <w:rPr>
          <w:rFonts w:ascii="Arial Narrow" w:hAnsi="Arial Narrow"/>
          <w:sz w:val="24"/>
          <w:szCs w:val="24"/>
        </w:rPr>
        <w:t>agro</w:t>
      </w:r>
      <w:proofErr w:type="spellEnd"/>
      <w:r w:rsidRPr="005B347F">
        <w:rPr>
          <w:rFonts w:ascii="Arial Narrow" w:hAnsi="Arial Narrow"/>
          <w:sz w:val="24"/>
          <w:szCs w:val="24"/>
        </w:rPr>
        <w:t xml:space="preserve">-products of trading partners like Nepal and Pakistan (see Figures 2 and 3). CR of Sri Lanka as exporting country to India was found in very few products (see Figure 4). Thus, in spite of recent trade </w:t>
      </w:r>
      <w:proofErr w:type="spellStart"/>
      <w:r w:rsidRPr="005B347F">
        <w:rPr>
          <w:rFonts w:ascii="Arial Narrow" w:hAnsi="Arial Narrow"/>
          <w:sz w:val="24"/>
          <w:szCs w:val="24"/>
        </w:rPr>
        <w:t>liberalisation</w:t>
      </w:r>
      <w:proofErr w:type="spellEnd"/>
      <w:r w:rsidRPr="005B347F">
        <w:rPr>
          <w:rFonts w:ascii="Arial Narrow" w:hAnsi="Arial Narrow"/>
          <w:sz w:val="24"/>
          <w:szCs w:val="24"/>
        </w:rPr>
        <w:t xml:space="preserve">, high levels of protection and export pessimism is found in </w:t>
      </w:r>
      <w:proofErr w:type="spellStart"/>
      <w:r w:rsidRPr="005B347F">
        <w:rPr>
          <w:rFonts w:ascii="Arial Narrow" w:hAnsi="Arial Narrow"/>
          <w:sz w:val="24"/>
          <w:szCs w:val="24"/>
        </w:rPr>
        <w:t>agri</w:t>
      </w:r>
      <w:proofErr w:type="spellEnd"/>
      <w:r w:rsidRPr="005B347F">
        <w:rPr>
          <w:rFonts w:ascii="Arial Narrow" w:hAnsi="Arial Narrow"/>
          <w:sz w:val="24"/>
          <w:szCs w:val="24"/>
        </w:rPr>
        <w:t xml:space="preserve">-trade in South Asia and, therefore, further reduction is required in trade barriers. This study has </w:t>
      </w:r>
      <w:r w:rsidRPr="005B347F">
        <w:rPr>
          <w:rFonts w:ascii="Arial Narrow" w:hAnsi="Arial Narrow"/>
          <w:sz w:val="24"/>
          <w:szCs w:val="24"/>
        </w:rPr>
        <w:lastRenderedPageBreak/>
        <w:t>implications for policy architect and agricultural exporters of South Asia as it suggests ensuring transparency in NTMs in agriculture sector. Finally, a proper trade facilitation may also be framed for each South Asian country to reduce present trade impediments through simplifying, harmonizing and standardizing trade procedures. Pro-active initiatives by each country can bring more regional integration and future conformity amongst each other. This study provides a future scope for quantifying NTMs in South Asia in other sector by exploring repercussions with other methods</w:t>
      </w:r>
      <w:r w:rsidR="002602B8">
        <w:rPr>
          <w:rFonts w:ascii="Arial Narrow" w:hAnsi="Arial Narrow"/>
          <w:sz w:val="24"/>
          <w:szCs w:val="24"/>
        </w:rPr>
        <w:t xml:space="preserve"> </w:t>
      </w:r>
      <w:r w:rsidR="00E637D2">
        <w:rPr>
          <w:rFonts w:ascii="Arial Narrow" w:hAnsi="Arial Narrow"/>
          <w:sz w:val="24"/>
          <w:szCs w:val="24"/>
        </w:rPr>
        <w:t>[1]</w:t>
      </w:r>
      <w:r w:rsidRPr="005B347F">
        <w:rPr>
          <w:rFonts w:ascii="Arial Narrow" w:hAnsi="Arial Narrow"/>
          <w:sz w:val="24"/>
          <w:szCs w:val="24"/>
        </w:rPr>
        <w:t>.</w:t>
      </w:r>
    </w:p>
    <w:p w14:paraId="21520BD8" w14:textId="639D2BEB" w:rsidR="00E637D2" w:rsidRDefault="00E637D2" w:rsidP="005B347F">
      <w:pPr>
        <w:spacing w:after="0" w:line="240" w:lineRule="auto"/>
        <w:jc w:val="both"/>
        <w:rPr>
          <w:rFonts w:ascii="Arial Narrow" w:hAnsi="Arial Narrow"/>
          <w:sz w:val="24"/>
          <w:szCs w:val="24"/>
        </w:rPr>
      </w:pPr>
    </w:p>
    <w:p w14:paraId="1FAAB708" w14:textId="7B5303D1" w:rsidR="00E637D2" w:rsidRDefault="00E637D2" w:rsidP="00796467">
      <w:pPr>
        <w:spacing w:after="0" w:line="240" w:lineRule="auto"/>
        <w:jc w:val="both"/>
        <w:rPr>
          <w:rFonts w:ascii="Arial Narrow" w:hAnsi="Arial Narrow"/>
          <w:sz w:val="24"/>
          <w:szCs w:val="24"/>
        </w:rPr>
      </w:pPr>
      <w:r w:rsidRPr="00E637D2">
        <w:rPr>
          <w:rFonts w:ascii="Arial Narrow" w:hAnsi="Arial Narrow"/>
          <w:sz w:val="24"/>
          <w:szCs w:val="24"/>
        </w:rPr>
        <w:t>The study concentrates</w:t>
      </w:r>
      <w:r>
        <w:rPr>
          <w:rFonts w:ascii="Arial Narrow" w:hAnsi="Arial Narrow"/>
          <w:sz w:val="24"/>
          <w:szCs w:val="24"/>
        </w:rPr>
        <w:t xml:space="preserve"> </w:t>
      </w:r>
      <w:r w:rsidRPr="00E637D2">
        <w:rPr>
          <w:rFonts w:ascii="Arial Narrow" w:hAnsi="Arial Narrow"/>
          <w:sz w:val="24"/>
          <w:szCs w:val="24"/>
        </w:rPr>
        <w:t>on measures relating to sanitary and phytosanitary standards (SPS) and technical barriers to trade (TBT), because these account for a majority of the nontariff barriers in</w:t>
      </w:r>
      <w:r>
        <w:rPr>
          <w:rFonts w:ascii="Arial Narrow" w:hAnsi="Arial Narrow"/>
          <w:sz w:val="24"/>
          <w:szCs w:val="24"/>
        </w:rPr>
        <w:t xml:space="preserve"> </w:t>
      </w:r>
      <w:r w:rsidRPr="00E637D2">
        <w:rPr>
          <w:rFonts w:ascii="Arial Narrow" w:hAnsi="Arial Narrow"/>
          <w:sz w:val="24"/>
          <w:szCs w:val="24"/>
        </w:rPr>
        <w:t>South Asia</w:t>
      </w:r>
      <w:r w:rsidR="00631F40">
        <w:rPr>
          <w:rFonts w:ascii="Arial Narrow" w:hAnsi="Arial Narrow"/>
          <w:sz w:val="24"/>
          <w:szCs w:val="24"/>
        </w:rPr>
        <w:t xml:space="preserve">. </w:t>
      </w:r>
      <w:r w:rsidR="00631F40" w:rsidRPr="00631F40">
        <w:rPr>
          <w:rFonts w:ascii="Arial Narrow" w:hAnsi="Arial Narrow"/>
          <w:sz w:val="24"/>
          <w:szCs w:val="24"/>
        </w:rPr>
        <w:t>In South Asia, much of the concern centers around SPS and TBT measures. According</w:t>
      </w:r>
      <w:r w:rsidR="00631F40">
        <w:rPr>
          <w:rFonts w:ascii="Arial Narrow" w:hAnsi="Arial Narrow"/>
          <w:sz w:val="24"/>
          <w:szCs w:val="24"/>
        </w:rPr>
        <w:t xml:space="preserve"> </w:t>
      </w:r>
      <w:r w:rsidR="00631F40" w:rsidRPr="00631F40">
        <w:rPr>
          <w:rFonts w:ascii="Arial Narrow" w:hAnsi="Arial Narrow"/>
          <w:sz w:val="24"/>
          <w:szCs w:val="24"/>
        </w:rPr>
        <w:t>to one study, SPS and TBT measures account for 85 percent of all nontariff barriers in</w:t>
      </w:r>
      <w:r w:rsidR="00631F40">
        <w:rPr>
          <w:rFonts w:ascii="Arial Narrow" w:hAnsi="Arial Narrow"/>
          <w:sz w:val="24"/>
          <w:szCs w:val="24"/>
        </w:rPr>
        <w:t xml:space="preserve"> </w:t>
      </w:r>
      <w:r w:rsidR="00631F40" w:rsidRPr="00631F40">
        <w:rPr>
          <w:rFonts w:ascii="Arial Narrow" w:hAnsi="Arial Narrow"/>
          <w:sz w:val="24"/>
          <w:szCs w:val="24"/>
        </w:rPr>
        <w:t>South Asia (ADB and UNCTAD 2008)</w:t>
      </w:r>
      <w:proofErr w:type="gramStart"/>
      <w:r w:rsidR="00631F40" w:rsidRPr="00631F40">
        <w:rPr>
          <w:rFonts w:ascii="Arial Narrow" w:hAnsi="Arial Narrow"/>
          <w:sz w:val="24"/>
          <w:szCs w:val="24"/>
        </w:rPr>
        <w:t>.</w:t>
      </w:r>
      <w:r w:rsidR="00796467">
        <w:rPr>
          <w:rFonts w:ascii="Arial Narrow" w:hAnsi="Arial Narrow"/>
          <w:sz w:val="24"/>
          <w:szCs w:val="24"/>
        </w:rPr>
        <w:t xml:space="preserve"> </w:t>
      </w:r>
      <w:r w:rsidR="00796467" w:rsidRPr="00796467">
        <w:rPr>
          <w:rFonts w:ascii="Arial Narrow" w:hAnsi="Arial Narrow"/>
          <w:sz w:val="24"/>
          <w:szCs w:val="24"/>
        </w:rPr>
        <w:t>,</w:t>
      </w:r>
      <w:proofErr w:type="gramEnd"/>
      <w:r w:rsidR="00796467" w:rsidRPr="00796467">
        <w:rPr>
          <w:rFonts w:ascii="Arial Narrow" w:hAnsi="Arial Narrow"/>
          <w:sz w:val="24"/>
          <w:szCs w:val="24"/>
        </w:rPr>
        <w:t xml:space="preserve"> the study is more narrowly focused on two major import-related NTMs, that is,</w:t>
      </w:r>
      <w:r w:rsidR="00796467">
        <w:rPr>
          <w:rFonts w:ascii="Arial Narrow" w:hAnsi="Arial Narrow"/>
          <w:sz w:val="24"/>
          <w:szCs w:val="24"/>
        </w:rPr>
        <w:t xml:space="preserve"> </w:t>
      </w:r>
      <w:r w:rsidR="00796467" w:rsidRPr="00796467">
        <w:rPr>
          <w:rFonts w:ascii="Arial Narrow" w:hAnsi="Arial Narrow"/>
          <w:sz w:val="24"/>
          <w:szCs w:val="24"/>
        </w:rPr>
        <w:t>SPS and TBT measures, that have been an important concern in regional trade</w:t>
      </w:r>
      <w:r>
        <w:rPr>
          <w:rFonts w:ascii="Arial Narrow" w:hAnsi="Arial Narrow"/>
          <w:sz w:val="24"/>
          <w:szCs w:val="24"/>
        </w:rPr>
        <w:t xml:space="preserve"> [2]. </w:t>
      </w:r>
    </w:p>
    <w:p w14:paraId="7F80112E" w14:textId="07C0DBEA" w:rsidR="00796467" w:rsidRDefault="00796467" w:rsidP="00796467">
      <w:pPr>
        <w:spacing w:after="0" w:line="240" w:lineRule="auto"/>
        <w:jc w:val="both"/>
        <w:rPr>
          <w:rFonts w:ascii="Arial Narrow" w:hAnsi="Arial Narrow"/>
          <w:sz w:val="24"/>
          <w:szCs w:val="24"/>
        </w:rPr>
      </w:pPr>
    </w:p>
    <w:p w14:paraId="0CC142A1" w14:textId="03484A15" w:rsidR="00796467" w:rsidRDefault="00796467" w:rsidP="00796467">
      <w:pPr>
        <w:spacing w:after="0" w:line="240" w:lineRule="auto"/>
        <w:jc w:val="both"/>
        <w:rPr>
          <w:rFonts w:ascii="Arial Narrow" w:hAnsi="Arial Narrow"/>
          <w:sz w:val="24"/>
          <w:szCs w:val="24"/>
        </w:rPr>
      </w:pPr>
      <w:r w:rsidRPr="00796467">
        <w:rPr>
          <w:rFonts w:ascii="Arial Narrow" w:hAnsi="Arial Narrow"/>
          <w:sz w:val="24"/>
          <w:szCs w:val="24"/>
        </w:rPr>
        <w:t>SPS measures have six categories of TRs and one category of CAMs. TRs include prohibitions or restrictions on imports for SPS reasons; tolerance limits for residues and restricted use of substances to ensure food safety; hygiene requirements; treatment to eliminate pests and disease-causing organisms; other requirements on production or postproduction processes; and requirements for packaging, marking, and labeling</w:t>
      </w:r>
      <w:r>
        <w:rPr>
          <w:rFonts w:ascii="Arial Narrow" w:hAnsi="Arial Narrow"/>
          <w:sz w:val="24"/>
          <w:szCs w:val="24"/>
        </w:rPr>
        <w:t xml:space="preserve"> [2].</w:t>
      </w:r>
    </w:p>
    <w:p w14:paraId="074EBF3B" w14:textId="730AE55E" w:rsidR="00796467" w:rsidRDefault="00796467" w:rsidP="00796467">
      <w:pPr>
        <w:spacing w:after="0" w:line="240" w:lineRule="auto"/>
        <w:jc w:val="both"/>
        <w:rPr>
          <w:rFonts w:ascii="Arial Narrow" w:hAnsi="Arial Narrow"/>
          <w:sz w:val="24"/>
          <w:szCs w:val="24"/>
        </w:rPr>
      </w:pPr>
    </w:p>
    <w:p w14:paraId="040E3B0F" w14:textId="24E051BC" w:rsidR="00796467" w:rsidRDefault="00796467" w:rsidP="00796467">
      <w:pPr>
        <w:spacing w:after="0" w:line="240" w:lineRule="auto"/>
        <w:jc w:val="both"/>
        <w:rPr>
          <w:rFonts w:ascii="Arial Narrow" w:hAnsi="Arial Narrow"/>
          <w:sz w:val="24"/>
          <w:szCs w:val="24"/>
        </w:rPr>
      </w:pPr>
      <w:r w:rsidRPr="00796467">
        <w:rPr>
          <w:rFonts w:ascii="Arial Narrow" w:hAnsi="Arial Narrow"/>
          <w:sz w:val="24"/>
          <w:szCs w:val="24"/>
        </w:rPr>
        <w:t>TBT measures include TRs related to the prohibition or restriction of imports for TBT reasons; tolerance limits for substances; production or postproduction requirements; product identity requirements; product quality or performance requirements; and requirements for labeling, packaging, and marking [2].</w:t>
      </w:r>
    </w:p>
    <w:p w14:paraId="4CAC4F2B" w14:textId="09661577" w:rsidR="003F3C20" w:rsidRDefault="003F3C20" w:rsidP="00796467">
      <w:pPr>
        <w:spacing w:after="0" w:line="240" w:lineRule="auto"/>
        <w:jc w:val="both"/>
        <w:rPr>
          <w:rFonts w:ascii="Arial Narrow" w:hAnsi="Arial Narrow"/>
          <w:sz w:val="24"/>
          <w:szCs w:val="24"/>
        </w:rPr>
      </w:pPr>
    </w:p>
    <w:p w14:paraId="2C523ED6" w14:textId="17DB579A" w:rsidR="003F3C20" w:rsidRDefault="003F3C20" w:rsidP="00796467">
      <w:pPr>
        <w:spacing w:after="0" w:line="240" w:lineRule="auto"/>
        <w:jc w:val="both"/>
        <w:rPr>
          <w:rFonts w:ascii="Arial Narrow" w:hAnsi="Arial Narrow"/>
          <w:sz w:val="24"/>
          <w:szCs w:val="24"/>
        </w:rPr>
      </w:pPr>
      <w:r>
        <w:rPr>
          <w:rFonts w:ascii="Arial Narrow" w:hAnsi="Arial Narrow"/>
          <w:sz w:val="24"/>
          <w:szCs w:val="24"/>
        </w:rPr>
        <w:t>---------------------</w:t>
      </w:r>
    </w:p>
    <w:p w14:paraId="54BC7EBE" w14:textId="3871F45B" w:rsidR="003F3C20" w:rsidRDefault="003F3C20" w:rsidP="00796467">
      <w:pPr>
        <w:spacing w:after="0" w:line="240" w:lineRule="auto"/>
        <w:jc w:val="both"/>
        <w:rPr>
          <w:rFonts w:ascii="Arial Narrow" w:hAnsi="Arial Narrow"/>
          <w:sz w:val="24"/>
          <w:szCs w:val="24"/>
        </w:rPr>
      </w:pPr>
    </w:p>
    <w:p w14:paraId="06B81E5B" w14:textId="25376833" w:rsidR="003F3C20" w:rsidRDefault="003F3C20" w:rsidP="00796467">
      <w:pPr>
        <w:spacing w:after="0" w:line="240" w:lineRule="auto"/>
        <w:jc w:val="both"/>
        <w:rPr>
          <w:rFonts w:ascii="Arial Narrow" w:hAnsi="Arial Narrow"/>
          <w:sz w:val="24"/>
          <w:szCs w:val="24"/>
        </w:rPr>
      </w:pPr>
      <w:r>
        <w:rPr>
          <w:rFonts w:ascii="Arial Narrow" w:hAnsi="Arial Narrow"/>
          <w:sz w:val="24"/>
          <w:szCs w:val="24"/>
        </w:rPr>
        <w:t>Literature Review</w:t>
      </w:r>
    </w:p>
    <w:p w14:paraId="59A52B2B" w14:textId="3075E4C4" w:rsidR="003F3C20" w:rsidRDefault="003F3C20" w:rsidP="00796467">
      <w:pPr>
        <w:spacing w:after="0" w:line="240" w:lineRule="auto"/>
        <w:jc w:val="both"/>
        <w:rPr>
          <w:rFonts w:ascii="Arial Narrow" w:hAnsi="Arial Narrow"/>
          <w:sz w:val="24"/>
          <w:szCs w:val="24"/>
        </w:rPr>
      </w:pPr>
    </w:p>
    <w:p w14:paraId="35D60C5E" w14:textId="59A7CCBC" w:rsidR="003F3C20" w:rsidRPr="00C10BF7" w:rsidRDefault="00FD5C37" w:rsidP="00796467">
      <w:pPr>
        <w:spacing w:after="0" w:line="240" w:lineRule="auto"/>
        <w:jc w:val="both"/>
        <w:rPr>
          <w:rFonts w:ascii="Arial Narrow" w:hAnsi="Arial Narrow"/>
          <w:b/>
          <w:bCs/>
          <w:sz w:val="24"/>
          <w:szCs w:val="24"/>
        </w:rPr>
      </w:pPr>
      <w:r w:rsidRPr="00C10BF7">
        <w:rPr>
          <w:rFonts w:ascii="Arial Narrow" w:hAnsi="Arial Narrow"/>
          <w:b/>
          <w:bCs/>
          <w:sz w:val="24"/>
          <w:szCs w:val="24"/>
        </w:rPr>
        <w:t>Trade protection and the role of non</w:t>
      </w:r>
      <w:r w:rsidRPr="00C10BF7">
        <w:rPr>
          <w:rFonts w:ascii="Cambria Math" w:hAnsi="Cambria Math" w:cs="Cambria Math"/>
          <w:b/>
          <w:bCs/>
          <w:sz w:val="24"/>
          <w:szCs w:val="24"/>
        </w:rPr>
        <w:t>‑</w:t>
      </w:r>
      <w:r w:rsidRPr="00C10BF7">
        <w:rPr>
          <w:rFonts w:ascii="Arial Narrow" w:hAnsi="Arial Narrow"/>
          <w:b/>
          <w:bCs/>
          <w:sz w:val="24"/>
          <w:szCs w:val="24"/>
        </w:rPr>
        <w:t>tariff barriers</w:t>
      </w:r>
      <w:r w:rsidR="000879A4" w:rsidRPr="00C10BF7">
        <w:rPr>
          <w:rFonts w:ascii="Arial Narrow" w:hAnsi="Arial Narrow"/>
          <w:b/>
          <w:bCs/>
          <w:sz w:val="24"/>
          <w:szCs w:val="24"/>
        </w:rPr>
        <w:t xml:space="preserve"> [3]</w:t>
      </w:r>
    </w:p>
    <w:p w14:paraId="15663445" w14:textId="0CF00B18" w:rsidR="000879A4" w:rsidRDefault="000879A4" w:rsidP="00796467">
      <w:pPr>
        <w:spacing w:after="0" w:line="240" w:lineRule="auto"/>
        <w:jc w:val="both"/>
        <w:rPr>
          <w:rFonts w:ascii="Arial Narrow" w:hAnsi="Arial Narrow"/>
          <w:sz w:val="24"/>
          <w:szCs w:val="24"/>
        </w:rPr>
      </w:pPr>
    </w:p>
    <w:p w14:paraId="6FE64AE4" w14:textId="35AF313E" w:rsidR="000879A4" w:rsidRDefault="000879A4" w:rsidP="000879A4">
      <w:pPr>
        <w:spacing w:after="0" w:line="240" w:lineRule="auto"/>
        <w:jc w:val="both"/>
        <w:rPr>
          <w:rFonts w:ascii="Arial Narrow" w:hAnsi="Arial Narrow"/>
          <w:sz w:val="24"/>
          <w:szCs w:val="24"/>
        </w:rPr>
      </w:pPr>
      <w:r w:rsidRPr="000879A4">
        <w:rPr>
          <w:rFonts w:ascii="Arial Narrow" w:hAnsi="Arial Narrow"/>
          <w:sz w:val="24"/>
          <w:szCs w:val="24"/>
        </w:rPr>
        <w:t>A growing share of modern trade policy instruments is shaped by non-tariff barriers</w:t>
      </w:r>
      <w:r>
        <w:rPr>
          <w:rFonts w:ascii="Arial Narrow" w:hAnsi="Arial Narrow"/>
          <w:sz w:val="24"/>
          <w:szCs w:val="24"/>
        </w:rPr>
        <w:t xml:space="preserve"> </w:t>
      </w:r>
      <w:r w:rsidRPr="000879A4">
        <w:rPr>
          <w:rFonts w:ascii="Arial Narrow" w:hAnsi="Arial Narrow"/>
          <w:sz w:val="24"/>
          <w:szCs w:val="24"/>
        </w:rPr>
        <w:t>(NTBs).</w:t>
      </w:r>
    </w:p>
    <w:p w14:paraId="1D00F795" w14:textId="4926E3B9" w:rsidR="000879A4" w:rsidRDefault="000879A4" w:rsidP="000879A4">
      <w:pPr>
        <w:spacing w:after="0" w:line="240" w:lineRule="auto"/>
        <w:jc w:val="both"/>
        <w:rPr>
          <w:rFonts w:ascii="Arial Narrow" w:hAnsi="Arial Narrow"/>
          <w:sz w:val="24"/>
          <w:szCs w:val="24"/>
        </w:rPr>
      </w:pPr>
    </w:p>
    <w:p w14:paraId="73FB0CD1" w14:textId="18D4399B" w:rsidR="000879A4" w:rsidRDefault="000879A4" w:rsidP="000879A4">
      <w:pPr>
        <w:spacing w:after="0" w:line="240" w:lineRule="auto"/>
        <w:jc w:val="both"/>
        <w:rPr>
          <w:rFonts w:ascii="Arial Narrow" w:hAnsi="Arial Narrow"/>
          <w:sz w:val="24"/>
          <w:szCs w:val="24"/>
        </w:rPr>
      </w:pPr>
      <w:r w:rsidRPr="000879A4">
        <w:rPr>
          <w:rFonts w:ascii="Arial Narrow" w:hAnsi="Arial Narrow"/>
          <w:sz w:val="24"/>
          <w:szCs w:val="24"/>
        </w:rPr>
        <w:t>Different types of NTBs affect</w:t>
      </w:r>
      <w:r>
        <w:rPr>
          <w:rFonts w:ascii="Arial Narrow" w:hAnsi="Arial Narrow"/>
          <w:sz w:val="24"/>
          <w:szCs w:val="24"/>
        </w:rPr>
        <w:t xml:space="preserve"> </w:t>
      </w:r>
      <w:r w:rsidRPr="000879A4">
        <w:rPr>
          <w:rFonts w:ascii="Arial Narrow" w:hAnsi="Arial Narrow"/>
          <w:sz w:val="24"/>
          <w:szCs w:val="24"/>
        </w:rPr>
        <w:t>trade to a different extent.</w:t>
      </w:r>
    </w:p>
    <w:p w14:paraId="20B2BA20" w14:textId="039B3269" w:rsidR="000879A4" w:rsidRDefault="000879A4" w:rsidP="000879A4">
      <w:pPr>
        <w:spacing w:after="0" w:line="240" w:lineRule="auto"/>
        <w:jc w:val="both"/>
        <w:rPr>
          <w:rFonts w:ascii="Arial Narrow" w:hAnsi="Arial Narrow"/>
          <w:sz w:val="24"/>
          <w:szCs w:val="24"/>
        </w:rPr>
      </w:pPr>
    </w:p>
    <w:p w14:paraId="7118797F" w14:textId="284A0146" w:rsidR="000879A4" w:rsidRPr="000879A4" w:rsidRDefault="000879A4" w:rsidP="000879A4">
      <w:pPr>
        <w:spacing w:after="0" w:line="240" w:lineRule="auto"/>
        <w:jc w:val="both"/>
        <w:rPr>
          <w:rFonts w:ascii="Arial Narrow" w:hAnsi="Arial Narrow"/>
          <w:sz w:val="24"/>
          <w:szCs w:val="24"/>
        </w:rPr>
      </w:pPr>
      <w:r w:rsidRPr="000879A4">
        <w:rPr>
          <w:rFonts w:ascii="Arial Narrow" w:hAnsi="Arial Narrow"/>
          <w:sz w:val="24"/>
          <w:szCs w:val="24"/>
        </w:rPr>
        <w:t xml:space="preserve">According to </w:t>
      </w:r>
      <w:proofErr w:type="spellStart"/>
      <w:r w:rsidRPr="000879A4">
        <w:rPr>
          <w:rFonts w:ascii="Arial Narrow" w:hAnsi="Arial Narrow"/>
          <w:sz w:val="24"/>
          <w:szCs w:val="24"/>
        </w:rPr>
        <w:t>Niu</w:t>
      </w:r>
      <w:proofErr w:type="spellEnd"/>
      <w:r>
        <w:rPr>
          <w:rFonts w:ascii="Arial Narrow" w:hAnsi="Arial Narrow"/>
          <w:sz w:val="24"/>
          <w:szCs w:val="24"/>
        </w:rPr>
        <w:t xml:space="preserve"> </w:t>
      </w:r>
      <w:r w:rsidRPr="000879A4">
        <w:rPr>
          <w:rFonts w:ascii="Arial Narrow" w:hAnsi="Arial Narrow"/>
          <w:sz w:val="24"/>
          <w:szCs w:val="24"/>
        </w:rPr>
        <w:t>et al. (2017), even though tariffs have generally fallen between 1997 and 2015, the</w:t>
      </w:r>
    </w:p>
    <w:p w14:paraId="73E99AA1" w14:textId="69AD12D6" w:rsidR="000879A4" w:rsidRDefault="000879A4" w:rsidP="000879A4">
      <w:pPr>
        <w:spacing w:after="0" w:line="240" w:lineRule="auto"/>
        <w:jc w:val="both"/>
        <w:rPr>
          <w:rFonts w:ascii="Arial Narrow" w:hAnsi="Arial Narrow"/>
          <w:sz w:val="24"/>
          <w:szCs w:val="24"/>
        </w:rPr>
      </w:pPr>
      <w:r w:rsidRPr="000879A4">
        <w:rPr>
          <w:rFonts w:ascii="Arial Narrow" w:hAnsi="Arial Narrow"/>
          <w:sz w:val="24"/>
          <w:szCs w:val="24"/>
        </w:rPr>
        <w:t>increase in the use of NTBs has meant that the overall level of protection for countries</w:t>
      </w:r>
      <w:r>
        <w:rPr>
          <w:rFonts w:ascii="Arial Narrow" w:hAnsi="Arial Narrow"/>
          <w:sz w:val="24"/>
          <w:szCs w:val="24"/>
        </w:rPr>
        <w:t xml:space="preserve"> </w:t>
      </w:r>
      <w:r w:rsidRPr="000879A4">
        <w:rPr>
          <w:rFonts w:ascii="Arial Narrow" w:hAnsi="Arial Narrow"/>
          <w:sz w:val="24"/>
          <w:szCs w:val="24"/>
        </w:rPr>
        <w:t xml:space="preserve">and products has not decreased. </w:t>
      </w:r>
      <w:proofErr w:type="spellStart"/>
      <w:r w:rsidRPr="000879A4">
        <w:rPr>
          <w:rFonts w:ascii="Arial Narrow" w:hAnsi="Arial Narrow"/>
          <w:sz w:val="24"/>
          <w:szCs w:val="24"/>
        </w:rPr>
        <w:t>Hoekman</w:t>
      </w:r>
      <w:proofErr w:type="spellEnd"/>
      <w:r w:rsidRPr="000879A4">
        <w:rPr>
          <w:rFonts w:ascii="Arial Narrow" w:hAnsi="Arial Narrow"/>
          <w:sz w:val="24"/>
          <w:szCs w:val="24"/>
        </w:rPr>
        <w:t xml:space="preserve"> and </w:t>
      </w:r>
      <w:proofErr w:type="spellStart"/>
      <w:r w:rsidRPr="000879A4">
        <w:rPr>
          <w:rFonts w:ascii="Arial Narrow" w:hAnsi="Arial Narrow"/>
          <w:sz w:val="24"/>
          <w:szCs w:val="24"/>
        </w:rPr>
        <w:t>Nicita</w:t>
      </w:r>
      <w:proofErr w:type="spellEnd"/>
      <w:r w:rsidRPr="000879A4">
        <w:rPr>
          <w:rFonts w:ascii="Arial Narrow" w:hAnsi="Arial Narrow"/>
          <w:sz w:val="24"/>
          <w:szCs w:val="24"/>
        </w:rPr>
        <w:t xml:space="preserve"> (2011) find that on average</w:t>
      </w:r>
      <w:r>
        <w:rPr>
          <w:rFonts w:ascii="Arial Narrow" w:hAnsi="Arial Narrow"/>
          <w:sz w:val="24"/>
          <w:szCs w:val="24"/>
        </w:rPr>
        <w:t xml:space="preserve"> </w:t>
      </w:r>
      <w:r w:rsidRPr="000879A4">
        <w:rPr>
          <w:rFonts w:ascii="Arial Narrow" w:hAnsi="Arial Narrow"/>
          <w:sz w:val="24"/>
          <w:szCs w:val="24"/>
        </w:rPr>
        <w:t>trade decreases more strongly if NTBs are implemented rather than tariffs.</w:t>
      </w:r>
    </w:p>
    <w:p w14:paraId="2FB87F79" w14:textId="53FF15BB" w:rsidR="006D7024" w:rsidRDefault="006D7024" w:rsidP="000879A4">
      <w:pPr>
        <w:spacing w:after="0" w:line="240" w:lineRule="auto"/>
        <w:jc w:val="both"/>
        <w:rPr>
          <w:rFonts w:ascii="Arial Narrow" w:hAnsi="Arial Narrow"/>
          <w:sz w:val="24"/>
          <w:szCs w:val="24"/>
        </w:rPr>
      </w:pPr>
    </w:p>
    <w:p w14:paraId="7BF1796D" w14:textId="618782B3" w:rsidR="006D7024" w:rsidRDefault="006D7024" w:rsidP="006D7024">
      <w:pPr>
        <w:spacing w:after="0" w:line="240" w:lineRule="auto"/>
        <w:jc w:val="both"/>
        <w:rPr>
          <w:rFonts w:ascii="Arial Narrow" w:hAnsi="Arial Narrow"/>
          <w:sz w:val="24"/>
          <w:szCs w:val="24"/>
        </w:rPr>
      </w:pPr>
      <w:r w:rsidRPr="006D7024">
        <w:rPr>
          <w:rFonts w:ascii="Arial Narrow" w:hAnsi="Arial Narrow"/>
          <w:sz w:val="24"/>
          <w:szCs w:val="24"/>
        </w:rPr>
        <w:t>With regard to the studies examining the effects of specific types of NTBs, a large</w:t>
      </w:r>
      <w:r>
        <w:rPr>
          <w:rFonts w:ascii="Arial Narrow" w:hAnsi="Arial Narrow"/>
          <w:sz w:val="24"/>
          <w:szCs w:val="24"/>
        </w:rPr>
        <w:t xml:space="preserve"> </w:t>
      </w:r>
      <w:r w:rsidRPr="006D7024">
        <w:rPr>
          <w:rFonts w:ascii="Arial Narrow" w:hAnsi="Arial Narrow"/>
          <w:sz w:val="24"/>
          <w:szCs w:val="24"/>
        </w:rPr>
        <w:t>strand of literature investigates the effects of TBT as well as SPS on trade.</w:t>
      </w:r>
      <w:r w:rsidR="00E24F02">
        <w:rPr>
          <w:rFonts w:ascii="Arial Narrow" w:hAnsi="Arial Narrow"/>
          <w:sz w:val="24"/>
          <w:szCs w:val="24"/>
        </w:rPr>
        <w:t xml:space="preserve"> </w:t>
      </w:r>
      <w:proofErr w:type="spellStart"/>
      <w:r w:rsidRPr="006D7024">
        <w:rPr>
          <w:rFonts w:ascii="Arial Narrow" w:hAnsi="Arial Narrow"/>
          <w:sz w:val="24"/>
          <w:szCs w:val="24"/>
        </w:rPr>
        <w:t>Crivelli</w:t>
      </w:r>
      <w:proofErr w:type="spellEnd"/>
      <w:r w:rsidR="00E24F02">
        <w:rPr>
          <w:rFonts w:ascii="Arial Narrow" w:hAnsi="Arial Narrow"/>
          <w:sz w:val="24"/>
          <w:szCs w:val="24"/>
        </w:rPr>
        <w:t xml:space="preserve"> </w:t>
      </w:r>
      <w:r w:rsidRPr="006D7024">
        <w:rPr>
          <w:rFonts w:ascii="Arial Narrow" w:hAnsi="Arial Narrow"/>
          <w:sz w:val="24"/>
          <w:szCs w:val="24"/>
        </w:rPr>
        <w:t xml:space="preserve">and </w:t>
      </w:r>
      <w:proofErr w:type="spellStart"/>
      <w:r w:rsidRPr="006D7024">
        <w:rPr>
          <w:rFonts w:ascii="Arial Narrow" w:hAnsi="Arial Narrow"/>
          <w:sz w:val="24"/>
          <w:szCs w:val="24"/>
        </w:rPr>
        <w:t>Gröschl</w:t>
      </w:r>
      <w:proofErr w:type="spellEnd"/>
      <w:r w:rsidRPr="006D7024">
        <w:rPr>
          <w:rFonts w:ascii="Arial Narrow" w:hAnsi="Arial Narrow"/>
          <w:sz w:val="24"/>
          <w:szCs w:val="24"/>
        </w:rPr>
        <w:t xml:space="preserve"> (2016) use a gravity model in order to investigate the intensive as well</w:t>
      </w:r>
      <w:r>
        <w:rPr>
          <w:rFonts w:ascii="Arial Narrow" w:hAnsi="Arial Narrow"/>
          <w:sz w:val="24"/>
          <w:szCs w:val="24"/>
        </w:rPr>
        <w:t xml:space="preserve"> </w:t>
      </w:r>
      <w:r w:rsidRPr="006D7024">
        <w:rPr>
          <w:rFonts w:ascii="Arial Narrow" w:hAnsi="Arial Narrow"/>
          <w:sz w:val="24"/>
          <w:szCs w:val="24"/>
        </w:rPr>
        <w:t>as extensive margin effects of SPS on agricultural and food trade. They find that</w:t>
      </w:r>
      <w:r>
        <w:rPr>
          <w:rFonts w:ascii="Arial Narrow" w:hAnsi="Arial Narrow"/>
          <w:sz w:val="24"/>
          <w:szCs w:val="24"/>
        </w:rPr>
        <w:t xml:space="preserve"> </w:t>
      </w:r>
      <w:r w:rsidRPr="006D7024">
        <w:rPr>
          <w:rFonts w:ascii="Arial Narrow" w:hAnsi="Arial Narrow"/>
          <w:sz w:val="24"/>
          <w:szCs w:val="24"/>
        </w:rPr>
        <w:t>SPS reduce the probability of exporting to a protected market but increase exports</w:t>
      </w:r>
      <w:r>
        <w:rPr>
          <w:rFonts w:ascii="Arial Narrow" w:hAnsi="Arial Narrow"/>
          <w:sz w:val="24"/>
          <w:szCs w:val="24"/>
        </w:rPr>
        <w:t xml:space="preserve"> </w:t>
      </w:r>
      <w:r w:rsidRPr="006D7024">
        <w:rPr>
          <w:rFonts w:ascii="Arial Narrow" w:hAnsi="Arial Narrow"/>
          <w:sz w:val="24"/>
          <w:szCs w:val="24"/>
        </w:rPr>
        <w:t xml:space="preserve">of incumbents, indicating that they serve as a barrier to market entry. </w:t>
      </w:r>
    </w:p>
    <w:p w14:paraId="26ADFB2C" w14:textId="7B89A145" w:rsidR="004B46C6" w:rsidRDefault="004B46C6" w:rsidP="006D7024">
      <w:pPr>
        <w:spacing w:after="0" w:line="240" w:lineRule="auto"/>
        <w:jc w:val="both"/>
        <w:rPr>
          <w:rFonts w:ascii="Arial Narrow" w:hAnsi="Arial Narrow"/>
          <w:sz w:val="24"/>
          <w:szCs w:val="24"/>
        </w:rPr>
      </w:pPr>
    </w:p>
    <w:p w14:paraId="69FCCF8C" w14:textId="2F4F35A9" w:rsidR="004B46C6" w:rsidRDefault="004B46C6" w:rsidP="004B46C6">
      <w:pPr>
        <w:spacing w:after="0" w:line="240" w:lineRule="auto"/>
        <w:jc w:val="both"/>
        <w:rPr>
          <w:rFonts w:ascii="Arial Narrow" w:hAnsi="Arial Narrow"/>
          <w:sz w:val="24"/>
          <w:szCs w:val="24"/>
        </w:rPr>
      </w:pPr>
      <w:proofErr w:type="spellStart"/>
      <w:r w:rsidRPr="004B46C6">
        <w:rPr>
          <w:rFonts w:ascii="Arial Narrow" w:hAnsi="Arial Narrow"/>
          <w:sz w:val="24"/>
          <w:szCs w:val="24"/>
        </w:rPr>
        <w:t>Ghodsi</w:t>
      </w:r>
      <w:proofErr w:type="spellEnd"/>
      <w:r w:rsidRPr="004B46C6">
        <w:rPr>
          <w:rFonts w:ascii="Arial Narrow" w:hAnsi="Arial Narrow"/>
          <w:sz w:val="24"/>
          <w:szCs w:val="24"/>
        </w:rPr>
        <w:t xml:space="preserve"> et al. (2017) study different types of NTBs. Covering the period from</w:t>
      </w:r>
      <w:r>
        <w:rPr>
          <w:rFonts w:ascii="Arial Narrow" w:hAnsi="Arial Narrow"/>
          <w:sz w:val="24"/>
          <w:szCs w:val="24"/>
        </w:rPr>
        <w:t xml:space="preserve"> </w:t>
      </w:r>
      <w:r w:rsidRPr="004B46C6">
        <w:rPr>
          <w:rFonts w:ascii="Arial Narrow" w:hAnsi="Arial Narrow"/>
          <w:sz w:val="24"/>
          <w:szCs w:val="24"/>
        </w:rPr>
        <w:t>1995 to 2014, the authors estimate average trade reducing effects that vary between</w:t>
      </w:r>
      <w:r>
        <w:rPr>
          <w:rFonts w:ascii="Arial Narrow" w:hAnsi="Arial Narrow"/>
          <w:sz w:val="24"/>
          <w:szCs w:val="24"/>
        </w:rPr>
        <w:t xml:space="preserve"> </w:t>
      </w:r>
      <w:r w:rsidRPr="004B46C6">
        <w:rPr>
          <w:rFonts w:ascii="Arial Narrow" w:hAnsi="Arial Narrow"/>
          <w:sz w:val="24"/>
          <w:szCs w:val="24"/>
        </w:rPr>
        <w:t xml:space="preserve">5 and 30% depending on the type of NTB. They </w:t>
      </w:r>
      <w:r w:rsidRPr="004B46C6">
        <w:rPr>
          <w:rFonts w:ascii="Arial Narrow" w:hAnsi="Arial Narrow"/>
          <w:sz w:val="24"/>
          <w:szCs w:val="24"/>
        </w:rPr>
        <w:lastRenderedPageBreak/>
        <w:t>conclude that the trade reducing</w:t>
      </w:r>
      <w:r>
        <w:rPr>
          <w:rFonts w:ascii="Arial Narrow" w:hAnsi="Arial Narrow"/>
          <w:sz w:val="24"/>
          <w:szCs w:val="24"/>
        </w:rPr>
        <w:t xml:space="preserve"> </w:t>
      </w:r>
      <w:r w:rsidRPr="004B46C6">
        <w:rPr>
          <w:rFonts w:ascii="Arial Narrow" w:hAnsi="Arial Narrow"/>
          <w:sz w:val="24"/>
          <w:szCs w:val="24"/>
        </w:rPr>
        <w:t xml:space="preserve">effects of NTBs can be similar to those of traditional </w:t>
      </w:r>
      <w:r w:rsidRPr="00F973D5">
        <w:rPr>
          <w:rFonts w:ascii="Arial Narrow" w:hAnsi="Arial Narrow"/>
          <w:b/>
          <w:bCs/>
          <w:color w:val="FF0000"/>
          <w:sz w:val="24"/>
          <w:szCs w:val="24"/>
        </w:rPr>
        <w:t>TDI</w:t>
      </w:r>
      <w:r w:rsidRPr="004B46C6">
        <w:rPr>
          <w:rFonts w:ascii="Arial Narrow" w:hAnsi="Arial Narrow"/>
          <w:sz w:val="24"/>
          <w:szCs w:val="24"/>
        </w:rPr>
        <w:t>s. However, 82% of NTBs</w:t>
      </w:r>
      <w:r>
        <w:rPr>
          <w:rFonts w:ascii="Arial Narrow" w:hAnsi="Arial Narrow"/>
          <w:sz w:val="24"/>
          <w:szCs w:val="24"/>
        </w:rPr>
        <w:t xml:space="preserve"> </w:t>
      </w:r>
      <w:r w:rsidRPr="004B46C6">
        <w:rPr>
          <w:rFonts w:ascii="Arial Narrow" w:hAnsi="Arial Narrow"/>
          <w:sz w:val="24"/>
          <w:szCs w:val="24"/>
        </w:rPr>
        <w:t>investigated are SPS or TBT measures</w:t>
      </w:r>
      <w:r>
        <w:rPr>
          <w:rFonts w:ascii="Arial Narrow" w:hAnsi="Arial Narrow"/>
          <w:sz w:val="24"/>
          <w:szCs w:val="24"/>
        </w:rPr>
        <w:t>.</w:t>
      </w:r>
    </w:p>
    <w:p w14:paraId="6E299750" w14:textId="7239B1D2" w:rsidR="00E24F02" w:rsidRDefault="00E24F02" w:rsidP="006D7024">
      <w:pPr>
        <w:spacing w:after="0" w:line="240" w:lineRule="auto"/>
        <w:jc w:val="both"/>
        <w:rPr>
          <w:rFonts w:ascii="Arial Narrow" w:hAnsi="Arial Narrow"/>
          <w:sz w:val="24"/>
          <w:szCs w:val="24"/>
        </w:rPr>
      </w:pPr>
    </w:p>
    <w:p w14:paraId="2A67BE00" w14:textId="1BFD1B28" w:rsidR="007A6953" w:rsidRDefault="007A6953" w:rsidP="007A6953">
      <w:pPr>
        <w:spacing w:after="0" w:line="240" w:lineRule="auto"/>
        <w:jc w:val="both"/>
        <w:rPr>
          <w:rFonts w:ascii="Arial Narrow" w:hAnsi="Arial Narrow"/>
          <w:sz w:val="24"/>
          <w:szCs w:val="24"/>
        </w:rPr>
      </w:pPr>
      <w:r w:rsidRPr="007A6953">
        <w:rPr>
          <w:rFonts w:ascii="Arial Narrow" w:hAnsi="Arial Narrow"/>
          <w:sz w:val="24"/>
          <w:szCs w:val="24"/>
        </w:rPr>
        <w:t>The</w:t>
      </w:r>
      <w:r>
        <w:rPr>
          <w:rFonts w:ascii="Arial Narrow" w:hAnsi="Arial Narrow"/>
          <w:sz w:val="24"/>
          <w:szCs w:val="24"/>
        </w:rPr>
        <w:t xml:space="preserve"> </w:t>
      </w:r>
      <w:r w:rsidRPr="007A6953">
        <w:rPr>
          <w:rFonts w:ascii="Arial Narrow" w:hAnsi="Arial Narrow"/>
          <w:sz w:val="24"/>
          <w:szCs w:val="24"/>
        </w:rPr>
        <w:t>authors find that border controls (defined as non-tariff and tariff measures) reduce</w:t>
      </w:r>
      <w:r>
        <w:rPr>
          <w:rFonts w:ascii="Arial Narrow" w:hAnsi="Arial Narrow"/>
          <w:sz w:val="24"/>
          <w:szCs w:val="24"/>
        </w:rPr>
        <w:t xml:space="preserve"> </w:t>
      </w:r>
      <w:r w:rsidRPr="007A6953">
        <w:rPr>
          <w:rFonts w:ascii="Arial Narrow" w:hAnsi="Arial Narrow"/>
          <w:sz w:val="24"/>
          <w:szCs w:val="24"/>
        </w:rPr>
        <w:t>trade by about 8%</w:t>
      </w:r>
      <w:r>
        <w:rPr>
          <w:rFonts w:ascii="Arial Narrow" w:hAnsi="Arial Narrow"/>
          <w:sz w:val="24"/>
          <w:szCs w:val="24"/>
        </w:rPr>
        <w:t xml:space="preserve"> [3]</w:t>
      </w:r>
      <w:r w:rsidRPr="007A6953">
        <w:rPr>
          <w:rFonts w:ascii="Arial Narrow" w:hAnsi="Arial Narrow"/>
          <w:sz w:val="24"/>
          <w:szCs w:val="24"/>
        </w:rPr>
        <w:t>.</w:t>
      </w:r>
    </w:p>
    <w:p w14:paraId="580798AF" w14:textId="36795288" w:rsidR="00B161A7" w:rsidRDefault="00B161A7" w:rsidP="007A6953">
      <w:pPr>
        <w:spacing w:after="0" w:line="240" w:lineRule="auto"/>
        <w:jc w:val="both"/>
        <w:rPr>
          <w:rFonts w:ascii="Arial Narrow" w:hAnsi="Arial Narrow"/>
          <w:sz w:val="24"/>
          <w:szCs w:val="24"/>
        </w:rPr>
      </w:pPr>
    </w:p>
    <w:p w14:paraId="676006E4" w14:textId="14CB56C5" w:rsidR="00B161A7" w:rsidRDefault="00B161A7" w:rsidP="00C47D8B">
      <w:pPr>
        <w:spacing w:after="0" w:line="240" w:lineRule="auto"/>
        <w:jc w:val="both"/>
        <w:rPr>
          <w:rFonts w:ascii="Arial Narrow" w:hAnsi="Arial Narrow"/>
          <w:sz w:val="24"/>
          <w:szCs w:val="24"/>
        </w:rPr>
      </w:pPr>
      <w:r w:rsidRPr="00B161A7">
        <w:rPr>
          <w:rFonts w:ascii="Arial Narrow" w:hAnsi="Arial Narrow"/>
          <w:sz w:val="24"/>
          <w:szCs w:val="24"/>
        </w:rPr>
        <w:t>Our empirical analysis provides evidence that NTBs significantly decrease the level</w:t>
      </w:r>
      <w:r>
        <w:rPr>
          <w:rFonts w:ascii="Arial Narrow" w:hAnsi="Arial Narrow"/>
          <w:sz w:val="24"/>
          <w:szCs w:val="24"/>
        </w:rPr>
        <w:t xml:space="preserve"> </w:t>
      </w:r>
      <w:r w:rsidRPr="00B161A7">
        <w:rPr>
          <w:rFonts w:ascii="Arial Narrow" w:hAnsi="Arial Narrow"/>
          <w:sz w:val="24"/>
          <w:szCs w:val="24"/>
        </w:rPr>
        <w:t>of trade. For the period from 2010 to 2015, our baseline results show that NTBs</w:t>
      </w:r>
      <w:r>
        <w:rPr>
          <w:rFonts w:ascii="Arial Narrow" w:hAnsi="Arial Narrow"/>
          <w:sz w:val="24"/>
          <w:szCs w:val="24"/>
        </w:rPr>
        <w:t xml:space="preserve"> </w:t>
      </w:r>
      <w:r w:rsidRPr="00B161A7">
        <w:rPr>
          <w:rFonts w:ascii="Arial Narrow" w:hAnsi="Arial Narrow"/>
          <w:sz w:val="24"/>
          <w:szCs w:val="24"/>
        </w:rPr>
        <w:t>implemented by a country reduce imports of affected products from targeted exporters</w:t>
      </w:r>
      <w:r>
        <w:rPr>
          <w:rFonts w:ascii="Arial Narrow" w:hAnsi="Arial Narrow"/>
          <w:sz w:val="24"/>
          <w:szCs w:val="24"/>
        </w:rPr>
        <w:t xml:space="preserve"> </w:t>
      </w:r>
      <w:r w:rsidRPr="00B161A7">
        <w:rPr>
          <w:rFonts w:ascii="Arial Narrow" w:hAnsi="Arial Narrow"/>
          <w:sz w:val="24"/>
          <w:szCs w:val="24"/>
        </w:rPr>
        <w:t>by 4–12%, depending on the estimation method used. This effect is partly offset</w:t>
      </w:r>
      <w:r>
        <w:rPr>
          <w:rFonts w:ascii="Arial Narrow" w:hAnsi="Arial Narrow"/>
          <w:sz w:val="24"/>
          <w:szCs w:val="24"/>
        </w:rPr>
        <w:t xml:space="preserve"> </w:t>
      </w:r>
      <w:r w:rsidRPr="00B161A7">
        <w:rPr>
          <w:rFonts w:ascii="Arial Narrow" w:hAnsi="Arial Narrow"/>
          <w:sz w:val="24"/>
          <w:szCs w:val="24"/>
        </w:rPr>
        <w:t>by FTAs between the imposing country and the exporter</w:t>
      </w:r>
      <w:r w:rsidR="00C47D8B">
        <w:rPr>
          <w:rFonts w:ascii="Arial Narrow" w:hAnsi="Arial Narrow"/>
          <w:sz w:val="24"/>
          <w:szCs w:val="24"/>
        </w:rPr>
        <w:t xml:space="preserve">. </w:t>
      </w:r>
      <w:r w:rsidR="00C47D8B" w:rsidRPr="00C47D8B">
        <w:rPr>
          <w:rFonts w:ascii="Arial Narrow" w:hAnsi="Arial Narrow"/>
          <w:sz w:val="24"/>
          <w:szCs w:val="24"/>
        </w:rPr>
        <w:t>Overall, the paper illustrates the importance of exploiting new data on NTBs to</w:t>
      </w:r>
      <w:r w:rsidR="00C47D8B">
        <w:rPr>
          <w:rFonts w:ascii="Arial Narrow" w:hAnsi="Arial Narrow"/>
          <w:sz w:val="24"/>
          <w:szCs w:val="24"/>
        </w:rPr>
        <w:t xml:space="preserve"> </w:t>
      </w:r>
      <w:r w:rsidR="00C47D8B" w:rsidRPr="00C47D8B">
        <w:rPr>
          <w:rFonts w:ascii="Arial Narrow" w:hAnsi="Arial Narrow"/>
          <w:sz w:val="24"/>
          <w:szCs w:val="24"/>
        </w:rPr>
        <w:t>reveal the significant protectionist impact of non-standard trade policies, which can</w:t>
      </w:r>
      <w:r w:rsidR="00C47D8B">
        <w:rPr>
          <w:rFonts w:ascii="Arial Narrow" w:hAnsi="Arial Narrow"/>
          <w:sz w:val="24"/>
          <w:szCs w:val="24"/>
        </w:rPr>
        <w:t xml:space="preserve"> </w:t>
      </w:r>
      <w:r w:rsidR="00C47D8B" w:rsidRPr="00C47D8B">
        <w:rPr>
          <w:rFonts w:ascii="Arial Narrow" w:hAnsi="Arial Narrow"/>
          <w:sz w:val="24"/>
          <w:szCs w:val="24"/>
        </w:rPr>
        <w:t>however be mitigated through FTAs</w:t>
      </w:r>
      <w:r w:rsidR="00384696">
        <w:rPr>
          <w:rFonts w:ascii="Arial Narrow" w:hAnsi="Arial Narrow"/>
          <w:sz w:val="24"/>
          <w:szCs w:val="24"/>
        </w:rPr>
        <w:t xml:space="preserve"> [3]</w:t>
      </w:r>
      <w:r w:rsidRPr="00B161A7">
        <w:rPr>
          <w:rFonts w:ascii="Arial Narrow" w:hAnsi="Arial Narrow"/>
          <w:sz w:val="24"/>
          <w:szCs w:val="24"/>
        </w:rPr>
        <w:t>.</w:t>
      </w:r>
    </w:p>
    <w:p w14:paraId="0265F6B4" w14:textId="77777777" w:rsidR="00E24F02" w:rsidRDefault="00E24F02" w:rsidP="006D7024">
      <w:pPr>
        <w:spacing w:after="0" w:line="240" w:lineRule="auto"/>
        <w:jc w:val="both"/>
        <w:rPr>
          <w:rFonts w:ascii="Arial Narrow" w:hAnsi="Arial Narrow"/>
          <w:sz w:val="24"/>
          <w:szCs w:val="24"/>
        </w:rPr>
      </w:pPr>
    </w:p>
    <w:p w14:paraId="179C904C" w14:textId="05637EAA" w:rsidR="00B200E3" w:rsidRPr="00A57B7A" w:rsidRDefault="00C10BF7" w:rsidP="00C10BF7">
      <w:pPr>
        <w:spacing w:after="0" w:line="240" w:lineRule="auto"/>
        <w:jc w:val="both"/>
        <w:rPr>
          <w:rFonts w:ascii="Arial Narrow" w:hAnsi="Arial Narrow"/>
          <w:b/>
          <w:bCs/>
          <w:sz w:val="24"/>
          <w:szCs w:val="24"/>
        </w:rPr>
      </w:pPr>
      <w:r w:rsidRPr="00A57B7A">
        <w:rPr>
          <w:rFonts w:ascii="Arial Narrow" w:hAnsi="Arial Narrow"/>
          <w:b/>
          <w:bCs/>
          <w:sz w:val="24"/>
          <w:szCs w:val="24"/>
        </w:rPr>
        <w:t>Transforming Eastern South Asia: Relevance of BIMSTEC [4].</w:t>
      </w:r>
    </w:p>
    <w:p w14:paraId="54FF0477" w14:textId="565B38B9" w:rsidR="00C10BF7" w:rsidRPr="00A57B7A" w:rsidRDefault="00C10BF7" w:rsidP="00C10BF7">
      <w:pPr>
        <w:spacing w:after="0" w:line="240" w:lineRule="auto"/>
        <w:jc w:val="both"/>
        <w:rPr>
          <w:rFonts w:ascii="Arial Narrow" w:hAnsi="Arial Narrow"/>
          <w:b/>
          <w:bCs/>
          <w:sz w:val="24"/>
          <w:szCs w:val="24"/>
        </w:rPr>
      </w:pPr>
    </w:p>
    <w:p w14:paraId="049BF5D7" w14:textId="4E9D382B" w:rsidR="00C10BF7" w:rsidRPr="00A57B7A" w:rsidRDefault="003A09B5" w:rsidP="003A09B5">
      <w:pPr>
        <w:spacing w:after="0" w:line="240" w:lineRule="auto"/>
        <w:jc w:val="both"/>
        <w:rPr>
          <w:rFonts w:ascii="Arial Narrow" w:hAnsi="Arial Narrow"/>
          <w:b/>
          <w:bCs/>
          <w:sz w:val="24"/>
          <w:szCs w:val="24"/>
        </w:rPr>
      </w:pPr>
      <w:r w:rsidRPr="00A57B7A">
        <w:rPr>
          <w:rFonts w:ascii="Arial Narrow" w:hAnsi="Arial Narrow"/>
          <w:b/>
          <w:bCs/>
          <w:sz w:val="24"/>
          <w:szCs w:val="24"/>
        </w:rPr>
        <w:t>The Effects of Non-tariff Measures on Agri-food Trade: A Review and Meta-analysis of Empirical Evidence [5].</w:t>
      </w:r>
    </w:p>
    <w:p w14:paraId="0080AFC1" w14:textId="63E32254" w:rsidR="003A09B5" w:rsidRDefault="003A09B5" w:rsidP="003A09B5">
      <w:pPr>
        <w:spacing w:after="0" w:line="240" w:lineRule="auto"/>
        <w:jc w:val="both"/>
        <w:rPr>
          <w:rFonts w:ascii="Arial Narrow" w:hAnsi="Arial Narrow"/>
          <w:sz w:val="24"/>
          <w:szCs w:val="24"/>
        </w:rPr>
      </w:pPr>
    </w:p>
    <w:p w14:paraId="7790B344" w14:textId="5700379D" w:rsidR="00E24D7E" w:rsidRPr="00E24D7E" w:rsidRDefault="00E24D7E" w:rsidP="00E24D7E">
      <w:pPr>
        <w:spacing w:after="0" w:line="240" w:lineRule="auto"/>
        <w:jc w:val="both"/>
        <w:rPr>
          <w:rFonts w:ascii="Arial Narrow" w:hAnsi="Arial Narrow"/>
          <w:sz w:val="24"/>
          <w:szCs w:val="24"/>
        </w:rPr>
      </w:pPr>
      <w:r w:rsidRPr="00E24D7E">
        <w:rPr>
          <w:rFonts w:ascii="Arial Narrow" w:hAnsi="Arial Narrow"/>
          <w:sz w:val="24"/>
          <w:szCs w:val="24"/>
        </w:rPr>
        <w:t>The empirical literature provides contrasting and heterogeneous evidence, with</w:t>
      </w:r>
      <w:r>
        <w:rPr>
          <w:rFonts w:ascii="Arial Narrow" w:hAnsi="Arial Narrow"/>
          <w:sz w:val="24"/>
          <w:szCs w:val="24"/>
        </w:rPr>
        <w:t xml:space="preserve"> </w:t>
      </w:r>
      <w:r w:rsidRPr="00E24D7E">
        <w:rPr>
          <w:rFonts w:ascii="Arial Narrow" w:hAnsi="Arial Narrow"/>
          <w:sz w:val="24"/>
          <w:szCs w:val="24"/>
        </w:rPr>
        <w:t xml:space="preserve">some studies supporting the ‘standards as catalysts’ view, and others </w:t>
      </w:r>
      <w:proofErr w:type="spellStart"/>
      <w:r w:rsidRPr="00E24D7E">
        <w:rPr>
          <w:rFonts w:ascii="Arial Narrow" w:hAnsi="Arial Narrow"/>
          <w:sz w:val="24"/>
          <w:szCs w:val="24"/>
        </w:rPr>
        <w:t>favouring</w:t>
      </w:r>
      <w:proofErr w:type="spellEnd"/>
      <w:r w:rsidRPr="00E24D7E">
        <w:rPr>
          <w:rFonts w:ascii="Arial Narrow" w:hAnsi="Arial Narrow"/>
          <w:sz w:val="24"/>
          <w:szCs w:val="24"/>
        </w:rPr>
        <w:t xml:space="preserve"> the</w:t>
      </w:r>
      <w:r>
        <w:rPr>
          <w:rFonts w:ascii="Arial Narrow" w:hAnsi="Arial Narrow"/>
          <w:sz w:val="24"/>
          <w:szCs w:val="24"/>
        </w:rPr>
        <w:t xml:space="preserve"> </w:t>
      </w:r>
      <w:r w:rsidRPr="00E24D7E">
        <w:rPr>
          <w:rFonts w:ascii="Arial Narrow" w:hAnsi="Arial Narrow"/>
          <w:sz w:val="24"/>
          <w:szCs w:val="24"/>
        </w:rPr>
        <w:t>‘standards as barriers’ explanation. To the extent that NTMs can influence trade,</w:t>
      </w:r>
      <w:r>
        <w:rPr>
          <w:rFonts w:ascii="Arial Narrow" w:hAnsi="Arial Narrow"/>
          <w:sz w:val="24"/>
          <w:szCs w:val="24"/>
        </w:rPr>
        <w:t xml:space="preserve"> </w:t>
      </w:r>
      <w:r w:rsidRPr="00E24D7E">
        <w:rPr>
          <w:rFonts w:ascii="Arial Narrow" w:hAnsi="Arial Narrow"/>
          <w:sz w:val="24"/>
          <w:szCs w:val="24"/>
        </w:rPr>
        <w:t>understanding the prevailing effect, and the motivations behind one effect or the</w:t>
      </w:r>
    </w:p>
    <w:p w14:paraId="1BA8D898" w14:textId="28F0DE7F" w:rsidR="003A09B5" w:rsidRDefault="00E24D7E" w:rsidP="00E24D7E">
      <w:pPr>
        <w:spacing w:after="0" w:line="240" w:lineRule="auto"/>
        <w:jc w:val="both"/>
        <w:rPr>
          <w:rFonts w:ascii="Arial Narrow" w:hAnsi="Arial Narrow"/>
          <w:sz w:val="24"/>
          <w:szCs w:val="24"/>
        </w:rPr>
      </w:pPr>
      <w:r w:rsidRPr="00E24D7E">
        <w:rPr>
          <w:rFonts w:ascii="Arial Narrow" w:hAnsi="Arial Narrow"/>
          <w:sz w:val="24"/>
          <w:szCs w:val="24"/>
        </w:rPr>
        <w:t>other, is a pressing issue.</w:t>
      </w:r>
      <w:r>
        <w:rPr>
          <w:rFonts w:ascii="Arial Narrow" w:hAnsi="Arial Narrow"/>
          <w:sz w:val="24"/>
          <w:szCs w:val="24"/>
        </w:rPr>
        <w:t xml:space="preserve"> </w:t>
      </w:r>
      <w:r w:rsidRPr="00E24D7E">
        <w:rPr>
          <w:rFonts w:ascii="Arial Narrow" w:hAnsi="Arial Narrow"/>
          <w:sz w:val="24"/>
          <w:szCs w:val="24"/>
        </w:rPr>
        <w:t>Overall, we found that the effects of NTMs vary</w:t>
      </w:r>
      <w:r>
        <w:rPr>
          <w:rFonts w:ascii="Arial Narrow" w:hAnsi="Arial Narrow"/>
          <w:sz w:val="24"/>
          <w:szCs w:val="24"/>
        </w:rPr>
        <w:t xml:space="preserve"> </w:t>
      </w:r>
      <w:r w:rsidRPr="00E24D7E">
        <w:rPr>
          <w:rFonts w:ascii="Arial Narrow" w:hAnsi="Arial Narrow"/>
          <w:sz w:val="24"/>
          <w:szCs w:val="24"/>
        </w:rPr>
        <w:t>across types of NTM, proxies used for NTMs, and levels of detail of studies.</w:t>
      </w:r>
    </w:p>
    <w:p w14:paraId="3B94783E" w14:textId="49D5AEA6" w:rsidR="00E24D7E" w:rsidRDefault="00E24D7E" w:rsidP="00E24D7E">
      <w:pPr>
        <w:spacing w:after="0" w:line="240" w:lineRule="auto"/>
        <w:jc w:val="both"/>
        <w:rPr>
          <w:rFonts w:ascii="Arial Narrow" w:hAnsi="Arial Narrow"/>
          <w:sz w:val="24"/>
          <w:szCs w:val="24"/>
        </w:rPr>
      </w:pPr>
    </w:p>
    <w:p w14:paraId="259A0520" w14:textId="4F812E95" w:rsidR="00E24D7E" w:rsidRDefault="00E24D7E" w:rsidP="00E24D7E">
      <w:pPr>
        <w:spacing w:after="0" w:line="240" w:lineRule="auto"/>
        <w:jc w:val="both"/>
        <w:rPr>
          <w:rFonts w:ascii="Arial Narrow" w:hAnsi="Arial Narrow"/>
          <w:sz w:val="24"/>
          <w:szCs w:val="24"/>
        </w:rPr>
      </w:pPr>
      <w:r w:rsidRPr="00E24D7E">
        <w:rPr>
          <w:rFonts w:ascii="Arial Narrow" w:hAnsi="Arial Narrow"/>
          <w:sz w:val="24"/>
          <w:szCs w:val="24"/>
        </w:rPr>
        <w:t>Trade Effect of Non-tariff Measures</w:t>
      </w:r>
      <w:r w:rsidR="002C3872">
        <w:rPr>
          <w:rFonts w:ascii="Arial Narrow" w:hAnsi="Arial Narrow"/>
          <w:sz w:val="24"/>
          <w:szCs w:val="24"/>
        </w:rPr>
        <w:t>:</w:t>
      </w:r>
    </w:p>
    <w:p w14:paraId="29E4EB03" w14:textId="4E18A69C" w:rsidR="002C3872" w:rsidRDefault="002C3872" w:rsidP="00E24D7E">
      <w:pPr>
        <w:spacing w:after="0" w:line="240" w:lineRule="auto"/>
        <w:jc w:val="both"/>
        <w:rPr>
          <w:rFonts w:ascii="Arial Narrow" w:hAnsi="Arial Narrow"/>
          <w:sz w:val="24"/>
          <w:szCs w:val="24"/>
        </w:rPr>
      </w:pPr>
    </w:p>
    <w:p w14:paraId="4841B01E" w14:textId="77777777" w:rsidR="002C3872" w:rsidRPr="002C3872" w:rsidRDefault="002C3872" w:rsidP="002C3872">
      <w:pPr>
        <w:spacing w:after="0" w:line="240" w:lineRule="auto"/>
        <w:jc w:val="both"/>
        <w:rPr>
          <w:rFonts w:ascii="Arial Narrow" w:hAnsi="Arial Narrow"/>
          <w:sz w:val="24"/>
          <w:szCs w:val="24"/>
        </w:rPr>
      </w:pPr>
      <w:r w:rsidRPr="002C3872">
        <w:rPr>
          <w:rFonts w:ascii="Arial Narrow" w:hAnsi="Arial Narrow"/>
          <w:sz w:val="24"/>
          <w:szCs w:val="24"/>
        </w:rPr>
        <w:t>For exporters, a NTM implemented in the destination country implies higher</w:t>
      </w:r>
      <w:r>
        <w:rPr>
          <w:rFonts w:ascii="Arial Narrow" w:hAnsi="Arial Narrow"/>
          <w:sz w:val="24"/>
          <w:szCs w:val="24"/>
        </w:rPr>
        <w:t xml:space="preserve"> </w:t>
      </w:r>
      <w:r w:rsidRPr="002C3872">
        <w:rPr>
          <w:rFonts w:ascii="Arial Narrow" w:hAnsi="Arial Narrow"/>
          <w:sz w:val="24"/>
          <w:szCs w:val="24"/>
        </w:rPr>
        <w:t>costs of compliance and a higher import price. If the difference between import</w:t>
      </w:r>
      <w:r>
        <w:rPr>
          <w:rFonts w:ascii="Arial Narrow" w:hAnsi="Arial Narrow"/>
          <w:sz w:val="24"/>
          <w:szCs w:val="24"/>
        </w:rPr>
        <w:t xml:space="preserve"> </w:t>
      </w:r>
      <w:r w:rsidRPr="002C3872">
        <w:rPr>
          <w:rFonts w:ascii="Arial Narrow" w:hAnsi="Arial Narrow"/>
          <w:sz w:val="24"/>
          <w:szCs w:val="24"/>
        </w:rPr>
        <w:t>price pre- and post-NTM is greater (smaller) than the difference between domestic</w:t>
      </w:r>
      <w:r>
        <w:rPr>
          <w:rFonts w:ascii="Arial Narrow" w:hAnsi="Arial Narrow"/>
          <w:sz w:val="24"/>
          <w:szCs w:val="24"/>
        </w:rPr>
        <w:t xml:space="preserve"> </w:t>
      </w:r>
      <w:r w:rsidRPr="002C3872">
        <w:rPr>
          <w:rFonts w:ascii="Arial Narrow" w:hAnsi="Arial Narrow"/>
          <w:sz w:val="24"/>
          <w:szCs w:val="24"/>
        </w:rPr>
        <w:t>price pre- and post-NTM, domestic producers face smaller (greater) implementation</w:t>
      </w:r>
    </w:p>
    <w:p w14:paraId="22BC8451" w14:textId="38B36B85" w:rsidR="002C3872" w:rsidRDefault="002C3872" w:rsidP="002C3872">
      <w:pPr>
        <w:spacing w:after="0" w:line="240" w:lineRule="auto"/>
        <w:jc w:val="both"/>
        <w:rPr>
          <w:rFonts w:ascii="Arial Narrow" w:hAnsi="Arial Narrow"/>
          <w:sz w:val="24"/>
          <w:szCs w:val="24"/>
        </w:rPr>
      </w:pPr>
      <w:r w:rsidRPr="002C3872">
        <w:rPr>
          <w:rFonts w:ascii="Arial Narrow" w:hAnsi="Arial Narrow"/>
          <w:sz w:val="24"/>
          <w:szCs w:val="24"/>
        </w:rPr>
        <w:t>costs and obtain greater (lower) profits than foreign producers. The NTM</w:t>
      </w:r>
      <w:r>
        <w:rPr>
          <w:rFonts w:ascii="Arial Narrow" w:hAnsi="Arial Narrow"/>
          <w:sz w:val="24"/>
          <w:szCs w:val="24"/>
        </w:rPr>
        <w:t xml:space="preserve"> </w:t>
      </w:r>
      <w:r w:rsidRPr="002C3872">
        <w:rPr>
          <w:rFonts w:ascii="Arial Narrow" w:hAnsi="Arial Narrow"/>
          <w:sz w:val="24"/>
          <w:szCs w:val="24"/>
        </w:rPr>
        <w:t>acts as barrier (catalyst) for trade if it reduces (increases) domestic imports (</w:t>
      </w:r>
      <w:proofErr w:type="spellStart"/>
      <w:r w:rsidRPr="002C3872">
        <w:rPr>
          <w:rFonts w:ascii="Arial Narrow" w:hAnsi="Arial Narrow"/>
          <w:sz w:val="24"/>
          <w:szCs w:val="24"/>
        </w:rPr>
        <w:t>Swinnen</w:t>
      </w:r>
      <w:proofErr w:type="spellEnd"/>
      <w:r w:rsidRPr="002C3872">
        <w:rPr>
          <w:rFonts w:ascii="Arial Narrow" w:hAnsi="Arial Narrow"/>
          <w:sz w:val="24"/>
          <w:szCs w:val="24"/>
        </w:rPr>
        <w:t>,</w:t>
      </w:r>
      <w:r>
        <w:rPr>
          <w:rFonts w:ascii="Arial Narrow" w:hAnsi="Arial Narrow"/>
          <w:sz w:val="24"/>
          <w:szCs w:val="24"/>
        </w:rPr>
        <w:t xml:space="preserve"> </w:t>
      </w:r>
      <w:r w:rsidRPr="002C3872">
        <w:rPr>
          <w:rFonts w:ascii="Arial Narrow" w:hAnsi="Arial Narrow"/>
          <w:sz w:val="24"/>
          <w:szCs w:val="24"/>
        </w:rPr>
        <w:t>2017).</w:t>
      </w:r>
    </w:p>
    <w:p w14:paraId="0E4734E8" w14:textId="5CC56C9D" w:rsidR="00E24D7E" w:rsidRDefault="00E24D7E" w:rsidP="00E24D7E">
      <w:pPr>
        <w:spacing w:after="0" w:line="240" w:lineRule="auto"/>
        <w:jc w:val="both"/>
        <w:rPr>
          <w:rFonts w:ascii="Arial Narrow" w:hAnsi="Arial Narrow"/>
          <w:sz w:val="24"/>
          <w:szCs w:val="24"/>
        </w:rPr>
      </w:pPr>
    </w:p>
    <w:p w14:paraId="1CE4B60D" w14:textId="77777777" w:rsidR="00E24D7E" w:rsidRDefault="00E24D7E" w:rsidP="00E24D7E">
      <w:pPr>
        <w:spacing w:after="0" w:line="240" w:lineRule="auto"/>
        <w:jc w:val="both"/>
        <w:rPr>
          <w:rFonts w:ascii="Arial Narrow" w:hAnsi="Arial Narrow"/>
          <w:sz w:val="24"/>
          <w:szCs w:val="24"/>
        </w:rPr>
      </w:pPr>
    </w:p>
    <w:p w14:paraId="16EBF36E" w14:textId="77777777" w:rsidR="00B200E3" w:rsidRDefault="00B200E3" w:rsidP="000879A4">
      <w:pPr>
        <w:spacing w:after="0" w:line="240" w:lineRule="auto"/>
        <w:jc w:val="both"/>
        <w:rPr>
          <w:rFonts w:ascii="Arial Narrow" w:hAnsi="Arial Narrow"/>
          <w:sz w:val="24"/>
          <w:szCs w:val="24"/>
        </w:rPr>
      </w:pPr>
    </w:p>
    <w:p w14:paraId="0CE5C56F" w14:textId="65D3E513" w:rsidR="00FD5C37" w:rsidRDefault="00FD5C37" w:rsidP="00796467">
      <w:pPr>
        <w:spacing w:after="0" w:line="240" w:lineRule="auto"/>
        <w:jc w:val="both"/>
        <w:rPr>
          <w:rFonts w:ascii="Arial Narrow" w:hAnsi="Arial Narrow"/>
          <w:sz w:val="24"/>
          <w:szCs w:val="24"/>
        </w:rPr>
      </w:pPr>
    </w:p>
    <w:p w14:paraId="0D07FB1F" w14:textId="0A6B98A2" w:rsidR="00FD5C37" w:rsidRDefault="00B161A7" w:rsidP="00796467">
      <w:pPr>
        <w:spacing w:after="0" w:line="240" w:lineRule="auto"/>
        <w:jc w:val="both"/>
        <w:rPr>
          <w:rFonts w:ascii="Arial Narrow" w:hAnsi="Arial Narrow"/>
          <w:sz w:val="24"/>
          <w:szCs w:val="24"/>
        </w:rPr>
      </w:pPr>
      <w:r>
        <w:rPr>
          <w:rFonts w:ascii="Arial Narrow" w:hAnsi="Arial Narrow"/>
          <w:sz w:val="24"/>
          <w:szCs w:val="24"/>
        </w:rPr>
        <w:t>Methodology</w:t>
      </w:r>
    </w:p>
    <w:p w14:paraId="3E75AC0E" w14:textId="77777777" w:rsidR="00B161A7" w:rsidRDefault="00B161A7" w:rsidP="00796467">
      <w:pPr>
        <w:spacing w:after="0" w:line="240" w:lineRule="auto"/>
        <w:jc w:val="both"/>
        <w:rPr>
          <w:rFonts w:ascii="Arial Narrow" w:hAnsi="Arial Narrow"/>
          <w:sz w:val="24"/>
          <w:szCs w:val="24"/>
        </w:rPr>
      </w:pPr>
    </w:p>
    <w:p w14:paraId="2EA908C3" w14:textId="25C1DB49" w:rsidR="00B161A7" w:rsidRDefault="00B161A7" w:rsidP="00796467">
      <w:pPr>
        <w:spacing w:after="0" w:line="240" w:lineRule="auto"/>
        <w:jc w:val="both"/>
        <w:rPr>
          <w:rFonts w:ascii="Arial Narrow" w:hAnsi="Arial Narrow"/>
          <w:sz w:val="24"/>
          <w:szCs w:val="24"/>
        </w:rPr>
      </w:pPr>
    </w:p>
    <w:p w14:paraId="19064D13" w14:textId="298D68E7" w:rsidR="00B161A7" w:rsidRPr="00B161A7" w:rsidRDefault="00B161A7" w:rsidP="00B161A7">
      <w:pPr>
        <w:autoSpaceDE w:val="0"/>
        <w:autoSpaceDN w:val="0"/>
        <w:adjustRightInd w:val="0"/>
        <w:spacing w:after="0" w:line="240" w:lineRule="auto"/>
        <w:rPr>
          <w:rFonts w:ascii="STIXGeneral-Italic20" w:hAnsi="STIXGeneral-Italic20" w:cs="STIXGeneral-Italic20"/>
          <w:i/>
          <w:iCs/>
          <w:sz w:val="24"/>
          <w:szCs w:val="24"/>
        </w:rPr>
      </w:pPr>
      <w:proofErr w:type="spellStart"/>
      <w:r w:rsidRPr="00B161A7">
        <w:rPr>
          <w:rFonts w:ascii="STIXGeneral-Italic20" w:hAnsi="STIXGeneral-Italic20" w:cs="STIXGeneral-Italic20"/>
          <w:i/>
          <w:iCs/>
          <w:sz w:val="24"/>
          <w:szCs w:val="24"/>
        </w:rPr>
        <w:t>Xijkt</w:t>
      </w:r>
      <w:proofErr w:type="spellEnd"/>
      <w:r w:rsidRPr="00B161A7">
        <w:rPr>
          <w:rFonts w:ascii="STIXGeneral-Italic20" w:hAnsi="STIXGeneral-Italic20" w:cs="STIXGeneral-Italic20"/>
          <w:i/>
          <w:iCs/>
          <w:sz w:val="24"/>
          <w:szCs w:val="24"/>
        </w:rPr>
        <w:t xml:space="preserve"> </w:t>
      </w:r>
      <w:r w:rsidRPr="00B161A7">
        <w:rPr>
          <w:rFonts w:ascii="STIXMath-Regular4" w:hAnsi="STIXMath-Regular4" w:cs="STIXMath-Regular4"/>
          <w:sz w:val="24"/>
          <w:szCs w:val="24"/>
        </w:rPr>
        <w:t xml:space="preserve">= </w:t>
      </w:r>
      <w:proofErr w:type="gramStart"/>
      <w:r w:rsidRPr="00B161A7">
        <w:rPr>
          <w:rFonts w:ascii="STIXGeneral-Italic20" w:hAnsi="STIXGeneral-Italic20" w:cs="STIXGeneral-Italic20"/>
          <w:i/>
          <w:iCs/>
          <w:sz w:val="24"/>
          <w:szCs w:val="24"/>
        </w:rPr>
        <w:t>exp</w:t>
      </w:r>
      <w:r w:rsidRPr="00B161A7">
        <w:rPr>
          <w:rFonts w:ascii="STIXMath-Regular4" w:hAnsi="STIXMath-Regular4" w:cs="STIXMath-Regular4"/>
          <w:sz w:val="24"/>
          <w:szCs w:val="24"/>
        </w:rPr>
        <w:t>[</w:t>
      </w:r>
      <w:proofErr w:type="gramEnd"/>
      <w:r w:rsidRPr="00B161A7">
        <w:rPr>
          <w:rFonts w:ascii="STIXMath-Italic14" w:hAnsi="STIXMath-Italic14" w:cs="STIXMath-Italic14"/>
          <w:i/>
          <w:iCs/>
          <w:sz w:val="24"/>
          <w:szCs w:val="24"/>
        </w:rPr>
        <w:t>_</w:t>
      </w:r>
      <w:r w:rsidRPr="00B161A7">
        <w:rPr>
          <w:rFonts w:ascii="STIXGeneral-Regular3" w:hAnsi="STIXGeneral-Regular3" w:cs="STIXGeneral-Regular3"/>
          <w:sz w:val="24"/>
          <w:szCs w:val="24"/>
        </w:rPr>
        <w:t>1</w:t>
      </w:r>
      <w:r w:rsidRPr="00B161A7">
        <w:rPr>
          <w:rFonts w:ascii="STIXGeneral-Italic20" w:hAnsi="STIXGeneral-Italic20" w:cs="STIXGeneral-Italic20"/>
          <w:i/>
          <w:iCs/>
          <w:sz w:val="24"/>
          <w:szCs w:val="24"/>
        </w:rPr>
        <w:t>NTBijkt</w:t>
      </w:r>
      <w:r w:rsidRPr="00B161A7">
        <w:rPr>
          <w:rFonts w:ascii="STIXMath-Regular4" w:hAnsi="STIXMath-Regular4" w:cs="STIXMath-Regular4"/>
          <w:sz w:val="24"/>
          <w:szCs w:val="24"/>
        </w:rPr>
        <w:t>−</w:t>
      </w:r>
      <w:r w:rsidRPr="00B161A7">
        <w:rPr>
          <w:rFonts w:ascii="STIXGeneral-Regular3" w:hAnsi="STIXGeneral-Regular3" w:cs="STIXGeneral-Regular3"/>
          <w:sz w:val="24"/>
          <w:szCs w:val="24"/>
        </w:rPr>
        <w:t xml:space="preserve">1 </w:t>
      </w:r>
      <w:r w:rsidRPr="00B161A7">
        <w:rPr>
          <w:rFonts w:ascii="STIXMath-Regular4" w:hAnsi="STIXMath-Regular4" w:cs="STIXMath-Regular4"/>
          <w:sz w:val="24"/>
          <w:szCs w:val="24"/>
        </w:rPr>
        <w:t xml:space="preserve">+ </w:t>
      </w:r>
      <w:r w:rsidRPr="00B161A7">
        <w:rPr>
          <w:rFonts w:ascii="STIXMath-Italic14" w:hAnsi="STIXMath-Italic14" w:cs="STIXMath-Italic14"/>
          <w:i/>
          <w:iCs/>
          <w:sz w:val="24"/>
          <w:szCs w:val="24"/>
        </w:rPr>
        <w:t>_</w:t>
      </w:r>
      <w:r w:rsidRPr="00B161A7">
        <w:rPr>
          <w:rFonts w:ascii="STIXGeneral-Regular3" w:hAnsi="STIXGeneral-Regular3" w:cs="STIXGeneral-Regular3"/>
          <w:sz w:val="24"/>
          <w:szCs w:val="24"/>
        </w:rPr>
        <w:t>2</w:t>
      </w:r>
      <w:r w:rsidRPr="00B161A7">
        <w:rPr>
          <w:rFonts w:ascii="STIXGeneral-Italic20" w:hAnsi="STIXGeneral-Italic20" w:cs="STIXGeneral-Italic20"/>
          <w:i/>
          <w:iCs/>
          <w:sz w:val="24"/>
          <w:szCs w:val="24"/>
        </w:rPr>
        <w:t>TDIijkt</w:t>
      </w:r>
      <w:r w:rsidRPr="00B161A7">
        <w:rPr>
          <w:rFonts w:ascii="STIXMath-Regular4" w:hAnsi="STIXMath-Regular4" w:cs="STIXMath-Regular4"/>
          <w:sz w:val="24"/>
          <w:szCs w:val="24"/>
        </w:rPr>
        <w:t>−</w:t>
      </w:r>
      <w:r w:rsidRPr="00B161A7">
        <w:rPr>
          <w:rFonts w:ascii="STIXGeneral-Regular3" w:hAnsi="STIXGeneral-Regular3" w:cs="STIXGeneral-Regular3"/>
          <w:sz w:val="24"/>
          <w:szCs w:val="24"/>
        </w:rPr>
        <w:t xml:space="preserve">1 </w:t>
      </w:r>
      <w:r w:rsidRPr="00B161A7">
        <w:rPr>
          <w:rFonts w:ascii="STIXMath-Regular4" w:hAnsi="STIXMath-Regular4" w:cs="STIXMath-Regular4"/>
          <w:sz w:val="24"/>
          <w:szCs w:val="24"/>
        </w:rPr>
        <w:t xml:space="preserve">+ </w:t>
      </w:r>
      <w:r w:rsidRPr="00B161A7">
        <w:rPr>
          <w:rFonts w:ascii="STIXMath-Italic14" w:hAnsi="STIXMath-Italic14" w:cs="STIXMath-Italic14"/>
          <w:i/>
          <w:iCs/>
          <w:sz w:val="24"/>
          <w:szCs w:val="24"/>
        </w:rPr>
        <w:t>_</w:t>
      </w:r>
      <w:r w:rsidRPr="00B161A7">
        <w:rPr>
          <w:rFonts w:ascii="STIXGeneral-Italic20" w:hAnsi="STIXGeneral-Italic20" w:cs="STIXGeneral-Italic20"/>
          <w:i/>
          <w:iCs/>
          <w:sz w:val="24"/>
          <w:szCs w:val="24"/>
        </w:rPr>
        <w:t>ln</w:t>
      </w:r>
      <w:r w:rsidRPr="00B161A7">
        <w:rPr>
          <w:rFonts w:ascii="STIXMath-Regular4" w:hAnsi="STIXMath-Regular4" w:cs="STIXMath-Regular4"/>
          <w:sz w:val="24"/>
          <w:szCs w:val="24"/>
        </w:rPr>
        <w:t>(</w:t>
      </w:r>
      <w:r w:rsidRPr="00B161A7">
        <w:rPr>
          <w:rFonts w:ascii="STIXGeneral-Regular3" w:hAnsi="STIXGeneral-Regular3" w:cs="STIXGeneral-Regular3"/>
          <w:sz w:val="24"/>
          <w:szCs w:val="24"/>
        </w:rPr>
        <w:t xml:space="preserve">1 </w:t>
      </w:r>
      <w:r w:rsidRPr="00B161A7">
        <w:rPr>
          <w:rFonts w:ascii="STIXMath-Regular4" w:hAnsi="STIXMath-Regular4" w:cs="STIXMath-Regular4"/>
          <w:sz w:val="24"/>
          <w:szCs w:val="24"/>
        </w:rPr>
        <w:t xml:space="preserve">+ </w:t>
      </w:r>
      <w:r w:rsidRPr="00B161A7">
        <w:rPr>
          <w:rFonts w:ascii="STIXGeneral-Italic20" w:hAnsi="STIXGeneral-Italic20" w:cs="STIXGeneral-Italic20"/>
          <w:i/>
          <w:iCs/>
          <w:sz w:val="24"/>
          <w:szCs w:val="24"/>
        </w:rPr>
        <w:t>tijkt</w:t>
      </w:r>
      <w:r w:rsidRPr="00B161A7">
        <w:rPr>
          <w:rFonts w:ascii="STIXMath-Regular4" w:hAnsi="STIXMath-Regular4" w:cs="STIXMath-Regular4"/>
          <w:sz w:val="24"/>
          <w:szCs w:val="24"/>
        </w:rPr>
        <w:t>−</w:t>
      </w:r>
      <w:r w:rsidRPr="00B161A7">
        <w:rPr>
          <w:rFonts w:ascii="STIXGeneral-Regular3" w:hAnsi="STIXGeneral-Regular3" w:cs="STIXGeneral-Regular3"/>
          <w:sz w:val="24"/>
          <w:szCs w:val="24"/>
        </w:rPr>
        <w:t>1</w:t>
      </w:r>
      <w:r w:rsidRPr="00B161A7">
        <w:rPr>
          <w:rFonts w:ascii="STIXMath-Regular4" w:hAnsi="STIXMath-Regular4" w:cs="STIXMath-Regular4"/>
          <w:sz w:val="24"/>
          <w:szCs w:val="24"/>
        </w:rPr>
        <w:t xml:space="preserve">) + </w:t>
      </w:r>
      <w:r w:rsidRPr="00B161A7">
        <w:rPr>
          <w:rFonts w:ascii="STIXMath-Italic14" w:hAnsi="STIXMath-Italic14" w:cs="STIXMath-Italic14"/>
          <w:i/>
          <w:iCs/>
          <w:sz w:val="24"/>
          <w:szCs w:val="24"/>
        </w:rPr>
        <w:t>_</w:t>
      </w:r>
      <w:proofErr w:type="spellStart"/>
      <w:r w:rsidRPr="00B161A7">
        <w:rPr>
          <w:rFonts w:ascii="STIXGeneral-Italic20" w:hAnsi="STIXGeneral-Italic20" w:cs="STIXGeneral-Italic20"/>
          <w:i/>
          <w:iCs/>
          <w:sz w:val="24"/>
          <w:szCs w:val="24"/>
        </w:rPr>
        <w:t>ikt</w:t>
      </w:r>
      <w:proofErr w:type="spellEnd"/>
      <w:r w:rsidRPr="00B161A7">
        <w:rPr>
          <w:rFonts w:ascii="STIXGeneral-Italic20" w:hAnsi="STIXGeneral-Italic20" w:cs="STIXGeneral-Italic20"/>
          <w:i/>
          <w:iCs/>
          <w:sz w:val="24"/>
          <w:szCs w:val="24"/>
        </w:rPr>
        <w:t xml:space="preserve"> </w:t>
      </w:r>
      <w:r w:rsidRPr="00B161A7">
        <w:rPr>
          <w:rFonts w:ascii="STIXMath-Regular4" w:hAnsi="STIXMath-Regular4" w:cs="STIXMath-Regular4"/>
          <w:sz w:val="24"/>
          <w:szCs w:val="24"/>
        </w:rPr>
        <w:t xml:space="preserve">+ </w:t>
      </w:r>
      <w:r w:rsidRPr="00B161A7">
        <w:rPr>
          <w:rFonts w:ascii="STIXMath-Italic14" w:hAnsi="STIXMath-Italic14" w:cs="STIXMath-Italic14"/>
          <w:i/>
          <w:iCs/>
          <w:sz w:val="24"/>
          <w:szCs w:val="24"/>
        </w:rPr>
        <w:t>_</w:t>
      </w:r>
      <w:r w:rsidRPr="00B161A7">
        <w:rPr>
          <w:rFonts w:ascii="STIXGeneral-Italic20" w:hAnsi="STIXGeneral-Italic20" w:cs="STIXGeneral-Italic20"/>
          <w:i/>
          <w:iCs/>
          <w:sz w:val="24"/>
          <w:szCs w:val="24"/>
        </w:rPr>
        <w:t xml:space="preserve">jkt </w:t>
      </w:r>
      <w:r w:rsidRPr="00B161A7">
        <w:rPr>
          <w:rFonts w:ascii="STIXMath-Regular4" w:hAnsi="STIXMath-Regular4" w:cs="STIXMath-Regular4"/>
          <w:sz w:val="24"/>
          <w:szCs w:val="24"/>
        </w:rPr>
        <w:t xml:space="preserve">+ </w:t>
      </w:r>
      <w:r w:rsidRPr="00B161A7">
        <w:rPr>
          <w:rFonts w:ascii="STIXMath-Italic14" w:hAnsi="STIXMath-Italic14" w:cs="STIXMath-Italic14"/>
          <w:i/>
          <w:iCs/>
          <w:sz w:val="24"/>
          <w:szCs w:val="24"/>
        </w:rPr>
        <w:t>_</w:t>
      </w:r>
      <w:proofErr w:type="spellStart"/>
      <w:r w:rsidRPr="00B161A7">
        <w:rPr>
          <w:rFonts w:ascii="STIXGeneral-Italic20" w:hAnsi="STIXGeneral-Italic20" w:cs="STIXGeneral-Italic20"/>
          <w:i/>
          <w:iCs/>
          <w:sz w:val="24"/>
          <w:szCs w:val="24"/>
        </w:rPr>
        <w:t>ijk</w:t>
      </w:r>
      <w:proofErr w:type="spellEnd"/>
      <w:r w:rsidRPr="00B161A7">
        <w:rPr>
          <w:rFonts w:ascii="STIXGeneral-Italic20" w:hAnsi="STIXGeneral-Italic20" w:cs="STIXGeneral-Italic20"/>
          <w:i/>
          <w:iCs/>
          <w:sz w:val="24"/>
          <w:szCs w:val="24"/>
        </w:rPr>
        <w:t xml:space="preserve"> </w:t>
      </w:r>
      <w:r w:rsidRPr="00B161A7">
        <w:rPr>
          <w:rFonts w:ascii="STIXMath-Regular4" w:hAnsi="STIXMath-Regular4" w:cs="STIXMath-Regular4"/>
          <w:sz w:val="24"/>
          <w:szCs w:val="24"/>
        </w:rPr>
        <w:t xml:space="preserve">+ </w:t>
      </w:r>
      <w:r w:rsidRPr="00B161A7">
        <w:rPr>
          <w:rFonts w:ascii="STIXMath-Italic14" w:hAnsi="STIXMath-Italic14" w:cs="STIXMath-Italic14"/>
          <w:i/>
          <w:iCs/>
          <w:sz w:val="24"/>
          <w:szCs w:val="24"/>
        </w:rPr>
        <w:t>_</w:t>
      </w:r>
      <w:proofErr w:type="spellStart"/>
      <w:r w:rsidRPr="00B161A7">
        <w:rPr>
          <w:rFonts w:ascii="STIXGeneral-Italic20" w:hAnsi="STIXGeneral-Italic20" w:cs="STIXGeneral-Italic20"/>
          <w:i/>
          <w:iCs/>
          <w:sz w:val="24"/>
          <w:szCs w:val="24"/>
        </w:rPr>
        <w:t>ijt</w:t>
      </w:r>
      <w:proofErr w:type="spellEnd"/>
      <w:r w:rsidRPr="00B161A7">
        <w:rPr>
          <w:rFonts w:ascii="STIXMath-Regular4" w:hAnsi="STIXMath-Regular4" w:cs="STIXMath-Regular4"/>
          <w:sz w:val="24"/>
          <w:szCs w:val="24"/>
        </w:rPr>
        <w:t>]</w:t>
      </w:r>
      <w:r w:rsidRPr="00B161A7">
        <w:rPr>
          <w:rFonts w:ascii="STIXMath-Italic14" w:hAnsi="STIXMath-Italic14" w:cs="STIXMath-Italic14"/>
          <w:i/>
          <w:iCs/>
          <w:sz w:val="24"/>
          <w:szCs w:val="24"/>
        </w:rPr>
        <w:t>_</w:t>
      </w:r>
      <w:proofErr w:type="spellStart"/>
      <w:r w:rsidRPr="00B161A7">
        <w:rPr>
          <w:rFonts w:ascii="STIXGeneral-Italic20" w:hAnsi="STIXGeneral-Italic20" w:cs="STIXGeneral-Italic20"/>
          <w:i/>
          <w:iCs/>
          <w:sz w:val="24"/>
          <w:szCs w:val="24"/>
        </w:rPr>
        <w:t>ijkt</w:t>
      </w:r>
      <w:proofErr w:type="spellEnd"/>
      <w:r w:rsidRPr="00B161A7">
        <w:rPr>
          <w:rFonts w:ascii="STIXGeneral-Italic20" w:hAnsi="STIXGeneral-Italic20" w:cs="STIXGeneral-Italic20"/>
          <w:i/>
          <w:iCs/>
          <w:sz w:val="24"/>
          <w:szCs w:val="24"/>
        </w:rPr>
        <w:t xml:space="preserve"> </w:t>
      </w:r>
      <w:r w:rsidRPr="00B161A7">
        <w:rPr>
          <w:rFonts w:ascii="STIXGeneral-Regular3" w:hAnsi="STIXGeneral-Regular3" w:cs="STIXGeneral-Regular3"/>
          <w:sz w:val="24"/>
          <w:szCs w:val="24"/>
        </w:rPr>
        <w:t>,</w:t>
      </w:r>
    </w:p>
    <w:p w14:paraId="64890194" w14:textId="770E7888" w:rsidR="008430E0" w:rsidRDefault="008430E0" w:rsidP="00796467">
      <w:pPr>
        <w:spacing w:after="0" w:line="240" w:lineRule="auto"/>
        <w:jc w:val="both"/>
        <w:rPr>
          <w:rFonts w:ascii="Arial Narrow" w:hAnsi="Arial Narrow"/>
          <w:sz w:val="24"/>
          <w:szCs w:val="24"/>
        </w:rPr>
      </w:pPr>
    </w:p>
    <w:p w14:paraId="0132FD95" w14:textId="77777777" w:rsidR="008430E0" w:rsidRPr="00796467" w:rsidRDefault="008430E0" w:rsidP="00796467">
      <w:pPr>
        <w:spacing w:after="0" w:line="240" w:lineRule="auto"/>
        <w:jc w:val="both"/>
        <w:rPr>
          <w:rFonts w:ascii="Arial Narrow" w:hAnsi="Arial Narrow"/>
          <w:sz w:val="24"/>
          <w:szCs w:val="24"/>
        </w:rPr>
      </w:pPr>
    </w:p>
    <w:p w14:paraId="2ED95CA0" w14:textId="63C33699" w:rsidR="00796467" w:rsidRDefault="00796467" w:rsidP="00796467">
      <w:pPr>
        <w:spacing w:after="0" w:line="240" w:lineRule="auto"/>
        <w:jc w:val="both"/>
        <w:rPr>
          <w:rFonts w:ascii="Arial Narrow" w:hAnsi="Arial Narrow"/>
          <w:sz w:val="24"/>
          <w:szCs w:val="24"/>
        </w:rPr>
      </w:pPr>
    </w:p>
    <w:p w14:paraId="53126891" w14:textId="77777777" w:rsidR="00796467" w:rsidRPr="00796467" w:rsidRDefault="00796467" w:rsidP="00796467">
      <w:pPr>
        <w:spacing w:after="0" w:line="240" w:lineRule="auto"/>
        <w:jc w:val="both"/>
        <w:rPr>
          <w:rFonts w:ascii="Arial Narrow" w:hAnsi="Arial Narrow"/>
          <w:sz w:val="24"/>
          <w:szCs w:val="24"/>
        </w:rPr>
      </w:pPr>
    </w:p>
    <w:p w14:paraId="7A6B2CED" w14:textId="77777777" w:rsidR="001B62F7" w:rsidRPr="00D03C62" w:rsidRDefault="001B62F7" w:rsidP="001B62F7">
      <w:pPr>
        <w:spacing w:after="0" w:line="240" w:lineRule="auto"/>
        <w:rPr>
          <w:rFonts w:ascii="Arial Narrow" w:hAnsi="Arial Narrow"/>
        </w:rPr>
      </w:pPr>
    </w:p>
    <w:p w14:paraId="6635A9E0" w14:textId="7CA78132" w:rsidR="00CC6494" w:rsidRPr="00D03C62" w:rsidRDefault="001B62F7" w:rsidP="001B62F7">
      <w:pPr>
        <w:spacing w:after="0" w:line="240" w:lineRule="auto"/>
        <w:rPr>
          <w:rFonts w:ascii="Arial Narrow" w:hAnsi="Arial Narrow"/>
        </w:rPr>
      </w:pPr>
      <w:r w:rsidRPr="00D03C62">
        <w:rPr>
          <w:rFonts w:ascii="Arial Narrow" w:hAnsi="Arial Narrow"/>
        </w:rPr>
        <w:t>Structure</w:t>
      </w:r>
    </w:p>
    <w:p w14:paraId="41145A2B" w14:textId="44D3F8F7" w:rsidR="001B62F7" w:rsidRPr="00D03C62" w:rsidRDefault="001B62F7" w:rsidP="001B62F7">
      <w:pPr>
        <w:spacing w:after="0" w:line="240" w:lineRule="auto"/>
        <w:rPr>
          <w:rFonts w:ascii="Arial Narrow" w:hAnsi="Arial Narrow"/>
        </w:rPr>
      </w:pPr>
    </w:p>
    <w:tbl>
      <w:tblPr>
        <w:tblStyle w:val="TableGrid"/>
        <w:tblW w:w="0" w:type="auto"/>
        <w:tblLook w:val="04A0" w:firstRow="1" w:lastRow="0" w:firstColumn="1" w:lastColumn="0" w:noHBand="0" w:noVBand="1"/>
      </w:tblPr>
      <w:tblGrid>
        <w:gridCol w:w="535"/>
        <w:gridCol w:w="8815"/>
      </w:tblGrid>
      <w:tr w:rsidR="001B62F7" w:rsidRPr="00D03C62" w14:paraId="0E8F1AAF" w14:textId="77777777" w:rsidTr="001B62F7">
        <w:tc>
          <w:tcPr>
            <w:tcW w:w="535" w:type="dxa"/>
          </w:tcPr>
          <w:p w14:paraId="7C52B64D" w14:textId="77777777" w:rsidR="001B62F7" w:rsidRPr="00D03C62" w:rsidRDefault="001B62F7" w:rsidP="001B62F7">
            <w:pPr>
              <w:rPr>
                <w:rFonts w:ascii="Arial Narrow" w:hAnsi="Arial Narrow"/>
              </w:rPr>
            </w:pPr>
          </w:p>
        </w:tc>
        <w:tc>
          <w:tcPr>
            <w:tcW w:w="8815" w:type="dxa"/>
          </w:tcPr>
          <w:p w14:paraId="0C28A6AE" w14:textId="4E1E822D" w:rsidR="001B62F7" w:rsidRPr="00D03C62" w:rsidRDefault="001B62F7" w:rsidP="001B62F7">
            <w:pPr>
              <w:rPr>
                <w:rFonts w:ascii="Arial Narrow" w:hAnsi="Arial Narrow"/>
              </w:rPr>
            </w:pPr>
            <w:r w:rsidRPr="00D03C62">
              <w:rPr>
                <w:rFonts w:ascii="Arial Narrow" w:hAnsi="Arial Narrow"/>
              </w:rPr>
              <w:t>Introduction</w:t>
            </w:r>
          </w:p>
        </w:tc>
      </w:tr>
      <w:tr w:rsidR="001B62F7" w:rsidRPr="00D03C62" w14:paraId="3C0B3342" w14:textId="77777777" w:rsidTr="001B62F7">
        <w:tc>
          <w:tcPr>
            <w:tcW w:w="535" w:type="dxa"/>
          </w:tcPr>
          <w:p w14:paraId="22FF6B44" w14:textId="77777777" w:rsidR="001B62F7" w:rsidRPr="00D03C62" w:rsidRDefault="001B62F7" w:rsidP="001B62F7">
            <w:pPr>
              <w:rPr>
                <w:rFonts w:ascii="Arial Narrow" w:hAnsi="Arial Narrow"/>
              </w:rPr>
            </w:pPr>
          </w:p>
        </w:tc>
        <w:tc>
          <w:tcPr>
            <w:tcW w:w="8815" w:type="dxa"/>
          </w:tcPr>
          <w:p w14:paraId="3BC2D251" w14:textId="58030511" w:rsidR="001B62F7" w:rsidRPr="00D03C62" w:rsidRDefault="001B62F7" w:rsidP="001B62F7">
            <w:pPr>
              <w:rPr>
                <w:rFonts w:ascii="Arial Narrow" w:hAnsi="Arial Narrow"/>
              </w:rPr>
            </w:pPr>
            <w:r w:rsidRPr="00D03C62">
              <w:rPr>
                <w:rFonts w:ascii="Arial Narrow" w:hAnsi="Arial Narrow"/>
              </w:rPr>
              <w:t>Background</w:t>
            </w:r>
          </w:p>
        </w:tc>
      </w:tr>
      <w:tr w:rsidR="001B62F7" w:rsidRPr="00D03C62" w14:paraId="22D9D0FA" w14:textId="77777777" w:rsidTr="001B62F7">
        <w:tc>
          <w:tcPr>
            <w:tcW w:w="535" w:type="dxa"/>
          </w:tcPr>
          <w:p w14:paraId="06698EF1" w14:textId="77777777" w:rsidR="001B62F7" w:rsidRPr="00D03C62" w:rsidRDefault="001B62F7" w:rsidP="001B62F7">
            <w:pPr>
              <w:rPr>
                <w:rFonts w:ascii="Arial Narrow" w:hAnsi="Arial Narrow"/>
              </w:rPr>
            </w:pPr>
          </w:p>
        </w:tc>
        <w:tc>
          <w:tcPr>
            <w:tcW w:w="8815" w:type="dxa"/>
          </w:tcPr>
          <w:p w14:paraId="1A9D6289" w14:textId="6A754875" w:rsidR="001B62F7" w:rsidRPr="00D03C62" w:rsidRDefault="001B62F7" w:rsidP="001B62F7">
            <w:pPr>
              <w:rPr>
                <w:rFonts w:ascii="Arial Narrow" w:hAnsi="Arial Narrow"/>
              </w:rPr>
            </w:pPr>
            <w:r w:rsidRPr="00D03C62">
              <w:rPr>
                <w:rFonts w:ascii="Arial Narrow" w:hAnsi="Arial Narrow"/>
              </w:rPr>
              <w:t>Rational</w:t>
            </w:r>
          </w:p>
        </w:tc>
      </w:tr>
      <w:tr w:rsidR="001B62F7" w:rsidRPr="00D03C62" w14:paraId="40D9E2DB" w14:textId="77777777" w:rsidTr="001B62F7">
        <w:tc>
          <w:tcPr>
            <w:tcW w:w="535" w:type="dxa"/>
          </w:tcPr>
          <w:p w14:paraId="7F9BB42A" w14:textId="77777777" w:rsidR="001B62F7" w:rsidRPr="00D03C62" w:rsidRDefault="001B62F7" w:rsidP="001B62F7">
            <w:pPr>
              <w:rPr>
                <w:rFonts w:ascii="Arial Narrow" w:hAnsi="Arial Narrow"/>
              </w:rPr>
            </w:pPr>
          </w:p>
        </w:tc>
        <w:tc>
          <w:tcPr>
            <w:tcW w:w="8815" w:type="dxa"/>
          </w:tcPr>
          <w:p w14:paraId="135BB921" w14:textId="36A78497" w:rsidR="001B62F7" w:rsidRPr="00D03C62" w:rsidRDefault="001B62F7" w:rsidP="001B62F7">
            <w:pPr>
              <w:rPr>
                <w:rFonts w:ascii="Arial Narrow" w:hAnsi="Arial Narrow"/>
              </w:rPr>
            </w:pPr>
            <w:r w:rsidRPr="00D03C62">
              <w:rPr>
                <w:rFonts w:ascii="Arial Narrow" w:hAnsi="Arial Narrow"/>
              </w:rPr>
              <w:t>Objectives</w:t>
            </w:r>
          </w:p>
        </w:tc>
      </w:tr>
      <w:tr w:rsidR="001B62F7" w:rsidRPr="00D03C62" w14:paraId="19F546CC" w14:textId="77777777" w:rsidTr="001B62F7">
        <w:tc>
          <w:tcPr>
            <w:tcW w:w="535" w:type="dxa"/>
          </w:tcPr>
          <w:p w14:paraId="160E7100" w14:textId="77777777" w:rsidR="001B62F7" w:rsidRPr="00D03C62" w:rsidRDefault="001B62F7" w:rsidP="001B62F7">
            <w:pPr>
              <w:rPr>
                <w:rFonts w:ascii="Arial Narrow" w:hAnsi="Arial Narrow"/>
              </w:rPr>
            </w:pPr>
          </w:p>
        </w:tc>
        <w:tc>
          <w:tcPr>
            <w:tcW w:w="8815" w:type="dxa"/>
          </w:tcPr>
          <w:p w14:paraId="4311B90F" w14:textId="77777777" w:rsidR="001B62F7" w:rsidRPr="00D03C62" w:rsidRDefault="001B62F7" w:rsidP="001B62F7">
            <w:pPr>
              <w:rPr>
                <w:rFonts w:ascii="Arial Narrow" w:hAnsi="Arial Narrow"/>
              </w:rPr>
            </w:pPr>
          </w:p>
        </w:tc>
      </w:tr>
    </w:tbl>
    <w:p w14:paraId="1302F14D" w14:textId="18EA9ED8" w:rsidR="001B62F7" w:rsidRPr="00D03C62" w:rsidRDefault="001B62F7" w:rsidP="001B62F7">
      <w:pPr>
        <w:spacing w:after="0" w:line="240" w:lineRule="auto"/>
        <w:rPr>
          <w:rFonts w:ascii="Arial Narrow" w:hAnsi="Arial Narrow"/>
        </w:rPr>
      </w:pPr>
    </w:p>
    <w:p w14:paraId="7BDC923E" w14:textId="7904A675" w:rsidR="00BD20FB" w:rsidRPr="00D03C62" w:rsidRDefault="00BD20FB" w:rsidP="001B62F7">
      <w:pPr>
        <w:spacing w:after="0" w:line="240" w:lineRule="auto"/>
        <w:rPr>
          <w:rFonts w:ascii="Arial Narrow" w:hAnsi="Arial Narrow"/>
        </w:rPr>
      </w:pPr>
      <w:r w:rsidRPr="00D03C62">
        <w:rPr>
          <w:rFonts w:ascii="Arial Narrow" w:hAnsi="Arial Narrow"/>
        </w:rPr>
        <w:t>Rationale for choosing Agricultural product</w:t>
      </w:r>
    </w:p>
    <w:p w14:paraId="4272C626" w14:textId="48286C28" w:rsidR="00BD20FB" w:rsidRPr="00D03C62" w:rsidRDefault="00BD20FB" w:rsidP="001B62F7">
      <w:pPr>
        <w:spacing w:after="0" w:line="240" w:lineRule="auto"/>
        <w:rPr>
          <w:rFonts w:ascii="Arial Narrow" w:hAnsi="Arial Narrow"/>
        </w:rPr>
      </w:pPr>
    </w:p>
    <w:p w14:paraId="51CA17E4" w14:textId="7C5A3ED7" w:rsidR="00BD20FB" w:rsidRPr="00D03C62" w:rsidRDefault="00BD20FB" w:rsidP="00BD20FB">
      <w:pPr>
        <w:pStyle w:val="ListParagraph"/>
        <w:numPr>
          <w:ilvl w:val="0"/>
          <w:numId w:val="1"/>
        </w:numPr>
        <w:spacing w:after="0" w:line="240" w:lineRule="auto"/>
        <w:rPr>
          <w:rFonts w:ascii="Arial Narrow" w:hAnsi="Arial Narrow"/>
        </w:rPr>
      </w:pPr>
      <w:r w:rsidRPr="00D03C62">
        <w:rPr>
          <w:rFonts w:ascii="Arial Narrow" w:hAnsi="Arial Narrow"/>
        </w:rPr>
        <w:t>Global statistics</w:t>
      </w:r>
    </w:p>
    <w:p w14:paraId="2D29B505" w14:textId="4D766249" w:rsidR="00BD20FB" w:rsidRPr="00D03C62" w:rsidRDefault="00BD20FB" w:rsidP="00BD20FB">
      <w:pPr>
        <w:pStyle w:val="ListParagraph"/>
        <w:numPr>
          <w:ilvl w:val="0"/>
          <w:numId w:val="1"/>
        </w:numPr>
        <w:spacing w:after="0" w:line="240" w:lineRule="auto"/>
        <w:rPr>
          <w:rFonts w:ascii="Arial Narrow" w:hAnsi="Arial Narrow"/>
        </w:rPr>
      </w:pPr>
      <w:r w:rsidRPr="00D03C62">
        <w:rPr>
          <w:rFonts w:ascii="Arial Narrow" w:hAnsi="Arial Narrow"/>
        </w:rPr>
        <w:t>Though RMG is huge export item, but very few NTMs are observed with this item.</w:t>
      </w:r>
    </w:p>
    <w:p w14:paraId="57F29533" w14:textId="18153312" w:rsidR="00BD20FB" w:rsidRPr="00D03C62" w:rsidRDefault="00BD20FB" w:rsidP="00BD20FB">
      <w:pPr>
        <w:pStyle w:val="ListParagraph"/>
        <w:numPr>
          <w:ilvl w:val="0"/>
          <w:numId w:val="1"/>
        </w:numPr>
        <w:spacing w:after="0" w:line="240" w:lineRule="auto"/>
        <w:rPr>
          <w:rFonts w:ascii="Arial Narrow" w:hAnsi="Arial Narrow"/>
        </w:rPr>
      </w:pPr>
      <w:r w:rsidRPr="00D03C62">
        <w:rPr>
          <w:rFonts w:ascii="Arial Narrow" w:hAnsi="Arial Narrow"/>
        </w:rPr>
        <w:t>Agricultural product relates to SPS and TBT</w:t>
      </w:r>
    </w:p>
    <w:p w14:paraId="00550752" w14:textId="77777777" w:rsidR="00BD20FB" w:rsidRPr="00D03C62" w:rsidRDefault="00BD20FB" w:rsidP="00BD20FB">
      <w:pPr>
        <w:pStyle w:val="ListParagraph"/>
        <w:numPr>
          <w:ilvl w:val="0"/>
          <w:numId w:val="1"/>
        </w:numPr>
        <w:spacing w:after="0" w:line="240" w:lineRule="auto"/>
        <w:rPr>
          <w:rFonts w:ascii="Arial Narrow" w:hAnsi="Arial Narrow"/>
        </w:rPr>
      </w:pPr>
    </w:p>
    <w:p w14:paraId="44959394" w14:textId="77777777" w:rsidR="00BD20FB" w:rsidRPr="00D03C62" w:rsidRDefault="00BD20FB" w:rsidP="001B62F7">
      <w:pPr>
        <w:spacing w:after="0" w:line="240" w:lineRule="auto"/>
        <w:rPr>
          <w:rFonts w:ascii="Arial Narrow" w:hAnsi="Arial Narrow"/>
        </w:rPr>
      </w:pPr>
    </w:p>
    <w:p w14:paraId="78EE99D0" w14:textId="21E21D60" w:rsidR="00D03C62" w:rsidRPr="00D03C62" w:rsidRDefault="00BF488C" w:rsidP="001B62F7">
      <w:pPr>
        <w:spacing w:after="0" w:line="240" w:lineRule="auto"/>
        <w:rPr>
          <w:rFonts w:ascii="Arial Narrow" w:hAnsi="Arial Narrow"/>
        </w:rPr>
      </w:pPr>
      <w:hyperlink r:id="rId5" w:history="1">
        <w:r w:rsidR="00D03C62" w:rsidRPr="00D03C62">
          <w:rPr>
            <w:rStyle w:val="Hyperlink"/>
            <w:rFonts w:ascii="Arial Narrow" w:hAnsi="Arial Narrow"/>
          </w:rPr>
          <w:t>https://iimk.ac.in/research/wmc2021/</w:t>
        </w:r>
      </w:hyperlink>
      <w:r w:rsidR="00D03C62" w:rsidRPr="00D03C62">
        <w:rPr>
          <w:rFonts w:ascii="Arial Narrow" w:hAnsi="Arial Narrow"/>
        </w:rPr>
        <w:t xml:space="preserve"> </w:t>
      </w:r>
    </w:p>
    <w:p w14:paraId="4ECB70F3" w14:textId="34AC2B41" w:rsidR="004F4B87" w:rsidRPr="00D03C62" w:rsidRDefault="00BF488C" w:rsidP="001B62F7">
      <w:pPr>
        <w:spacing w:after="0" w:line="240" w:lineRule="auto"/>
        <w:rPr>
          <w:rFonts w:ascii="Arial Narrow" w:hAnsi="Arial Narrow"/>
        </w:rPr>
      </w:pPr>
      <w:hyperlink r:id="rId6" w:history="1">
        <w:r w:rsidR="00D03C62" w:rsidRPr="00D03C62">
          <w:rPr>
            <w:rStyle w:val="Hyperlink"/>
            <w:rFonts w:ascii="Arial Narrow" w:hAnsi="Arial Narrow"/>
          </w:rPr>
          <w:t>http://eiitf.iift.ac.in/eiitf7N/eiitf.asp?menunav=3</w:t>
        </w:r>
      </w:hyperlink>
    </w:p>
    <w:p w14:paraId="5C23FC2B" w14:textId="2322E237" w:rsidR="004F4B87" w:rsidRPr="00D03C62" w:rsidRDefault="00BF488C" w:rsidP="001B62F7">
      <w:pPr>
        <w:spacing w:after="0" w:line="240" w:lineRule="auto"/>
        <w:rPr>
          <w:rFonts w:ascii="Arial Narrow" w:hAnsi="Arial Narrow"/>
        </w:rPr>
      </w:pPr>
      <w:hyperlink r:id="rId7" w:history="1">
        <w:r w:rsidR="004F4B87" w:rsidRPr="00D03C62">
          <w:rPr>
            <w:rStyle w:val="Hyperlink"/>
            <w:rFonts w:ascii="Arial Narrow" w:hAnsi="Arial Narrow"/>
          </w:rPr>
          <w:t>http://icbm.bracu.ac.bd/</w:t>
        </w:r>
      </w:hyperlink>
    </w:p>
    <w:p w14:paraId="4057A915" w14:textId="70AD2EA1" w:rsidR="004F4B87" w:rsidRPr="00D03C62" w:rsidRDefault="00BF488C" w:rsidP="001B62F7">
      <w:pPr>
        <w:spacing w:after="0" w:line="240" w:lineRule="auto"/>
        <w:rPr>
          <w:rFonts w:ascii="Arial Narrow" w:hAnsi="Arial Narrow"/>
        </w:rPr>
      </w:pPr>
      <w:hyperlink r:id="rId8" w:history="1">
        <w:r w:rsidR="004F4B87" w:rsidRPr="00D03C62">
          <w:rPr>
            <w:rStyle w:val="Hyperlink"/>
            <w:rFonts w:ascii="Arial Narrow" w:hAnsi="Arial Narrow"/>
          </w:rPr>
          <w:t>https://aicbm.aiub.edu/organizers/#</w:t>
        </w:r>
      </w:hyperlink>
    </w:p>
    <w:p w14:paraId="1A5DCCC3" w14:textId="6C1C90FE" w:rsidR="004F4B87" w:rsidRDefault="004F4B87" w:rsidP="001B62F7">
      <w:pPr>
        <w:spacing w:after="0" w:line="240" w:lineRule="auto"/>
        <w:rPr>
          <w:rFonts w:ascii="Arial Narrow" w:hAnsi="Arial Narrow"/>
        </w:rPr>
      </w:pPr>
    </w:p>
    <w:p w14:paraId="1EF357C9" w14:textId="47247EC8" w:rsidR="002602B8" w:rsidRDefault="002602B8" w:rsidP="001B62F7">
      <w:pPr>
        <w:spacing w:after="0" w:line="240" w:lineRule="auto"/>
        <w:rPr>
          <w:rFonts w:ascii="Arial Narrow" w:hAnsi="Arial Narrow"/>
        </w:rPr>
      </w:pPr>
      <w:r>
        <w:rPr>
          <w:rFonts w:ascii="Arial Narrow" w:hAnsi="Arial Narrow"/>
        </w:rPr>
        <w:t>REFERENCES</w:t>
      </w:r>
    </w:p>
    <w:p w14:paraId="5E20A169" w14:textId="24DD226C" w:rsidR="002602B8" w:rsidRDefault="002602B8" w:rsidP="001B62F7">
      <w:pPr>
        <w:spacing w:after="0" w:line="240" w:lineRule="auto"/>
        <w:rPr>
          <w:rFonts w:ascii="Arial Narrow" w:hAnsi="Arial Narrow"/>
        </w:rPr>
      </w:pPr>
    </w:p>
    <w:p w14:paraId="527E4494" w14:textId="03FD7EE3" w:rsidR="002602B8" w:rsidRDefault="002602B8" w:rsidP="001B62F7">
      <w:pPr>
        <w:spacing w:after="0" w:line="240" w:lineRule="auto"/>
        <w:rPr>
          <w:rFonts w:ascii="Arial Narrow" w:hAnsi="Arial Narrow"/>
        </w:rPr>
      </w:pPr>
      <w:r>
        <w:rPr>
          <w:rFonts w:ascii="Arial Narrow" w:hAnsi="Arial Narrow"/>
        </w:rPr>
        <w:t>[1]</w:t>
      </w:r>
      <w:r>
        <w:rPr>
          <w:rFonts w:ascii="Arial Narrow" w:hAnsi="Arial Narrow"/>
        </w:rPr>
        <w:tab/>
      </w:r>
      <w:r w:rsidRPr="002602B8">
        <w:rPr>
          <w:rFonts w:ascii="Arial Narrow" w:hAnsi="Arial Narrow"/>
        </w:rPr>
        <w:t>Kumar, C., &amp; Bharti, N. (2021). Post-SAFTA NTMs for Agricultural Trade: Revelations from the India–South Asia Approach. Foreign Trade Review, 56(1), 117-135.</w:t>
      </w:r>
    </w:p>
    <w:p w14:paraId="2EF98177" w14:textId="34E87225" w:rsidR="00E637D2" w:rsidRDefault="00E637D2" w:rsidP="001B62F7">
      <w:pPr>
        <w:spacing w:after="0" w:line="240" w:lineRule="auto"/>
        <w:rPr>
          <w:rFonts w:ascii="Arial Narrow" w:hAnsi="Arial Narrow"/>
        </w:rPr>
      </w:pPr>
    </w:p>
    <w:p w14:paraId="546FCCF5" w14:textId="0654C12B" w:rsidR="00E637D2" w:rsidRDefault="00E637D2" w:rsidP="001B62F7">
      <w:pPr>
        <w:spacing w:after="0" w:line="240" w:lineRule="auto"/>
        <w:rPr>
          <w:rFonts w:ascii="Arial Narrow" w:hAnsi="Arial Narrow"/>
        </w:rPr>
      </w:pPr>
      <w:r>
        <w:rPr>
          <w:rFonts w:ascii="Arial Narrow" w:hAnsi="Arial Narrow"/>
        </w:rPr>
        <w:t xml:space="preserve">[2] </w:t>
      </w:r>
      <w:r>
        <w:rPr>
          <w:rFonts w:ascii="Arial Narrow" w:hAnsi="Arial Narrow"/>
        </w:rPr>
        <w:tab/>
      </w:r>
      <w:proofErr w:type="spellStart"/>
      <w:r w:rsidRPr="00E637D2">
        <w:rPr>
          <w:rFonts w:ascii="Arial Narrow" w:hAnsi="Arial Narrow"/>
        </w:rPr>
        <w:t>Kathuria</w:t>
      </w:r>
      <w:proofErr w:type="spellEnd"/>
      <w:r w:rsidRPr="00E637D2">
        <w:rPr>
          <w:rFonts w:ascii="Arial Narrow" w:hAnsi="Arial Narrow"/>
        </w:rPr>
        <w:t>, S. (Ed.). (2018). A glass half full: The promise of regional trade in South Asia. World Bank Publications.</w:t>
      </w:r>
    </w:p>
    <w:p w14:paraId="7C8348D6" w14:textId="538E3F1D" w:rsidR="00FD5C37" w:rsidRDefault="00FD5C37" w:rsidP="001B62F7">
      <w:pPr>
        <w:spacing w:after="0" w:line="240" w:lineRule="auto"/>
        <w:rPr>
          <w:rFonts w:ascii="Arial Narrow" w:hAnsi="Arial Narrow"/>
        </w:rPr>
      </w:pPr>
    </w:p>
    <w:p w14:paraId="131821AA" w14:textId="74E67BD4" w:rsidR="00FD5C37" w:rsidRDefault="00FD5C37" w:rsidP="001B62F7">
      <w:pPr>
        <w:spacing w:after="0" w:line="240" w:lineRule="auto"/>
        <w:rPr>
          <w:rFonts w:ascii="Arial Narrow" w:hAnsi="Arial Narrow"/>
        </w:rPr>
      </w:pPr>
      <w:r>
        <w:rPr>
          <w:rFonts w:ascii="Arial Narrow" w:hAnsi="Arial Narrow"/>
        </w:rPr>
        <w:t>[3]</w:t>
      </w:r>
      <w:r>
        <w:rPr>
          <w:rFonts w:ascii="Arial Narrow" w:hAnsi="Arial Narrow"/>
        </w:rPr>
        <w:tab/>
      </w:r>
      <w:proofErr w:type="spellStart"/>
      <w:r w:rsidRPr="00FD5C37">
        <w:rPr>
          <w:rFonts w:ascii="Arial Narrow" w:hAnsi="Arial Narrow"/>
        </w:rPr>
        <w:t>Kinzius</w:t>
      </w:r>
      <w:proofErr w:type="spellEnd"/>
      <w:r w:rsidRPr="00FD5C37">
        <w:rPr>
          <w:rFonts w:ascii="Arial Narrow" w:hAnsi="Arial Narrow"/>
        </w:rPr>
        <w:t xml:space="preserve">, L., </w:t>
      </w:r>
      <w:proofErr w:type="spellStart"/>
      <w:r w:rsidRPr="00FD5C37">
        <w:rPr>
          <w:rFonts w:ascii="Arial Narrow" w:hAnsi="Arial Narrow"/>
        </w:rPr>
        <w:t>Sandkamp</w:t>
      </w:r>
      <w:proofErr w:type="spellEnd"/>
      <w:r w:rsidRPr="00FD5C37">
        <w:rPr>
          <w:rFonts w:ascii="Arial Narrow" w:hAnsi="Arial Narrow"/>
        </w:rPr>
        <w:t xml:space="preserve">, A., &amp; Yalcin, E. (2019). Trade protection and the role of non-tariff barriers. </w:t>
      </w:r>
      <w:r w:rsidRPr="00FD5C37">
        <w:rPr>
          <w:rFonts w:ascii="Arial Narrow" w:hAnsi="Arial Narrow"/>
          <w:i/>
          <w:iCs/>
        </w:rPr>
        <w:t>Review of World Economics, 155(4)</w:t>
      </w:r>
      <w:r w:rsidRPr="00FD5C37">
        <w:rPr>
          <w:rFonts w:ascii="Arial Narrow" w:hAnsi="Arial Narrow"/>
        </w:rPr>
        <w:t>, 603-643.</w:t>
      </w:r>
    </w:p>
    <w:p w14:paraId="49296F0C" w14:textId="55960317" w:rsidR="00B200E3" w:rsidRDefault="00B200E3" w:rsidP="001B62F7">
      <w:pPr>
        <w:spacing w:after="0" w:line="240" w:lineRule="auto"/>
        <w:rPr>
          <w:rFonts w:ascii="Arial Narrow" w:hAnsi="Arial Narrow"/>
        </w:rPr>
      </w:pPr>
    </w:p>
    <w:p w14:paraId="54964BD8" w14:textId="77777777" w:rsidR="00B200E3" w:rsidRPr="00B200E3" w:rsidRDefault="00B200E3" w:rsidP="00B200E3">
      <w:pPr>
        <w:spacing w:after="0" w:line="240" w:lineRule="auto"/>
        <w:ind w:firstLine="720"/>
        <w:rPr>
          <w:rFonts w:ascii="Arial Narrow" w:hAnsi="Arial Narrow"/>
        </w:rPr>
      </w:pPr>
      <w:proofErr w:type="spellStart"/>
      <w:r w:rsidRPr="00B200E3">
        <w:rPr>
          <w:rFonts w:ascii="Arial Narrow" w:hAnsi="Arial Narrow"/>
        </w:rPr>
        <w:t>Niu</w:t>
      </w:r>
      <w:proofErr w:type="spellEnd"/>
      <w:r w:rsidRPr="00B200E3">
        <w:rPr>
          <w:rFonts w:ascii="Arial Narrow" w:hAnsi="Arial Narrow"/>
        </w:rPr>
        <w:t xml:space="preserve">, Z., Liu, C., </w:t>
      </w:r>
      <w:proofErr w:type="spellStart"/>
      <w:r w:rsidRPr="00B200E3">
        <w:rPr>
          <w:rFonts w:ascii="Arial Narrow" w:hAnsi="Arial Narrow"/>
        </w:rPr>
        <w:t>Gunessee</w:t>
      </w:r>
      <w:proofErr w:type="spellEnd"/>
      <w:r w:rsidRPr="00B200E3">
        <w:rPr>
          <w:rFonts w:ascii="Arial Narrow" w:hAnsi="Arial Narrow"/>
        </w:rPr>
        <w:t>, S., &amp; Milner, C. (2017). Non-tariff and overall protection: Evidence from</w:t>
      </w:r>
    </w:p>
    <w:p w14:paraId="24E87F07" w14:textId="77777777" w:rsidR="00B200E3" w:rsidRPr="00B200E3" w:rsidRDefault="00B200E3" w:rsidP="00B200E3">
      <w:pPr>
        <w:spacing w:after="0" w:line="240" w:lineRule="auto"/>
        <w:rPr>
          <w:rFonts w:ascii="Arial Narrow" w:hAnsi="Arial Narrow"/>
          <w:i/>
          <w:iCs/>
        </w:rPr>
      </w:pPr>
      <w:r w:rsidRPr="00B200E3">
        <w:rPr>
          <w:rFonts w:ascii="Arial Narrow" w:hAnsi="Arial Narrow"/>
        </w:rPr>
        <w:t xml:space="preserve">across countries and over time. </w:t>
      </w:r>
      <w:r w:rsidRPr="00B200E3">
        <w:rPr>
          <w:rFonts w:ascii="Arial Narrow" w:hAnsi="Arial Narrow"/>
          <w:i/>
          <w:iCs/>
        </w:rPr>
        <w:t>University of Nottingham Research Paper Series Political Economy</w:t>
      </w:r>
    </w:p>
    <w:p w14:paraId="77015A20" w14:textId="5DB527A3" w:rsidR="00B200E3" w:rsidRDefault="00B200E3" w:rsidP="00B200E3">
      <w:pPr>
        <w:spacing w:after="0" w:line="240" w:lineRule="auto"/>
        <w:rPr>
          <w:rFonts w:ascii="Arial Narrow" w:hAnsi="Arial Narrow"/>
        </w:rPr>
      </w:pPr>
      <w:r w:rsidRPr="00B200E3">
        <w:rPr>
          <w:rFonts w:ascii="Arial Narrow" w:hAnsi="Arial Narrow"/>
          <w:i/>
          <w:iCs/>
        </w:rPr>
        <w:t xml:space="preserve">of </w:t>
      </w:r>
      <w:proofErr w:type="spellStart"/>
      <w:r w:rsidRPr="00B200E3">
        <w:rPr>
          <w:rFonts w:ascii="Arial Narrow" w:hAnsi="Arial Narrow"/>
          <w:i/>
          <w:iCs/>
        </w:rPr>
        <w:t>Globalisation</w:t>
      </w:r>
      <w:proofErr w:type="spellEnd"/>
      <w:r w:rsidRPr="00B200E3">
        <w:rPr>
          <w:rFonts w:ascii="Arial Narrow" w:hAnsi="Arial Narrow"/>
        </w:rPr>
        <w:t>, 08.</w:t>
      </w:r>
    </w:p>
    <w:p w14:paraId="09BE8D08" w14:textId="6E352633" w:rsidR="00B200E3" w:rsidRDefault="00B200E3" w:rsidP="00B200E3">
      <w:pPr>
        <w:spacing w:after="0" w:line="240" w:lineRule="auto"/>
        <w:rPr>
          <w:rFonts w:ascii="Arial Narrow" w:hAnsi="Arial Narrow"/>
        </w:rPr>
      </w:pPr>
    </w:p>
    <w:p w14:paraId="08075882" w14:textId="36353E86" w:rsidR="00B200E3" w:rsidRDefault="006D22F3" w:rsidP="006D22F3">
      <w:pPr>
        <w:spacing w:after="0" w:line="240" w:lineRule="auto"/>
        <w:ind w:firstLine="720"/>
        <w:rPr>
          <w:rFonts w:ascii="Arial Narrow" w:hAnsi="Arial Narrow"/>
        </w:rPr>
      </w:pPr>
      <w:proofErr w:type="spellStart"/>
      <w:r w:rsidRPr="006D22F3">
        <w:rPr>
          <w:rFonts w:ascii="Arial Narrow" w:hAnsi="Arial Narrow"/>
        </w:rPr>
        <w:t>Hoekman</w:t>
      </w:r>
      <w:proofErr w:type="spellEnd"/>
      <w:r w:rsidRPr="006D22F3">
        <w:rPr>
          <w:rFonts w:ascii="Arial Narrow" w:hAnsi="Arial Narrow"/>
        </w:rPr>
        <w:t xml:space="preserve">, B., &amp; </w:t>
      </w:r>
      <w:proofErr w:type="spellStart"/>
      <w:r w:rsidRPr="006D22F3">
        <w:rPr>
          <w:rFonts w:ascii="Arial Narrow" w:hAnsi="Arial Narrow"/>
        </w:rPr>
        <w:t>Nicita</w:t>
      </w:r>
      <w:proofErr w:type="spellEnd"/>
      <w:r w:rsidRPr="006D22F3">
        <w:rPr>
          <w:rFonts w:ascii="Arial Narrow" w:hAnsi="Arial Narrow"/>
        </w:rPr>
        <w:t xml:space="preserve">, A. (2011). Trade policy, trade costs, and developing country trade. </w:t>
      </w:r>
      <w:r w:rsidRPr="006D22F3">
        <w:rPr>
          <w:rFonts w:ascii="Arial Narrow" w:hAnsi="Arial Narrow"/>
          <w:i/>
          <w:iCs/>
        </w:rPr>
        <w:t>World Development, 39(12)</w:t>
      </w:r>
      <w:r w:rsidRPr="006D22F3">
        <w:rPr>
          <w:rFonts w:ascii="Arial Narrow" w:hAnsi="Arial Narrow"/>
        </w:rPr>
        <w:t>, 2069–2079.</w:t>
      </w:r>
    </w:p>
    <w:p w14:paraId="33AC6469" w14:textId="7794DFCA" w:rsidR="00E24F02" w:rsidRDefault="00E24F02" w:rsidP="006D22F3">
      <w:pPr>
        <w:spacing w:after="0" w:line="240" w:lineRule="auto"/>
        <w:ind w:firstLine="720"/>
        <w:rPr>
          <w:rFonts w:ascii="Arial Narrow" w:hAnsi="Arial Narrow"/>
        </w:rPr>
      </w:pPr>
    </w:p>
    <w:p w14:paraId="413D2807" w14:textId="77777777" w:rsidR="00E24F02" w:rsidRPr="00E24F02" w:rsidRDefault="00E24F02" w:rsidP="00E24F02">
      <w:pPr>
        <w:spacing w:after="0" w:line="240" w:lineRule="auto"/>
        <w:ind w:firstLine="720"/>
        <w:rPr>
          <w:rFonts w:ascii="Arial Narrow" w:hAnsi="Arial Narrow"/>
        </w:rPr>
      </w:pPr>
      <w:proofErr w:type="spellStart"/>
      <w:r w:rsidRPr="00E24F02">
        <w:rPr>
          <w:rFonts w:ascii="Arial Narrow" w:hAnsi="Arial Narrow"/>
        </w:rPr>
        <w:t>Crivelli</w:t>
      </w:r>
      <w:proofErr w:type="spellEnd"/>
      <w:r w:rsidRPr="00E24F02">
        <w:rPr>
          <w:rFonts w:ascii="Arial Narrow" w:hAnsi="Arial Narrow"/>
        </w:rPr>
        <w:t xml:space="preserve">, P., &amp; </w:t>
      </w:r>
      <w:proofErr w:type="spellStart"/>
      <w:r w:rsidRPr="00E24F02">
        <w:rPr>
          <w:rFonts w:ascii="Arial Narrow" w:hAnsi="Arial Narrow"/>
        </w:rPr>
        <w:t>Gröschl</w:t>
      </w:r>
      <w:proofErr w:type="spellEnd"/>
      <w:r w:rsidRPr="00E24F02">
        <w:rPr>
          <w:rFonts w:ascii="Arial Narrow" w:hAnsi="Arial Narrow"/>
        </w:rPr>
        <w:t>, J. (2016). The impact of sanitary and phytosanitary measures on market entry and</w:t>
      </w:r>
    </w:p>
    <w:p w14:paraId="255A4BCF" w14:textId="0CCA55BC" w:rsidR="00E24F02" w:rsidRDefault="00E24F02" w:rsidP="00E24F02">
      <w:pPr>
        <w:spacing w:after="0" w:line="240" w:lineRule="auto"/>
        <w:rPr>
          <w:rFonts w:ascii="Arial Narrow" w:hAnsi="Arial Narrow"/>
        </w:rPr>
      </w:pPr>
      <w:r w:rsidRPr="00E24F02">
        <w:rPr>
          <w:rFonts w:ascii="Arial Narrow" w:hAnsi="Arial Narrow"/>
        </w:rPr>
        <w:t xml:space="preserve">trade flows. </w:t>
      </w:r>
      <w:r w:rsidRPr="00E24F02">
        <w:rPr>
          <w:rFonts w:ascii="Arial Narrow" w:hAnsi="Arial Narrow"/>
          <w:i/>
          <w:iCs/>
        </w:rPr>
        <w:t>The World Economy</w:t>
      </w:r>
      <w:r w:rsidRPr="00E24F02">
        <w:rPr>
          <w:rFonts w:ascii="Arial Narrow" w:hAnsi="Arial Narrow"/>
        </w:rPr>
        <w:t>. https ://doi.org/10.1111/twec.</w:t>
      </w:r>
      <w:proofErr w:type="gramStart"/>
      <w:r w:rsidRPr="00E24F02">
        <w:rPr>
          <w:rFonts w:ascii="Arial Narrow" w:hAnsi="Arial Narrow"/>
        </w:rPr>
        <w:t>12283 .</w:t>
      </w:r>
      <w:proofErr w:type="gramEnd"/>
    </w:p>
    <w:p w14:paraId="4947CFC2" w14:textId="62FA23BC" w:rsidR="004B46C6" w:rsidRDefault="004B46C6" w:rsidP="00E24F02">
      <w:pPr>
        <w:spacing w:after="0" w:line="240" w:lineRule="auto"/>
        <w:rPr>
          <w:rFonts w:ascii="Arial Narrow" w:hAnsi="Arial Narrow"/>
        </w:rPr>
      </w:pPr>
    </w:p>
    <w:p w14:paraId="3139D078" w14:textId="308822AA" w:rsidR="004B46C6" w:rsidRDefault="004B46C6" w:rsidP="004B46C6">
      <w:pPr>
        <w:spacing w:after="0" w:line="240" w:lineRule="auto"/>
        <w:ind w:firstLine="720"/>
        <w:rPr>
          <w:rFonts w:ascii="Arial Narrow" w:hAnsi="Arial Narrow"/>
        </w:rPr>
      </w:pPr>
      <w:proofErr w:type="spellStart"/>
      <w:r w:rsidRPr="004B46C6">
        <w:rPr>
          <w:rFonts w:ascii="Arial Narrow" w:hAnsi="Arial Narrow"/>
        </w:rPr>
        <w:t>Ghodsi</w:t>
      </w:r>
      <w:proofErr w:type="spellEnd"/>
      <w:r w:rsidRPr="004B46C6">
        <w:rPr>
          <w:rFonts w:ascii="Arial Narrow" w:hAnsi="Arial Narrow"/>
        </w:rPr>
        <w:t xml:space="preserve">, M., </w:t>
      </w:r>
      <w:proofErr w:type="spellStart"/>
      <w:r w:rsidRPr="004B46C6">
        <w:rPr>
          <w:rFonts w:ascii="Arial Narrow" w:hAnsi="Arial Narrow"/>
        </w:rPr>
        <w:t>Grübler</w:t>
      </w:r>
      <w:proofErr w:type="spellEnd"/>
      <w:r w:rsidRPr="004B46C6">
        <w:rPr>
          <w:rFonts w:ascii="Arial Narrow" w:hAnsi="Arial Narrow"/>
        </w:rPr>
        <w:t xml:space="preserve">, J., Reiter, O., &amp; </w:t>
      </w:r>
      <w:proofErr w:type="spellStart"/>
      <w:r w:rsidRPr="004B46C6">
        <w:rPr>
          <w:rFonts w:ascii="Arial Narrow" w:hAnsi="Arial Narrow"/>
        </w:rPr>
        <w:t>Stehrer</w:t>
      </w:r>
      <w:proofErr w:type="spellEnd"/>
      <w:r w:rsidRPr="004B46C6">
        <w:rPr>
          <w:rFonts w:ascii="Arial Narrow" w:hAnsi="Arial Narrow"/>
        </w:rPr>
        <w:t>, R. (2017). The evolution of non-tariff measures and their</w:t>
      </w:r>
      <w:r>
        <w:rPr>
          <w:rFonts w:ascii="Arial Narrow" w:hAnsi="Arial Narrow"/>
        </w:rPr>
        <w:t xml:space="preserve"> </w:t>
      </w:r>
      <w:r w:rsidRPr="004B46C6">
        <w:rPr>
          <w:rFonts w:ascii="Arial Narrow" w:hAnsi="Arial Narrow"/>
        </w:rPr>
        <w:t>diverse effects on trade. Technical Report 419, Vienna Institute for International Economic Studies,</w:t>
      </w:r>
      <w:r>
        <w:rPr>
          <w:rFonts w:ascii="Arial Narrow" w:hAnsi="Arial Narrow"/>
        </w:rPr>
        <w:t xml:space="preserve"> </w:t>
      </w:r>
      <w:r w:rsidRPr="004B46C6">
        <w:rPr>
          <w:rFonts w:ascii="Arial Narrow" w:hAnsi="Arial Narrow"/>
        </w:rPr>
        <w:t>Vienna.</w:t>
      </w:r>
    </w:p>
    <w:p w14:paraId="71A69877" w14:textId="1F33FCBA" w:rsidR="001823F5" w:rsidRDefault="001823F5" w:rsidP="004B46C6">
      <w:pPr>
        <w:spacing w:after="0" w:line="240" w:lineRule="auto"/>
        <w:ind w:firstLine="720"/>
        <w:rPr>
          <w:rFonts w:ascii="Arial Narrow" w:hAnsi="Arial Narrow"/>
        </w:rPr>
      </w:pPr>
    </w:p>
    <w:p w14:paraId="179AF988" w14:textId="77777777" w:rsidR="001823F5" w:rsidRPr="001823F5" w:rsidRDefault="001823F5" w:rsidP="001823F5">
      <w:pPr>
        <w:spacing w:after="0" w:line="240" w:lineRule="auto"/>
        <w:ind w:firstLine="720"/>
        <w:rPr>
          <w:rFonts w:ascii="Arial Narrow" w:hAnsi="Arial Narrow"/>
        </w:rPr>
      </w:pPr>
      <w:proofErr w:type="spellStart"/>
      <w:r w:rsidRPr="001823F5">
        <w:rPr>
          <w:rFonts w:ascii="Arial Narrow" w:hAnsi="Arial Narrow"/>
        </w:rPr>
        <w:t>Swinnen</w:t>
      </w:r>
      <w:proofErr w:type="spellEnd"/>
      <w:r w:rsidRPr="001823F5">
        <w:rPr>
          <w:rFonts w:ascii="Arial Narrow" w:hAnsi="Arial Narrow"/>
        </w:rPr>
        <w:t xml:space="preserve">, J. F. and </w:t>
      </w:r>
      <w:proofErr w:type="spellStart"/>
      <w:r w:rsidRPr="001823F5">
        <w:rPr>
          <w:rFonts w:ascii="Arial Narrow" w:hAnsi="Arial Narrow"/>
        </w:rPr>
        <w:t>Vandemoortele</w:t>
      </w:r>
      <w:proofErr w:type="spellEnd"/>
      <w:r w:rsidRPr="001823F5">
        <w:rPr>
          <w:rFonts w:ascii="Arial Narrow" w:hAnsi="Arial Narrow"/>
        </w:rPr>
        <w:t>, T. ‘Trade and the political economy of food standards’,</w:t>
      </w:r>
    </w:p>
    <w:p w14:paraId="287329D6" w14:textId="2F63A109" w:rsidR="001823F5" w:rsidRDefault="001823F5" w:rsidP="001823F5">
      <w:pPr>
        <w:spacing w:after="0" w:line="240" w:lineRule="auto"/>
        <w:rPr>
          <w:rFonts w:ascii="Arial Narrow" w:hAnsi="Arial Narrow"/>
        </w:rPr>
      </w:pPr>
      <w:r w:rsidRPr="001823F5">
        <w:rPr>
          <w:rFonts w:ascii="Arial Narrow" w:hAnsi="Arial Narrow"/>
          <w:i/>
          <w:iCs/>
        </w:rPr>
        <w:t>Journal of Agricultural Economics</w:t>
      </w:r>
      <w:r w:rsidRPr="001823F5">
        <w:rPr>
          <w:rFonts w:ascii="Arial Narrow" w:hAnsi="Arial Narrow"/>
        </w:rPr>
        <w:t>, Vol. 62, (2011) pp. 259–280.</w:t>
      </w:r>
    </w:p>
    <w:p w14:paraId="32E70624" w14:textId="63E35803" w:rsidR="00E24F02" w:rsidRDefault="00E24F02" w:rsidP="00E24F02">
      <w:pPr>
        <w:spacing w:after="0" w:line="240" w:lineRule="auto"/>
        <w:rPr>
          <w:rFonts w:ascii="Arial Narrow" w:hAnsi="Arial Narrow"/>
        </w:rPr>
      </w:pPr>
    </w:p>
    <w:p w14:paraId="4EC95EBC" w14:textId="1E442219" w:rsidR="006D22F3" w:rsidRDefault="006D22F3" w:rsidP="006D22F3">
      <w:pPr>
        <w:spacing w:after="0" w:line="240" w:lineRule="auto"/>
        <w:rPr>
          <w:rFonts w:ascii="Arial Narrow" w:hAnsi="Arial Narrow"/>
        </w:rPr>
      </w:pPr>
    </w:p>
    <w:p w14:paraId="36DCDDB8" w14:textId="77777777" w:rsidR="006D22F3" w:rsidRDefault="006D22F3" w:rsidP="006D22F3">
      <w:pPr>
        <w:spacing w:after="0" w:line="240" w:lineRule="auto"/>
        <w:rPr>
          <w:rFonts w:ascii="Arial Narrow" w:hAnsi="Arial Narrow"/>
        </w:rPr>
      </w:pPr>
    </w:p>
    <w:p w14:paraId="36C2659D" w14:textId="5AC10852" w:rsidR="00E637D2" w:rsidRDefault="00E637D2" w:rsidP="001B62F7">
      <w:pPr>
        <w:spacing w:after="0" w:line="240" w:lineRule="auto"/>
        <w:rPr>
          <w:rFonts w:ascii="Arial Narrow" w:hAnsi="Arial Narrow"/>
        </w:rPr>
      </w:pPr>
    </w:p>
    <w:p w14:paraId="3A691080" w14:textId="77777777" w:rsidR="00E637D2" w:rsidRDefault="00E637D2" w:rsidP="001B62F7">
      <w:pPr>
        <w:spacing w:after="0" w:line="240" w:lineRule="auto"/>
        <w:rPr>
          <w:rFonts w:ascii="Arial Narrow" w:hAnsi="Arial Narrow"/>
        </w:rPr>
      </w:pPr>
    </w:p>
    <w:p w14:paraId="73EA1AA4" w14:textId="770CF1FF" w:rsidR="002602B8" w:rsidRDefault="002602B8" w:rsidP="001B62F7">
      <w:pPr>
        <w:spacing w:after="0" w:line="240" w:lineRule="auto"/>
        <w:rPr>
          <w:rFonts w:ascii="Arial Narrow" w:hAnsi="Arial Narrow"/>
        </w:rPr>
      </w:pPr>
    </w:p>
    <w:p w14:paraId="46ACC915" w14:textId="77777777" w:rsidR="002602B8" w:rsidRPr="00D03C62" w:rsidRDefault="002602B8" w:rsidP="001B62F7">
      <w:pPr>
        <w:spacing w:after="0" w:line="240" w:lineRule="auto"/>
        <w:rPr>
          <w:rFonts w:ascii="Arial Narrow" w:hAnsi="Arial Narrow"/>
        </w:rPr>
      </w:pPr>
    </w:p>
    <w:p w14:paraId="566B02F7" w14:textId="77777777" w:rsidR="001B62F7" w:rsidRPr="00D03C62" w:rsidRDefault="001B62F7" w:rsidP="001B62F7">
      <w:pPr>
        <w:spacing w:after="0" w:line="240" w:lineRule="auto"/>
        <w:rPr>
          <w:rFonts w:ascii="Arial Narrow" w:hAnsi="Arial Narrow"/>
        </w:rPr>
      </w:pPr>
    </w:p>
    <w:p w14:paraId="7B94F276" w14:textId="77777777" w:rsidR="002208EB" w:rsidRPr="00D03C62" w:rsidRDefault="002208EB" w:rsidP="001B62F7">
      <w:pPr>
        <w:spacing w:after="0" w:line="240" w:lineRule="auto"/>
        <w:rPr>
          <w:rFonts w:ascii="Arial Narrow" w:hAnsi="Arial Narrow"/>
        </w:rPr>
      </w:pPr>
    </w:p>
    <w:sectPr w:rsidR="002208EB" w:rsidRPr="00D0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TIXGeneral-Italic20">
    <w:altName w:val="Calibri"/>
    <w:panose1 w:val="00000000000000000000"/>
    <w:charset w:val="00"/>
    <w:family w:val="auto"/>
    <w:notTrueType/>
    <w:pitch w:val="default"/>
    <w:sig w:usb0="00000003" w:usb1="00000000" w:usb2="00000000" w:usb3="00000000" w:csb0="00000001" w:csb1="00000000"/>
  </w:font>
  <w:font w:name="STIXMath-Regular4">
    <w:altName w:val="Calibri"/>
    <w:panose1 w:val="00000000000000000000"/>
    <w:charset w:val="00"/>
    <w:family w:val="auto"/>
    <w:notTrueType/>
    <w:pitch w:val="default"/>
    <w:sig w:usb0="00000003" w:usb1="00000000" w:usb2="00000000" w:usb3="00000000" w:csb0="00000001" w:csb1="00000000"/>
  </w:font>
  <w:font w:name="STIXMath-Italic14">
    <w:altName w:val="Calibri"/>
    <w:panose1 w:val="00000000000000000000"/>
    <w:charset w:val="00"/>
    <w:family w:val="auto"/>
    <w:notTrueType/>
    <w:pitch w:val="default"/>
    <w:sig w:usb0="00000003" w:usb1="00000000" w:usb2="00000000" w:usb3="00000000" w:csb0="00000001" w:csb1="00000000"/>
  </w:font>
  <w:font w:name="STIXGeneral-Regular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E66"/>
    <w:multiLevelType w:val="hybridMultilevel"/>
    <w:tmpl w:val="8154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EB"/>
    <w:rsid w:val="000879A4"/>
    <w:rsid w:val="000A0E28"/>
    <w:rsid w:val="001823F5"/>
    <w:rsid w:val="001B62F7"/>
    <w:rsid w:val="002208EB"/>
    <w:rsid w:val="002602B8"/>
    <w:rsid w:val="002C3872"/>
    <w:rsid w:val="00384696"/>
    <w:rsid w:val="003A09B5"/>
    <w:rsid w:val="003F3C20"/>
    <w:rsid w:val="004B46C6"/>
    <w:rsid w:val="004F4B87"/>
    <w:rsid w:val="005B347F"/>
    <w:rsid w:val="00631F40"/>
    <w:rsid w:val="006D22F3"/>
    <w:rsid w:val="006D7024"/>
    <w:rsid w:val="00796467"/>
    <w:rsid w:val="007A6953"/>
    <w:rsid w:val="0083176E"/>
    <w:rsid w:val="008430E0"/>
    <w:rsid w:val="009F696C"/>
    <w:rsid w:val="00A57B7A"/>
    <w:rsid w:val="00B161A7"/>
    <w:rsid w:val="00B200E3"/>
    <w:rsid w:val="00BD20FB"/>
    <w:rsid w:val="00BF488C"/>
    <w:rsid w:val="00C10BF7"/>
    <w:rsid w:val="00C47D8B"/>
    <w:rsid w:val="00CC6494"/>
    <w:rsid w:val="00D03C62"/>
    <w:rsid w:val="00E24D7E"/>
    <w:rsid w:val="00E24F02"/>
    <w:rsid w:val="00E637D2"/>
    <w:rsid w:val="00EC74C9"/>
    <w:rsid w:val="00F973D5"/>
    <w:rsid w:val="00FD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27D3"/>
  <w15:chartTrackingRefBased/>
  <w15:docId w15:val="{22BA38F9-7E32-4F49-9273-B129CC6D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4B87"/>
    <w:rPr>
      <w:color w:val="0563C1" w:themeColor="hyperlink"/>
      <w:u w:val="single"/>
    </w:rPr>
  </w:style>
  <w:style w:type="character" w:styleId="UnresolvedMention">
    <w:name w:val="Unresolved Mention"/>
    <w:basedOn w:val="DefaultParagraphFont"/>
    <w:uiPriority w:val="99"/>
    <w:semiHidden/>
    <w:unhideWhenUsed/>
    <w:rsid w:val="004F4B87"/>
    <w:rPr>
      <w:color w:val="605E5C"/>
      <w:shd w:val="clear" w:color="auto" w:fill="E1DFDD"/>
    </w:rPr>
  </w:style>
  <w:style w:type="paragraph" w:styleId="ListParagraph">
    <w:name w:val="List Paragraph"/>
    <w:basedOn w:val="Normal"/>
    <w:uiPriority w:val="34"/>
    <w:qFormat/>
    <w:rsid w:val="00BD2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cbm.aiub.edu/organizers/" TargetMode="External"/><Relationship Id="rId3" Type="http://schemas.openxmlformats.org/officeDocument/2006/relationships/settings" Target="settings.xml"/><Relationship Id="rId7" Type="http://schemas.openxmlformats.org/officeDocument/2006/relationships/hyperlink" Target="http://icbm.brac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iitf.iift.ac.in/eiitf7N/eiitf.asp?menunav=3" TargetMode="External"/><Relationship Id="rId5" Type="http://schemas.openxmlformats.org/officeDocument/2006/relationships/hyperlink" Target="https://iimk.ac.in/research/wmc20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2021-07-23T11:45:00Z</dcterms:created>
  <dcterms:modified xsi:type="dcterms:W3CDTF">2021-08-15T20:37:00Z</dcterms:modified>
</cp:coreProperties>
</file>