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382A" w14:textId="15E8A0BE" w:rsidR="004C483E" w:rsidRPr="0056225B" w:rsidRDefault="0056225B">
      <w:pPr>
        <w:rPr>
          <w:rFonts w:ascii="Arial Narrow" w:hAnsi="Arial Narrow"/>
          <w:b/>
          <w:bCs/>
          <w:sz w:val="24"/>
          <w:szCs w:val="24"/>
        </w:rPr>
      </w:pPr>
      <w:r w:rsidRPr="0056225B">
        <w:rPr>
          <w:rFonts w:ascii="Arial Narrow" w:hAnsi="Arial Narrow"/>
          <w:b/>
          <w:bCs/>
          <w:sz w:val="24"/>
          <w:szCs w:val="24"/>
        </w:rPr>
        <w:t>PROJECT 2: DETERMINANTS OF INFLATION IN THE UNITED STATES</w:t>
      </w:r>
    </w:p>
    <w:p w14:paraId="66515B7C" w14:textId="3534830D" w:rsidR="0056225B" w:rsidRDefault="0056225B" w:rsidP="0056225B">
      <w:pPr>
        <w:rPr>
          <w:rFonts w:ascii="Arial Narrow" w:hAnsi="Arial Narrow" w:cstheme="majorHAnsi"/>
          <w:b/>
          <w:bCs/>
        </w:rPr>
      </w:pPr>
      <w:r>
        <w:rPr>
          <w:rFonts w:ascii="Arial Narrow" w:hAnsi="Arial Narrow" w:cstheme="majorHAnsi"/>
          <w:b/>
          <w:bCs/>
        </w:rPr>
        <w:t>Data and Sample</w:t>
      </w:r>
    </w:p>
    <w:p w14:paraId="6E889FC0" w14:textId="43B6BC43" w:rsidR="0056225B" w:rsidRPr="0056225B" w:rsidRDefault="0056225B" w:rsidP="0056225B">
      <w:pPr>
        <w:rPr>
          <w:rFonts w:ascii="Arial Narrow" w:hAnsi="Arial Narrow" w:cstheme="majorHAnsi"/>
        </w:rPr>
      </w:pPr>
      <w:r w:rsidRPr="0056225B">
        <w:rPr>
          <w:rFonts w:ascii="Arial Narrow" w:hAnsi="Arial Narrow" w:cstheme="majorHAnsi"/>
        </w:rPr>
        <w:t xml:space="preserve">This study </w:t>
      </w:r>
      <w:r>
        <w:rPr>
          <w:rFonts w:ascii="Arial Narrow" w:hAnsi="Arial Narrow" w:cstheme="majorHAnsi"/>
        </w:rPr>
        <w:t>uses</w:t>
      </w:r>
      <w:r w:rsidRPr="0056225B">
        <w:rPr>
          <w:rFonts w:ascii="Arial Narrow" w:hAnsi="Arial Narrow" w:cstheme="majorHAnsi"/>
        </w:rPr>
        <w:t xml:space="preserve"> monthly macroeconomic data for the United States acquired from the Federal Reserve Economic Data (FRED). The variables used in this study include the Consumer Price Index (CPI), unemployment rate, Federal Funds Rate, and M2 money supply.</w:t>
      </w:r>
    </w:p>
    <w:p w14:paraId="68356E92" w14:textId="304B495C" w:rsidR="0056225B" w:rsidRDefault="0056225B" w:rsidP="0056225B">
      <w:pPr>
        <w:rPr>
          <w:rFonts w:ascii="Arial Narrow" w:hAnsi="Arial Narrow" w:cstheme="majorHAnsi"/>
        </w:rPr>
      </w:pPr>
      <w:r>
        <w:rPr>
          <w:rFonts w:ascii="Arial Narrow" w:hAnsi="Arial Narrow" w:cstheme="majorHAnsi"/>
        </w:rPr>
        <w:t>After merging the</w:t>
      </w:r>
      <w:r w:rsidRPr="0056225B">
        <w:rPr>
          <w:rFonts w:ascii="Arial Narrow" w:hAnsi="Arial Narrow" w:cstheme="majorHAnsi"/>
        </w:rPr>
        <w:t xml:space="preserve"> dataset</w:t>
      </w:r>
      <w:r>
        <w:rPr>
          <w:rFonts w:ascii="Arial Narrow" w:hAnsi="Arial Narrow" w:cstheme="majorHAnsi"/>
        </w:rPr>
        <w:t>s</w:t>
      </w:r>
      <w:r w:rsidRPr="0056225B">
        <w:rPr>
          <w:rFonts w:ascii="Arial Narrow" w:hAnsi="Arial Narrow" w:cstheme="majorHAnsi"/>
        </w:rPr>
        <w:t xml:space="preserve"> and </w:t>
      </w:r>
      <w:r>
        <w:rPr>
          <w:rFonts w:ascii="Arial Narrow" w:hAnsi="Arial Narrow" w:cstheme="majorHAnsi"/>
        </w:rPr>
        <w:t>transforming</w:t>
      </w:r>
      <w:r w:rsidRPr="0056225B">
        <w:rPr>
          <w:rFonts w:ascii="Arial Narrow" w:hAnsi="Arial Narrow" w:cstheme="majorHAnsi"/>
        </w:rPr>
        <w:t xml:space="preserve"> variables</w:t>
      </w:r>
      <w:r>
        <w:rPr>
          <w:rFonts w:ascii="Arial Narrow" w:hAnsi="Arial Narrow" w:cstheme="majorHAnsi"/>
        </w:rPr>
        <w:t>,</w:t>
      </w:r>
      <w:r w:rsidRPr="0056225B">
        <w:rPr>
          <w:rFonts w:ascii="Arial Narrow" w:hAnsi="Arial Narrow" w:cstheme="majorHAnsi"/>
        </w:rPr>
        <w:t xml:space="preserve"> </w:t>
      </w:r>
      <w:r>
        <w:rPr>
          <w:rFonts w:ascii="Arial Narrow" w:hAnsi="Arial Narrow" w:cstheme="majorHAnsi"/>
        </w:rPr>
        <w:t>the</w:t>
      </w:r>
      <w:r w:rsidRPr="0056225B">
        <w:rPr>
          <w:rFonts w:ascii="Arial Narrow" w:hAnsi="Arial Narrow" w:cstheme="majorHAnsi"/>
        </w:rPr>
        <w:t xml:space="preserve"> final regression data</w:t>
      </w:r>
      <w:r>
        <w:rPr>
          <w:rFonts w:ascii="Arial Narrow" w:hAnsi="Arial Narrow" w:cstheme="majorHAnsi"/>
        </w:rPr>
        <w:t xml:space="preserve">set was </w:t>
      </w:r>
      <w:r w:rsidRPr="0056225B">
        <w:rPr>
          <w:rFonts w:ascii="Arial Narrow" w:hAnsi="Arial Narrow" w:cstheme="majorHAnsi"/>
        </w:rPr>
        <w:t>composed of 808 observations.</w:t>
      </w:r>
    </w:p>
    <w:p w14:paraId="383B3E0E" w14:textId="35D55886" w:rsidR="0056225B" w:rsidRDefault="0056225B" w:rsidP="0056225B">
      <w:pPr>
        <w:rPr>
          <w:rFonts w:ascii="Arial Narrow" w:hAnsi="Arial Narrow" w:cstheme="majorHAnsi"/>
          <w:b/>
          <w:bCs/>
        </w:rPr>
      </w:pPr>
      <w:r w:rsidRPr="0056225B">
        <w:rPr>
          <w:rFonts w:ascii="Arial Narrow" w:hAnsi="Arial Narrow" w:cstheme="majorHAnsi"/>
          <w:b/>
          <w:bCs/>
        </w:rPr>
        <w:t>Variables</w:t>
      </w:r>
    </w:p>
    <w:p w14:paraId="48300AA0" w14:textId="34E15998" w:rsidR="0056225B" w:rsidRDefault="0056225B" w:rsidP="0056225B">
      <w:pPr>
        <w:rPr>
          <w:rFonts w:ascii="Arial Narrow" w:hAnsi="Arial Narrow" w:cstheme="majorHAnsi"/>
        </w:rPr>
      </w:pPr>
      <w:r>
        <w:rPr>
          <w:rFonts w:ascii="Arial Narrow" w:hAnsi="Arial Narrow" w:cstheme="majorHAnsi"/>
        </w:rPr>
        <w:t xml:space="preserve">Inflation was used as the dependent variable and was measured by the monthly percentage change in the Consumer Price Index </w:t>
      </w:r>
      <w:r w:rsidR="0092515A">
        <w:rPr>
          <w:rFonts w:ascii="Arial Narrow" w:hAnsi="Arial Narrow" w:cstheme="majorHAnsi"/>
        </w:rPr>
        <w:t>(CPI</w:t>
      </w:r>
      <w:r>
        <w:rPr>
          <w:rFonts w:ascii="Arial Narrow" w:hAnsi="Arial Narrow" w:cstheme="majorHAnsi"/>
        </w:rPr>
        <w:t>).</w:t>
      </w:r>
    </w:p>
    <w:p w14:paraId="7DCC41B0" w14:textId="373D5DAA" w:rsidR="0056225B" w:rsidRDefault="0056225B" w:rsidP="0056225B">
      <w:pPr>
        <w:rPr>
          <w:rFonts w:ascii="Arial Narrow" w:hAnsi="Arial Narrow" w:cstheme="majorHAnsi"/>
        </w:rPr>
      </w:pPr>
      <w:r>
        <w:rPr>
          <w:rFonts w:ascii="Arial Narrow" w:hAnsi="Arial Narrow" w:cstheme="majorHAnsi"/>
        </w:rPr>
        <w:t>The Unemployment rate (UNRATE), Federal Funds Rate (EDFUNDS), and M2 money supply growth rate were included as independent variables. M2 growth was calculated</w:t>
      </w:r>
      <w:r w:rsidR="0092515A">
        <w:rPr>
          <w:rFonts w:ascii="Arial Narrow" w:hAnsi="Arial Narrow" w:cstheme="majorHAnsi"/>
        </w:rPr>
        <w:t xml:space="preserve"> as the monthly percentage change in the M2 money supply.</w:t>
      </w:r>
    </w:p>
    <w:p w14:paraId="09AB5810" w14:textId="7384E32C" w:rsidR="0092515A" w:rsidRDefault="0092515A" w:rsidP="0056225B">
      <w:pPr>
        <w:rPr>
          <w:rFonts w:ascii="Arial Narrow" w:hAnsi="Arial Narrow" w:cstheme="majorHAnsi"/>
          <w:b/>
          <w:bCs/>
        </w:rPr>
      </w:pPr>
      <w:r>
        <w:rPr>
          <w:rFonts w:ascii="Arial Narrow" w:hAnsi="Arial Narrow" w:cstheme="majorHAnsi"/>
          <w:b/>
          <w:bCs/>
        </w:rPr>
        <w:t>Analytical Approach</w:t>
      </w:r>
    </w:p>
    <w:p w14:paraId="03149431" w14:textId="79CE2EE0" w:rsidR="0092515A" w:rsidRDefault="0092515A" w:rsidP="0056225B">
      <w:pPr>
        <w:rPr>
          <w:rFonts w:ascii="Arial Narrow" w:hAnsi="Arial Narrow" w:cstheme="majorHAnsi"/>
        </w:rPr>
      </w:pPr>
      <w:r w:rsidRPr="0092515A">
        <w:rPr>
          <w:rFonts w:ascii="Arial Narrow" w:hAnsi="Arial Narrow" w:cstheme="majorHAnsi"/>
        </w:rPr>
        <w:t>An OLS regression model was estimated to e</w:t>
      </w:r>
      <w:r>
        <w:rPr>
          <w:rFonts w:ascii="Arial Narrow" w:hAnsi="Arial Narrow" w:cstheme="majorHAnsi"/>
        </w:rPr>
        <w:t>xplore the relationship between inflation and the chosen variables. Diagnostic tests were performed to check model specification, heteroskedasticity, autocorrelation, influential observations, and normality of residuals.</w:t>
      </w:r>
    </w:p>
    <w:p w14:paraId="5DB3ABC8" w14:textId="6A16DE4F" w:rsidR="0092515A" w:rsidRDefault="0092515A" w:rsidP="0056225B">
      <w:pPr>
        <w:rPr>
          <w:rFonts w:ascii="Arial Narrow" w:hAnsi="Arial Narrow" w:cstheme="majorHAnsi"/>
        </w:rPr>
      </w:pPr>
      <w:r>
        <w:rPr>
          <w:rFonts w:ascii="Arial Narrow" w:hAnsi="Arial Narrow" w:cstheme="majorHAnsi"/>
        </w:rPr>
        <w:t>Due to the presence of strong autocorrelation and mixed results for heteroskedasticity, Newey-West HAC standard errors were used for inference.</w:t>
      </w:r>
    </w:p>
    <w:p w14:paraId="53B48555" w14:textId="41B0EA09" w:rsidR="0092515A" w:rsidRDefault="0092515A" w:rsidP="0056225B">
      <w:pPr>
        <w:rPr>
          <w:rFonts w:ascii="Arial Narrow" w:hAnsi="Arial Narrow" w:cstheme="majorHAnsi"/>
          <w:b/>
          <w:bCs/>
        </w:rPr>
      </w:pPr>
      <w:r w:rsidRPr="0092515A">
        <w:rPr>
          <w:rFonts w:ascii="Arial Narrow" w:hAnsi="Arial Narrow" w:cstheme="majorHAnsi"/>
          <w:b/>
          <w:bCs/>
        </w:rPr>
        <w:t>Results</w:t>
      </w:r>
    </w:p>
    <w:p w14:paraId="5286588F" w14:textId="1FAE7146" w:rsidR="0092515A" w:rsidRDefault="0092515A" w:rsidP="0056225B">
      <w:pPr>
        <w:rPr>
          <w:rFonts w:ascii="Arial Narrow" w:hAnsi="Arial Narrow" w:cstheme="majorHAnsi"/>
        </w:rPr>
      </w:pPr>
      <w:r>
        <w:rPr>
          <w:rFonts w:ascii="Arial Narrow" w:hAnsi="Arial Narrow" w:cstheme="majorHAnsi"/>
        </w:rPr>
        <w:t>Descriptive Statistics</w:t>
      </w:r>
    </w:p>
    <w:p w14:paraId="5E5EA516" w14:textId="7F8DC569" w:rsidR="0092515A" w:rsidRDefault="00EC3B9D" w:rsidP="0056225B">
      <w:pPr>
        <w:rPr>
          <w:rFonts w:ascii="Arial Narrow" w:hAnsi="Arial Narrow" w:cstheme="majorHAnsi"/>
        </w:rPr>
      </w:pPr>
      <w:r>
        <w:rPr>
          <w:rFonts w:ascii="Arial Narrow" w:hAnsi="Arial Narrow" w:cstheme="majorHAnsi"/>
          <w:noProof/>
        </w:rPr>
        <mc:AlternateContent>
          <mc:Choice Requires="wps">
            <w:drawing>
              <wp:anchor distT="0" distB="0" distL="114300" distR="114300" simplePos="0" relativeHeight="251659264" behindDoc="0" locked="0" layoutInCell="1" allowOverlap="1" wp14:anchorId="7CDB5416" wp14:editId="380AED6B">
                <wp:simplePos x="0" y="0"/>
                <wp:positionH relativeFrom="column">
                  <wp:posOffset>-152400</wp:posOffset>
                </wp:positionH>
                <wp:positionV relativeFrom="paragraph">
                  <wp:posOffset>1029970</wp:posOffset>
                </wp:positionV>
                <wp:extent cx="3352800" cy="0"/>
                <wp:effectExtent l="0" t="0" r="0" b="0"/>
                <wp:wrapNone/>
                <wp:docPr id="2012749038" name="Straight Connector 1"/>
                <wp:cNvGraphicFramePr/>
                <a:graphic xmlns:a="http://schemas.openxmlformats.org/drawingml/2006/main">
                  <a:graphicData uri="http://schemas.microsoft.com/office/word/2010/wordprocessingShape">
                    <wps:wsp>
                      <wps:cNvCnPr/>
                      <wps:spPr>
                        <a:xfrm flipV="1">
                          <a:off x="0" y="0"/>
                          <a:ext cx="33528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627D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81.1pt" to="252pt,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" strokecolor="#a5a5a5 [3206]" strokeweight=".5pt">
                <v:stroke joinstyle="miter"/>
              </v:line>
            </w:pict>
          </mc:Fallback>
        </mc:AlternateContent>
      </w:r>
      <w:r w:rsidR="0092515A">
        <w:rPr>
          <w:rFonts w:ascii="Arial Narrow" w:hAnsi="Arial Narrow" w:cstheme="majorHAnsi"/>
        </w:rPr>
        <w:t xml:space="preserve">The calculated descriptive statistics were as follows: the mean monthly inflation rate was 0.30%, with a range from  </w:t>
      </w:r>
      <w:r>
        <w:rPr>
          <w:rFonts w:ascii="Arial Narrow" w:hAnsi="Arial Narrow" w:cstheme="majorHAnsi"/>
        </w:rPr>
        <w:t>-</w:t>
      </w:r>
      <w:r w:rsidRPr="00EC3B9D">
        <w:rPr>
          <w:rFonts w:ascii="Arial Narrow" w:hAnsi="Arial Narrow" w:cstheme="majorHAnsi"/>
        </w:rPr>
        <w:t>1.77% to 1.81%. The mean unemployment rate was 5.85%</w:t>
      </w:r>
      <w:r>
        <w:rPr>
          <w:rFonts w:ascii="Arial Narrow" w:hAnsi="Arial Narrow" w:cstheme="majorHAnsi"/>
        </w:rPr>
        <w:t xml:space="preserve">, </w:t>
      </w:r>
      <w:r w:rsidRPr="00EC3B9D">
        <w:rPr>
          <w:rFonts w:ascii="Arial Narrow" w:hAnsi="Arial Narrow" w:cstheme="majorHAnsi"/>
        </w:rPr>
        <w:t>with a range from 3.40% to 14.80%. </w:t>
      </w:r>
      <w:r>
        <w:rPr>
          <w:rFonts w:ascii="Arial Narrow" w:hAnsi="Arial Narrow" w:cstheme="majorHAnsi"/>
        </w:rPr>
        <w:t xml:space="preserve">The mean Federal Funds Rate was 4.76%, with values ranging from 0.05% to 19.10%. </w:t>
      </w:r>
      <w:r w:rsidRPr="00EC3B9D">
        <w:rPr>
          <w:rFonts w:ascii="Arial Narrow" w:hAnsi="Arial Narrow" w:cstheme="majorHAnsi"/>
        </w:rPr>
        <w:t>Finally, the mean monthly M2 growth rate was 0.55%</w:t>
      </w:r>
      <w:r>
        <w:rPr>
          <w:rFonts w:ascii="Arial Narrow" w:hAnsi="Arial Narrow" w:cstheme="majorHAnsi"/>
        </w:rPr>
        <w:t>,</w:t>
      </w:r>
      <w:r w:rsidRPr="00EC3B9D">
        <w:rPr>
          <w:rFonts w:ascii="Arial Narrow" w:hAnsi="Arial Narrow" w:cstheme="majorHAnsi"/>
        </w:rPr>
        <w:t xml:space="preserve"> with a range from -1.40% to 6.42%.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265"/>
        <w:gridCol w:w="612"/>
        <w:gridCol w:w="66"/>
        <w:gridCol w:w="66"/>
        <w:gridCol w:w="682"/>
        <w:gridCol w:w="66"/>
        <w:gridCol w:w="66"/>
        <w:gridCol w:w="672"/>
        <w:gridCol w:w="66"/>
        <w:gridCol w:w="627"/>
      </w:tblGrid>
      <w:tr w:rsidR="00EC3B9D" w:rsidRPr="00EC3B9D" w14:paraId="1ABE22A3" w14:textId="77777777" w:rsidTr="00B12F2B">
        <w:trPr>
          <w:tblHeader/>
          <w:tblCellSpacing w:w="15" w:type="dxa"/>
        </w:trPr>
        <w:tc>
          <w:tcPr>
            <w:tcW w:w="0" w:type="auto"/>
            <w:vAlign w:val="center"/>
            <w:hideMark/>
          </w:tcPr>
          <w:p w14:paraId="4D174B93" w14:textId="77777777" w:rsidR="00EC3B9D" w:rsidRPr="00EC3B9D" w:rsidRDefault="00EC3B9D" w:rsidP="00EC3B9D">
            <w:pPr>
              <w:rPr>
                <w:rFonts w:ascii="Arial Narrow" w:hAnsi="Arial Narrow" w:cstheme="majorHAnsi"/>
                <w:b/>
                <w:bCs/>
              </w:rPr>
            </w:pPr>
            <w:r w:rsidRPr="00EC3B9D">
              <w:rPr>
                <w:rFonts w:ascii="Arial Narrow" w:hAnsi="Arial Narrow" w:cstheme="majorHAnsi"/>
                <w:b/>
                <w:bCs/>
              </w:rPr>
              <w:t>Variable</w:t>
            </w:r>
          </w:p>
        </w:tc>
        <w:tc>
          <w:tcPr>
            <w:tcW w:w="235" w:type="dxa"/>
          </w:tcPr>
          <w:p w14:paraId="6CD6EA02" w14:textId="77777777" w:rsidR="00EC3B9D" w:rsidRPr="00EC3B9D" w:rsidRDefault="00EC3B9D" w:rsidP="00EC3B9D">
            <w:pPr>
              <w:rPr>
                <w:rFonts w:ascii="Arial Narrow" w:hAnsi="Arial Narrow" w:cstheme="majorHAnsi"/>
                <w:b/>
                <w:bCs/>
              </w:rPr>
            </w:pPr>
          </w:p>
        </w:tc>
        <w:tc>
          <w:tcPr>
            <w:tcW w:w="582" w:type="dxa"/>
            <w:vAlign w:val="center"/>
            <w:hideMark/>
          </w:tcPr>
          <w:p w14:paraId="11BB3539" w14:textId="02BB7728" w:rsidR="00EC3B9D" w:rsidRPr="00EC3B9D" w:rsidRDefault="00EC3B9D" w:rsidP="00EC3B9D">
            <w:pPr>
              <w:rPr>
                <w:rFonts w:ascii="Arial Narrow" w:hAnsi="Arial Narrow" w:cstheme="majorHAnsi"/>
                <w:b/>
                <w:bCs/>
              </w:rPr>
            </w:pPr>
            <w:r w:rsidRPr="00EC3B9D">
              <w:rPr>
                <w:rFonts w:ascii="Arial Narrow" w:hAnsi="Arial Narrow" w:cstheme="majorHAnsi"/>
                <w:b/>
                <w:bCs/>
              </w:rPr>
              <w:t>Mean</w:t>
            </w:r>
          </w:p>
        </w:tc>
        <w:tc>
          <w:tcPr>
            <w:tcW w:w="0" w:type="auto"/>
          </w:tcPr>
          <w:p w14:paraId="0863AB6E" w14:textId="77777777" w:rsidR="00EC3B9D" w:rsidRPr="00EC3B9D" w:rsidRDefault="00EC3B9D" w:rsidP="00EC3B9D">
            <w:pPr>
              <w:rPr>
                <w:rFonts w:ascii="Arial Narrow" w:hAnsi="Arial Narrow" w:cstheme="majorHAnsi"/>
                <w:b/>
                <w:bCs/>
              </w:rPr>
            </w:pPr>
          </w:p>
        </w:tc>
        <w:tc>
          <w:tcPr>
            <w:tcW w:w="0" w:type="auto"/>
          </w:tcPr>
          <w:p w14:paraId="4FBF7360" w14:textId="63A33CE3" w:rsidR="00EC3B9D" w:rsidRPr="00EC3B9D" w:rsidRDefault="00EC3B9D" w:rsidP="00EC3B9D">
            <w:pPr>
              <w:rPr>
                <w:rFonts w:ascii="Arial Narrow" w:hAnsi="Arial Narrow" w:cstheme="majorHAnsi"/>
                <w:b/>
                <w:bCs/>
              </w:rPr>
            </w:pPr>
          </w:p>
        </w:tc>
        <w:tc>
          <w:tcPr>
            <w:tcW w:w="0" w:type="auto"/>
            <w:vAlign w:val="center"/>
            <w:hideMark/>
          </w:tcPr>
          <w:p w14:paraId="55F597FC" w14:textId="57CC32A3" w:rsidR="00EC3B9D" w:rsidRPr="00EC3B9D" w:rsidRDefault="00EC3B9D" w:rsidP="00EC3B9D">
            <w:pPr>
              <w:rPr>
                <w:rFonts w:ascii="Arial Narrow" w:hAnsi="Arial Narrow" w:cstheme="majorHAnsi"/>
                <w:b/>
                <w:bCs/>
              </w:rPr>
            </w:pPr>
            <w:r w:rsidRPr="00EC3B9D">
              <w:rPr>
                <w:rFonts w:ascii="Arial Narrow" w:hAnsi="Arial Narrow" w:cstheme="majorHAnsi"/>
                <w:b/>
                <w:bCs/>
              </w:rPr>
              <w:t>Median</w:t>
            </w:r>
          </w:p>
        </w:tc>
        <w:tc>
          <w:tcPr>
            <w:tcW w:w="0" w:type="auto"/>
          </w:tcPr>
          <w:p w14:paraId="31001419" w14:textId="77777777" w:rsidR="00EC3B9D" w:rsidRPr="00EC3B9D" w:rsidRDefault="00EC3B9D" w:rsidP="00EC3B9D">
            <w:pPr>
              <w:rPr>
                <w:rFonts w:ascii="Arial Narrow" w:hAnsi="Arial Narrow" w:cstheme="majorHAnsi"/>
                <w:b/>
                <w:bCs/>
              </w:rPr>
            </w:pPr>
          </w:p>
        </w:tc>
        <w:tc>
          <w:tcPr>
            <w:tcW w:w="0" w:type="auto"/>
          </w:tcPr>
          <w:p w14:paraId="504EF673" w14:textId="77777777" w:rsidR="00EC3B9D" w:rsidRPr="00EC3B9D" w:rsidRDefault="00EC3B9D" w:rsidP="00EC3B9D">
            <w:pPr>
              <w:rPr>
                <w:rFonts w:ascii="Arial Narrow" w:hAnsi="Arial Narrow" w:cstheme="majorHAnsi"/>
                <w:b/>
                <w:bCs/>
              </w:rPr>
            </w:pPr>
          </w:p>
        </w:tc>
        <w:tc>
          <w:tcPr>
            <w:tcW w:w="0" w:type="auto"/>
            <w:vAlign w:val="center"/>
            <w:hideMark/>
          </w:tcPr>
          <w:p w14:paraId="49D474F0" w14:textId="349EEF4C" w:rsidR="00EC3B9D" w:rsidRPr="00EC3B9D" w:rsidRDefault="00EC3B9D" w:rsidP="00EC3B9D">
            <w:pPr>
              <w:rPr>
                <w:rFonts w:ascii="Arial Narrow" w:hAnsi="Arial Narrow" w:cstheme="majorHAnsi"/>
                <w:b/>
                <w:bCs/>
              </w:rPr>
            </w:pPr>
            <w:r w:rsidRPr="00EC3B9D">
              <w:rPr>
                <w:rFonts w:ascii="Arial Narrow" w:hAnsi="Arial Narrow" w:cstheme="majorHAnsi"/>
                <w:b/>
                <w:bCs/>
              </w:rPr>
              <w:t>Min.</w:t>
            </w:r>
          </w:p>
        </w:tc>
        <w:tc>
          <w:tcPr>
            <w:tcW w:w="0" w:type="auto"/>
          </w:tcPr>
          <w:p w14:paraId="0B348BFD" w14:textId="77777777" w:rsidR="00EC3B9D" w:rsidRPr="00EC3B9D" w:rsidRDefault="00EC3B9D" w:rsidP="00EC3B9D">
            <w:pPr>
              <w:rPr>
                <w:rFonts w:ascii="Arial Narrow" w:hAnsi="Arial Narrow" w:cstheme="majorHAnsi"/>
                <w:b/>
                <w:bCs/>
              </w:rPr>
            </w:pPr>
          </w:p>
        </w:tc>
        <w:tc>
          <w:tcPr>
            <w:tcW w:w="0" w:type="auto"/>
            <w:vAlign w:val="center"/>
            <w:hideMark/>
          </w:tcPr>
          <w:p w14:paraId="76970595" w14:textId="6CD6E5A3" w:rsidR="00EC3B9D" w:rsidRPr="00EC3B9D" w:rsidRDefault="00EC3B9D" w:rsidP="00EC3B9D">
            <w:pPr>
              <w:rPr>
                <w:rFonts w:ascii="Arial Narrow" w:hAnsi="Arial Narrow" w:cstheme="majorHAnsi"/>
                <w:b/>
                <w:bCs/>
              </w:rPr>
            </w:pPr>
            <w:r w:rsidRPr="00EC3B9D">
              <w:rPr>
                <w:rFonts w:ascii="Arial Narrow" w:hAnsi="Arial Narrow" w:cstheme="majorHAnsi"/>
                <w:b/>
                <w:bCs/>
              </w:rPr>
              <w:t>Max.</w:t>
            </w:r>
          </w:p>
        </w:tc>
      </w:tr>
      <w:tr w:rsidR="00EC3B9D" w:rsidRPr="00EC3B9D" w14:paraId="615DFAE4" w14:textId="77777777" w:rsidTr="00B12F2B">
        <w:trPr>
          <w:tblCellSpacing w:w="15" w:type="dxa"/>
        </w:trPr>
        <w:tc>
          <w:tcPr>
            <w:tcW w:w="0" w:type="auto"/>
            <w:vAlign w:val="center"/>
            <w:hideMark/>
          </w:tcPr>
          <w:p w14:paraId="0B438449" w14:textId="77777777" w:rsidR="00EC3B9D" w:rsidRPr="00EC3B9D" w:rsidRDefault="00EC3B9D" w:rsidP="00EC3B9D">
            <w:pPr>
              <w:rPr>
                <w:rFonts w:ascii="Arial Narrow" w:hAnsi="Arial Narrow" w:cstheme="majorHAnsi"/>
              </w:rPr>
            </w:pPr>
            <w:r w:rsidRPr="00EC3B9D">
              <w:rPr>
                <w:rFonts w:ascii="Arial Narrow" w:hAnsi="Arial Narrow" w:cstheme="majorHAnsi"/>
              </w:rPr>
              <w:t>Inflation</w:t>
            </w:r>
          </w:p>
        </w:tc>
        <w:tc>
          <w:tcPr>
            <w:tcW w:w="235" w:type="dxa"/>
          </w:tcPr>
          <w:p w14:paraId="1B0CA8E6" w14:textId="77777777" w:rsidR="00EC3B9D" w:rsidRPr="00EC3B9D" w:rsidRDefault="00EC3B9D" w:rsidP="00EC3B9D">
            <w:pPr>
              <w:rPr>
                <w:rFonts w:ascii="Arial Narrow" w:hAnsi="Arial Narrow" w:cstheme="majorHAnsi"/>
              </w:rPr>
            </w:pPr>
          </w:p>
        </w:tc>
        <w:tc>
          <w:tcPr>
            <w:tcW w:w="582" w:type="dxa"/>
            <w:vAlign w:val="center"/>
            <w:hideMark/>
          </w:tcPr>
          <w:p w14:paraId="3836996B" w14:textId="0BDC3C94" w:rsidR="00EC3B9D" w:rsidRPr="00EC3B9D" w:rsidRDefault="00EC3B9D" w:rsidP="00EC3B9D">
            <w:pPr>
              <w:rPr>
                <w:rFonts w:ascii="Arial Narrow" w:hAnsi="Arial Narrow" w:cstheme="majorHAnsi"/>
              </w:rPr>
            </w:pPr>
            <w:r w:rsidRPr="00EC3B9D">
              <w:rPr>
                <w:rFonts w:ascii="Arial Narrow" w:hAnsi="Arial Narrow" w:cstheme="majorHAnsi"/>
              </w:rPr>
              <w:t>0.3026</w:t>
            </w:r>
          </w:p>
        </w:tc>
        <w:tc>
          <w:tcPr>
            <w:tcW w:w="0" w:type="auto"/>
          </w:tcPr>
          <w:p w14:paraId="0D230E7B" w14:textId="77777777" w:rsidR="00EC3B9D" w:rsidRPr="00EC3B9D" w:rsidRDefault="00EC3B9D" w:rsidP="00EC3B9D">
            <w:pPr>
              <w:rPr>
                <w:rFonts w:ascii="Arial Narrow" w:hAnsi="Arial Narrow" w:cstheme="majorHAnsi"/>
              </w:rPr>
            </w:pPr>
          </w:p>
        </w:tc>
        <w:tc>
          <w:tcPr>
            <w:tcW w:w="0" w:type="auto"/>
          </w:tcPr>
          <w:p w14:paraId="4394797A" w14:textId="72B46211" w:rsidR="00EC3B9D" w:rsidRPr="00EC3B9D" w:rsidRDefault="00EC3B9D" w:rsidP="00EC3B9D">
            <w:pPr>
              <w:rPr>
                <w:rFonts w:ascii="Arial Narrow" w:hAnsi="Arial Narrow" w:cstheme="majorHAnsi"/>
              </w:rPr>
            </w:pPr>
          </w:p>
        </w:tc>
        <w:tc>
          <w:tcPr>
            <w:tcW w:w="0" w:type="auto"/>
            <w:vAlign w:val="center"/>
            <w:hideMark/>
          </w:tcPr>
          <w:p w14:paraId="21A880DB" w14:textId="7EBA13BF" w:rsidR="00EC3B9D" w:rsidRPr="00EC3B9D" w:rsidRDefault="00EC3B9D" w:rsidP="00EC3B9D">
            <w:pPr>
              <w:rPr>
                <w:rFonts w:ascii="Arial Narrow" w:hAnsi="Arial Narrow" w:cstheme="majorHAnsi"/>
              </w:rPr>
            </w:pPr>
            <w:r w:rsidRPr="00EC3B9D">
              <w:rPr>
                <w:rFonts w:ascii="Arial Narrow" w:hAnsi="Arial Narrow" w:cstheme="majorHAnsi"/>
              </w:rPr>
              <w:t>0.2622</w:t>
            </w:r>
          </w:p>
        </w:tc>
        <w:tc>
          <w:tcPr>
            <w:tcW w:w="0" w:type="auto"/>
          </w:tcPr>
          <w:p w14:paraId="588FF2F1" w14:textId="77777777" w:rsidR="00EC3B9D" w:rsidRPr="00EC3B9D" w:rsidRDefault="00EC3B9D" w:rsidP="00EC3B9D">
            <w:pPr>
              <w:rPr>
                <w:rFonts w:ascii="Arial Narrow" w:hAnsi="Arial Narrow" w:cstheme="majorHAnsi"/>
              </w:rPr>
            </w:pPr>
          </w:p>
        </w:tc>
        <w:tc>
          <w:tcPr>
            <w:tcW w:w="0" w:type="auto"/>
          </w:tcPr>
          <w:p w14:paraId="4E68D61B" w14:textId="77777777" w:rsidR="00EC3B9D" w:rsidRPr="00EC3B9D" w:rsidRDefault="00EC3B9D" w:rsidP="00EC3B9D">
            <w:pPr>
              <w:rPr>
                <w:rFonts w:ascii="Arial Narrow" w:hAnsi="Arial Narrow" w:cstheme="majorHAnsi"/>
              </w:rPr>
            </w:pPr>
          </w:p>
        </w:tc>
        <w:tc>
          <w:tcPr>
            <w:tcW w:w="0" w:type="auto"/>
            <w:vAlign w:val="center"/>
            <w:hideMark/>
          </w:tcPr>
          <w:p w14:paraId="58640303" w14:textId="00516A54" w:rsidR="00EC3B9D" w:rsidRPr="00EC3B9D" w:rsidRDefault="00EC3B9D" w:rsidP="00EC3B9D">
            <w:pPr>
              <w:rPr>
                <w:rFonts w:ascii="Arial Narrow" w:hAnsi="Arial Narrow" w:cstheme="majorHAnsi"/>
              </w:rPr>
            </w:pPr>
            <w:r w:rsidRPr="00EC3B9D">
              <w:rPr>
                <w:rFonts w:ascii="Arial Narrow" w:hAnsi="Arial Narrow" w:cstheme="majorHAnsi"/>
              </w:rPr>
              <w:t>-1.7705</w:t>
            </w:r>
          </w:p>
        </w:tc>
        <w:tc>
          <w:tcPr>
            <w:tcW w:w="0" w:type="auto"/>
          </w:tcPr>
          <w:p w14:paraId="4C480CA7" w14:textId="77777777" w:rsidR="00EC3B9D" w:rsidRPr="00EC3B9D" w:rsidRDefault="00EC3B9D" w:rsidP="00EC3B9D">
            <w:pPr>
              <w:rPr>
                <w:rFonts w:ascii="Arial Narrow" w:hAnsi="Arial Narrow" w:cstheme="majorHAnsi"/>
              </w:rPr>
            </w:pPr>
          </w:p>
        </w:tc>
        <w:tc>
          <w:tcPr>
            <w:tcW w:w="0" w:type="auto"/>
            <w:vAlign w:val="center"/>
            <w:hideMark/>
          </w:tcPr>
          <w:p w14:paraId="0FD45F70" w14:textId="79EB206E" w:rsidR="00EC3B9D" w:rsidRPr="00EC3B9D" w:rsidRDefault="00EC3B9D" w:rsidP="00EC3B9D">
            <w:pPr>
              <w:rPr>
                <w:rFonts w:ascii="Arial Narrow" w:hAnsi="Arial Narrow" w:cstheme="majorHAnsi"/>
              </w:rPr>
            </w:pPr>
            <w:r w:rsidRPr="00EC3B9D">
              <w:rPr>
                <w:rFonts w:ascii="Arial Narrow" w:hAnsi="Arial Narrow" w:cstheme="majorHAnsi"/>
              </w:rPr>
              <w:t>1.8100</w:t>
            </w:r>
          </w:p>
        </w:tc>
      </w:tr>
      <w:tr w:rsidR="00EC3B9D" w:rsidRPr="00EC3B9D" w14:paraId="2E864A8B" w14:textId="77777777" w:rsidTr="00B12F2B">
        <w:trPr>
          <w:tblCellSpacing w:w="15" w:type="dxa"/>
        </w:trPr>
        <w:tc>
          <w:tcPr>
            <w:tcW w:w="0" w:type="auto"/>
            <w:vAlign w:val="center"/>
            <w:hideMark/>
          </w:tcPr>
          <w:p w14:paraId="6D6EE74C" w14:textId="77777777" w:rsidR="00EC3B9D" w:rsidRPr="00EC3B9D" w:rsidRDefault="00EC3B9D" w:rsidP="00EC3B9D">
            <w:pPr>
              <w:rPr>
                <w:rFonts w:ascii="Arial Narrow" w:hAnsi="Arial Narrow" w:cstheme="majorHAnsi"/>
              </w:rPr>
            </w:pPr>
            <w:r w:rsidRPr="00EC3B9D">
              <w:rPr>
                <w:rFonts w:ascii="Arial Narrow" w:hAnsi="Arial Narrow" w:cstheme="majorHAnsi"/>
              </w:rPr>
              <w:t>Unemployment Rate</w:t>
            </w:r>
          </w:p>
        </w:tc>
        <w:tc>
          <w:tcPr>
            <w:tcW w:w="235" w:type="dxa"/>
          </w:tcPr>
          <w:p w14:paraId="69FD5AE5" w14:textId="77777777" w:rsidR="00EC3B9D" w:rsidRPr="00EC3B9D" w:rsidRDefault="00EC3B9D" w:rsidP="00EC3B9D">
            <w:pPr>
              <w:rPr>
                <w:rFonts w:ascii="Arial Narrow" w:hAnsi="Arial Narrow" w:cstheme="majorHAnsi"/>
              </w:rPr>
            </w:pPr>
          </w:p>
        </w:tc>
        <w:tc>
          <w:tcPr>
            <w:tcW w:w="582" w:type="dxa"/>
            <w:vAlign w:val="center"/>
            <w:hideMark/>
          </w:tcPr>
          <w:p w14:paraId="52AC5315" w14:textId="4FB83CB2" w:rsidR="00EC3B9D" w:rsidRPr="00EC3B9D" w:rsidRDefault="00EC3B9D" w:rsidP="00EC3B9D">
            <w:pPr>
              <w:rPr>
                <w:rFonts w:ascii="Arial Narrow" w:hAnsi="Arial Narrow" w:cstheme="majorHAnsi"/>
              </w:rPr>
            </w:pPr>
            <w:r w:rsidRPr="00EC3B9D">
              <w:rPr>
                <w:rFonts w:ascii="Arial Narrow" w:hAnsi="Arial Narrow" w:cstheme="majorHAnsi"/>
              </w:rPr>
              <w:t>5.847</w:t>
            </w:r>
          </w:p>
        </w:tc>
        <w:tc>
          <w:tcPr>
            <w:tcW w:w="0" w:type="auto"/>
          </w:tcPr>
          <w:p w14:paraId="376458EA" w14:textId="77777777" w:rsidR="00EC3B9D" w:rsidRPr="00EC3B9D" w:rsidRDefault="00EC3B9D" w:rsidP="00EC3B9D">
            <w:pPr>
              <w:rPr>
                <w:rFonts w:ascii="Arial Narrow" w:hAnsi="Arial Narrow" w:cstheme="majorHAnsi"/>
              </w:rPr>
            </w:pPr>
          </w:p>
        </w:tc>
        <w:tc>
          <w:tcPr>
            <w:tcW w:w="0" w:type="auto"/>
          </w:tcPr>
          <w:p w14:paraId="08565192" w14:textId="14EF322B" w:rsidR="00EC3B9D" w:rsidRPr="00EC3B9D" w:rsidRDefault="00EC3B9D" w:rsidP="00EC3B9D">
            <w:pPr>
              <w:rPr>
                <w:rFonts w:ascii="Arial Narrow" w:hAnsi="Arial Narrow" w:cstheme="majorHAnsi"/>
              </w:rPr>
            </w:pPr>
          </w:p>
        </w:tc>
        <w:tc>
          <w:tcPr>
            <w:tcW w:w="0" w:type="auto"/>
            <w:vAlign w:val="center"/>
            <w:hideMark/>
          </w:tcPr>
          <w:p w14:paraId="37FC2BDD" w14:textId="32051729" w:rsidR="00EC3B9D" w:rsidRPr="00EC3B9D" w:rsidRDefault="00EC3B9D" w:rsidP="00EC3B9D">
            <w:pPr>
              <w:rPr>
                <w:rFonts w:ascii="Arial Narrow" w:hAnsi="Arial Narrow" w:cstheme="majorHAnsi"/>
              </w:rPr>
            </w:pPr>
            <w:r w:rsidRPr="00EC3B9D">
              <w:rPr>
                <w:rFonts w:ascii="Arial Narrow" w:hAnsi="Arial Narrow" w:cstheme="majorHAnsi"/>
              </w:rPr>
              <w:t>5.600</w:t>
            </w:r>
          </w:p>
        </w:tc>
        <w:tc>
          <w:tcPr>
            <w:tcW w:w="0" w:type="auto"/>
          </w:tcPr>
          <w:p w14:paraId="2057E74F" w14:textId="77777777" w:rsidR="00EC3B9D" w:rsidRPr="00EC3B9D" w:rsidRDefault="00EC3B9D" w:rsidP="00EC3B9D">
            <w:pPr>
              <w:rPr>
                <w:rFonts w:ascii="Arial Narrow" w:hAnsi="Arial Narrow" w:cstheme="majorHAnsi"/>
              </w:rPr>
            </w:pPr>
          </w:p>
        </w:tc>
        <w:tc>
          <w:tcPr>
            <w:tcW w:w="0" w:type="auto"/>
          </w:tcPr>
          <w:p w14:paraId="145B22EF" w14:textId="77777777" w:rsidR="00EC3B9D" w:rsidRPr="00EC3B9D" w:rsidRDefault="00EC3B9D" w:rsidP="00EC3B9D">
            <w:pPr>
              <w:rPr>
                <w:rFonts w:ascii="Arial Narrow" w:hAnsi="Arial Narrow" w:cstheme="majorHAnsi"/>
              </w:rPr>
            </w:pPr>
          </w:p>
        </w:tc>
        <w:tc>
          <w:tcPr>
            <w:tcW w:w="0" w:type="auto"/>
            <w:vAlign w:val="center"/>
            <w:hideMark/>
          </w:tcPr>
          <w:p w14:paraId="602B91F4" w14:textId="26EAAF7D" w:rsidR="00EC3B9D" w:rsidRPr="00EC3B9D" w:rsidRDefault="00EC3B9D" w:rsidP="00EC3B9D">
            <w:pPr>
              <w:rPr>
                <w:rFonts w:ascii="Arial Narrow" w:hAnsi="Arial Narrow" w:cstheme="majorHAnsi"/>
              </w:rPr>
            </w:pPr>
            <w:r w:rsidRPr="00EC3B9D">
              <w:rPr>
                <w:rFonts w:ascii="Arial Narrow" w:hAnsi="Arial Narrow" w:cstheme="majorHAnsi"/>
              </w:rPr>
              <w:t>3.400</w:t>
            </w:r>
          </w:p>
        </w:tc>
        <w:tc>
          <w:tcPr>
            <w:tcW w:w="0" w:type="auto"/>
          </w:tcPr>
          <w:p w14:paraId="21A40C7C" w14:textId="77777777" w:rsidR="00EC3B9D" w:rsidRPr="00EC3B9D" w:rsidRDefault="00EC3B9D" w:rsidP="00EC3B9D">
            <w:pPr>
              <w:rPr>
                <w:rFonts w:ascii="Arial Narrow" w:hAnsi="Arial Narrow" w:cstheme="majorHAnsi"/>
              </w:rPr>
            </w:pPr>
          </w:p>
        </w:tc>
        <w:tc>
          <w:tcPr>
            <w:tcW w:w="0" w:type="auto"/>
            <w:vAlign w:val="center"/>
            <w:hideMark/>
          </w:tcPr>
          <w:p w14:paraId="028B2139" w14:textId="031A43B4" w:rsidR="00EC3B9D" w:rsidRPr="00EC3B9D" w:rsidRDefault="00EC3B9D" w:rsidP="00EC3B9D">
            <w:pPr>
              <w:rPr>
                <w:rFonts w:ascii="Arial Narrow" w:hAnsi="Arial Narrow" w:cstheme="majorHAnsi"/>
              </w:rPr>
            </w:pPr>
            <w:r w:rsidRPr="00EC3B9D">
              <w:rPr>
                <w:rFonts w:ascii="Arial Narrow" w:hAnsi="Arial Narrow" w:cstheme="majorHAnsi"/>
              </w:rPr>
              <w:t>14.800</w:t>
            </w:r>
          </w:p>
        </w:tc>
      </w:tr>
      <w:tr w:rsidR="00EC3B9D" w:rsidRPr="00EC3B9D" w14:paraId="003C75FD" w14:textId="77777777" w:rsidTr="00B12F2B">
        <w:trPr>
          <w:tblCellSpacing w:w="15" w:type="dxa"/>
        </w:trPr>
        <w:tc>
          <w:tcPr>
            <w:tcW w:w="0" w:type="auto"/>
            <w:vAlign w:val="center"/>
            <w:hideMark/>
          </w:tcPr>
          <w:p w14:paraId="70E6913C" w14:textId="77777777" w:rsidR="00EC3B9D" w:rsidRPr="00EC3B9D" w:rsidRDefault="00EC3B9D" w:rsidP="00EC3B9D">
            <w:pPr>
              <w:rPr>
                <w:rFonts w:ascii="Arial Narrow" w:hAnsi="Arial Narrow" w:cstheme="majorHAnsi"/>
              </w:rPr>
            </w:pPr>
            <w:r w:rsidRPr="00EC3B9D">
              <w:rPr>
                <w:rFonts w:ascii="Arial Narrow" w:hAnsi="Arial Narrow" w:cstheme="majorHAnsi"/>
              </w:rPr>
              <w:t>Federal Funds Rate</w:t>
            </w:r>
          </w:p>
        </w:tc>
        <w:tc>
          <w:tcPr>
            <w:tcW w:w="235" w:type="dxa"/>
          </w:tcPr>
          <w:p w14:paraId="65B0E4E9" w14:textId="77777777" w:rsidR="00EC3B9D" w:rsidRPr="00EC3B9D" w:rsidRDefault="00EC3B9D" w:rsidP="00EC3B9D">
            <w:pPr>
              <w:rPr>
                <w:rFonts w:ascii="Arial Narrow" w:hAnsi="Arial Narrow" w:cstheme="majorHAnsi"/>
              </w:rPr>
            </w:pPr>
          </w:p>
        </w:tc>
        <w:tc>
          <w:tcPr>
            <w:tcW w:w="582" w:type="dxa"/>
            <w:vAlign w:val="center"/>
            <w:hideMark/>
          </w:tcPr>
          <w:p w14:paraId="585E9A5D" w14:textId="3794E20D" w:rsidR="00EC3B9D" w:rsidRPr="00EC3B9D" w:rsidRDefault="00EC3B9D" w:rsidP="00EC3B9D">
            <w:pPr>
              <w:rPr>
                <w:rFonts w:ascii="Arial Narrow" w:hAnsi="Arial Narrow" w:cstheme="majorHAnsi"/>
              </w:rPr>
            </w:pPr>
            <w:r w:rsidRPr="00EC3B9D">
              <w:rPr>
                <w:rFonts w:ascii="Arial Narrow" w:hAnsi="Arial Narrow" w:cstheme="majorHAnsi"/>
              </w:rPr>
              <w:t>4.763</w:t>
            </w:r>
          </w:p>
        </w:tc>
        <w:tc>
          <w:tcPr>
            <w:tcW w:w="0" w:type="auto"/>
          </w:tcPr>
          <w:p w14:paraId="50AB4C2E" w14:textId="77777777" w:rsidR="00EC3B9D" w:rsidRPr="00EC3B9D" w:rsidRDefault="00EC3B9D" w:rsidP="00EC3B9D">
            <w:pPr>
              <w:rPr>
                <w:rFonts w:ascii="Arial Narrow" w:hAnsi="Arial Narrow" w:cstheme="majorHAnsi"/>
              </w:rPr>
            </w:pPr>
          </w:p>
        </w:tc>
        <w:tc>
          <w:tcPr>
            <w:tcW w:w="0" w:type="auto"/>
          </w:tcPr>
          <w:p w14:paraId="4D29B767" w14:textId="1FB3D2D1" w:rsidR="00EC3B9D" w:rsidRPr="00EC3B9D" w:rsidRDefault="00EC3B9D" w:rsidP="00EC3B9D">
            <w:pPr>
              <w:rPr>
                <w:rFonts w:ascii="Arial Narrow" w:hAnsi="Arial Narrow" w:cstheme="majorHAnsi"/>
              </w:rPr>
            </w:pPr>
          </w:p>
        </w:tc>
        <w:tc>
          <w:tcPr>
            <w:tcW w:w="0" w:type="auto"/>
            <w:vAlign w:val="center"/>
            <w:hideMark/>
          </w:tcPr>
          <w:p w14:paraId="4054CD75" w14:textId="72840110" w:rsidR="00EC3B9D" w:rsidRPr="00EC3B9D" w:rsidRDefault="00EC3B9D" w:rsidP="00EC3B9D">
            <w:pPr>
              <w:rPr>
                <w:rFonts w:ascii="Arial Narrow" w:hAnsi="Arial Narrow" w:cstheme="majorHAnsi"/>
              </w:rPr>
            </w:pPr>
            <w:r w:rsidRPr="00EC3B9D">
              <w:rPr>
                <w:rFonts w:ascii="Arial Narrow" w:hAnsi="Arial Narrow" w:cstheme="majorHAnsi"/>
              </w:rPr>
              <w:t>4.630</w:t>
            </w:r>
          </w:p>
        </w:tc>
        <w:tc>
          <w:tcPr>
            <w:tcW w:w="0" w:type="auto"/>
          </w:tcPr>
          <w:p w14:paraId="3CFD3A84" w14:textId="77777777" w:rsidR="00EC3B9D" w:rsidRPr="00EC3B9D" w:rsidRDefault="00EC3B9D" w:rsidP="00EC3B9D">
            <w:pPr>
              <w:rPr>
                <w:rFonts w:ascii="Arial Narrow" w:hAnsi="Arial Narrow" w:cstheme="majorHAnsi"/>
              </w:rPr>
            </w:pPr>
          </w:p>
        </w:tc>
        <w:tc>
          <w:tcPr>
            <w:tcW w:w="0" w:type="auto"/>
          </w:tcPr>
          <w:p w14:paraId="505708E3" w14:textId="77777777" w:rsidR="00EC3B9D" w:rsidRPr="00EC3B9D" w:rsidRDefault="00EC3B9D" w:rsidP="00EC3B9D">
            <w:pPr>
              <w:rPr>
                <w:rFonts w:ascii="Arial Narrow" w:hAnsi="Arial Narrow" w:cstheme="majorHAnsi"/>
              </w:rPr>
            </w:pPr>
          </w:p>
        </w:tc>
        <w:tc>
          <w:tcPr>
            <w:tcW w:w="0" w:type="auto"/>
            <w:vAlign w:val="center"/>
            <w:hideMark/>
          </w:tcPr>
          <w:p w14:paraId="105ADC05" w14:textId="0757DA1C" w:rsidR="00EC3B9D" w:rsidRPr="00EC3B9D" w:rsidRDefault="00EC3B9D" w:rsidP="00EC3B9D">
            <w:pPr>
              <w:rPr>
                <w:rFonts w:ascii="Arial Narrow" w:hAnsi="Arial Narrow" w:cstheme="majorHAnsi"/>
              </w:rPr>
            </w:pPr>
            <w:r w:rsidRPr="00EC3B9D">
              <w:rPr>
                <w:rFonts w:ascii="Arial Narrow" w:hAnsi="Arial Narrow" w:cstheme="majorHAnsi"/>
              </w:rPr>
              <w:t>0.050</w:t>
            </w:r>
          </w:p>
        </w:tc>
        <w:tc>
          <w:tcPr>
            <w:tcW w:w="0" w:type="auto"/>
          </w:tcPr>
          <w:p w14:paraId="18BA249C" w14:textId="77777777" w:rsidR="00EC3B9D" w:rsidRPr="00EC3B9D" w:rsidRDefault="00EC3B9D" w:rsidP="00EC3B9D">
            <w:pPr>
              <w:rPr>
                <w:rFonts w:ascii="Arial Narrow" w:hAnsi="Arial Narrow" w:cstheme="majorHAnsi"/>
              </w:rPr>
            </w:pPr>
          </w:p>
        </w:tc>
        <w:tc>
          <w:tcPr>
            <w:tcW w:w="0" w:type="auto"/>
            <w:vAlign w:val="center"/>
            <w:hideMark/>
          </w:tcPr>
          <w:p w14:paraId="08B76F7B" w14:textId="2D7FBE74" w:rsidR="00EC3B9D" w:rsidRPr="00EC3B9D" w:rsidRDefault="00EC3B9D" w:rsidP="00EC3B9D">
            <w:pPr>
              <w:rPr>
                <w:rFonts w:ascii="Arial Narrow" w:hAnsi="Arial Narrow" w:cstheme="majorHAnsi"/>
              </w:rPr>
            </w:pPr>
            <w:r w:rsidRPr="00EC3B9D">
              <w:rPr>
                <w:rFonts w:ascii="Arial Narrow" w:hAnsi="Arial Narrow" w:cstheme="majorHAnsi"/>
              </w:rPr>
              <w:t>19.100</w:t>
            </w:r>
          </w:p>
        </w:tc>
      </w:tr>
      <w:tr w:rsidR="00EC3B9D" w:rsidRPr="00EC3B9D" w14:paraId="1E5931E2" w14:textId="77777777" w:rsidTr="00B12F2B">
        <w:trPr>
          <w:tblCellSpacing w:w="15" w:type="dxa"/>
        </w:trPr>
        <w:tc>
          <w:tcPr>
            <w:tcW w:w="0" w:type="auto"/>
            <w:vAlign w:val="center"/>
            <w:hideMark/>
          </w:tcPr>
          <w:p w14:paraId="2A871625" w14:textId="77777777" w:rsidR="00EC3B9D" w:rsidRPr="00EC3B9D" w:rsidRDefault="00EC3B9D" w:rsidP="00EC3B9D">
            <w:pPr>
              <w:rPr>
                <w:rFonts w:ascii="Arial Narrow" w:hAnsi="Arial Narrow" w:cstheme="majorHAnsi"/>
              </w:rPr>
            </w:pPr>
            <w:r w:rsidRPr="00EC3B9D">
              <w:rPr>
                <w:rFonts w:ascii="Arial Narrow" w:hAnsi="Arial Narrow" w:cstheme="majorHAnsi"/>
              </w:rPr>
              <w:t>M2 Growth</w:t>
            </w:r>
          </w:p>
        </w:tc>
        <w:tc>
          <w:tcPr>
            <w:tcW w:w="235" w:type="dxa"/>
          </w:tcPr>
          <w:p w14:paraId="2354CA58" w14:textId="77777777" w:rsidR="00EC3B9D" w:rsidRPr="00EC3B9D" w:rsidRDefault="00EC3B9D" w:rsidP="00EC3B9D">
            <w:pPr>
              <w:rPr>
                <w:rFonts w:ascii="Arial Narrow" w:hAnsi="Arial Narrow" w:cstheme="majorHAnsi"/>
              </w:rPr>
            </w:pPr>
          </w:p>
        </w:tc>
        <w:tc>
          <w:tcPr>
            <w:tcW w:w="582" w:type="dxa"/>
            <w:vAlign w:val="center"/>
            <w:hideMark/>
          </w:tcPr>
          <w:p w14:paraId="1B695BDE" w14:textId="4E4AB6D4" w:rsidR="00EC3B9D" w:rsidRPr="00EC3B9D" w:rsidRDefault="00EC3B9D" w:rsidP="00EC3B9D">
            <w:pPr>
              <w:rPr>
                <w:rFonts w:ascii="Arial Narrow" w:hAnsi="Arial Narrow" w:cstheme="majorHAnsi"/>
              </w:rPr>
            </w:pPr>
            <w:r w:rsidRPr="00EC3B9D">
              <w:rPr>
                <w:rFonts w:ascii="Arial Narrow" w:hAnsi="Arial Narrow" w:cstheme="majorHAnsi"/>
              </w:rPr>
              <w:t>0.5458</w:t>
            </w:r>
          </w:p>
        </w:tc>
        <w:tc>
          <w:tcPr>
            <w:tcW w:w="0" w:type="auto"/>
          </w:tcPr>
          <w:p w14:paraId="60FA2672" w14:textId="77777777" w:rsidR="00EC3B9D" w:rsidRPr="00EC3B9D" w:rsidRDefault="00EC3B9D" w:rsidP="00EC3B9D">
            <w:pPr>
              <w:rPr>
                <w:rFonts w:ascii="Arial Narrow" w:hAnsi="Arial Narrow" w:cstheme="majorHAnsi"/>
              </w:rPr>
            </w:pPr>
          </w:p>
        </w:tc>
        <w:tc>
          <w:tcPr>
            <w:tcW w:w="0" w:type="auto"/>
          </w:tcPr>
          <w:p w14:paraId="0FF281F7" w14:textId="569659A6" w:rsidR="00EC3B9D" w:rsidRPr="00EC3B9D" w:rsidRDefault="00EC3B9D" w:rsidP="00EC3B9D">
            <w:pPr>
              <w:rPr>
                <w:rFonts w:ascii="Arial Narrow" w:hAnsi="Arial Narrow" w:cstheme="majorHAnsi"/>
              </w:rPr>
            </w:pPr>
          </w:p>
        </w:tc>
        <w:tc>
          <w:tcPr>
            <w:tcW w:w="0" w:type="auto"/>
            <w:vAlign w:val="center"/>
            <w:hideMark/>
          </w:tcPr>
          <w:p w14:paraId="33F60E05" w14:textId="546DB62B" w:rsidR="00EC3B9D" w:rsidRPr="00EC3B9D" w:rsidRDefault="00EC3B9D" w:rsidP="00EC3B9D">
            <w:pPr>
              <w:rPr>
                <w:rFonts w:ascii="Arial Narrow" w:hAnsi="Arial Narrow" w:cstheme="majorHAnsi"/>
              </w:rPr>
            </w:pPr>
            <w:r w:rsidRPr="00EC3B9D">
              <w:rPr>
                <w:rFonts w:ascii="Arial Narrow" w:hAnsi="Arial Narrow" w:cstheme="majorHAnsi"/>
              </w:rPr>
              <w:t>0.5216</w:t>
            </w:r>
          </w:p>
        </w:tc>
        <w:tc>
          <w:tcPr>
            <w:tcW w:w="0" w:type="auto"/>
          </w:tcPr>
          <w:p w14:paraId="6C4530C2" w14:textId="77777777" w:rsidR="00EC3B9D" w:rsidRPr="00EC3B9D" w:rsidRDefault="00EC3B9D" w:rsidP="00EC3B9D">
            <w:pPr>
              <w:rPr>
                <w:rFonts w:ascii="Arial Narrow" w:hAnsi="Arial Narrow" w:cstheme="majorHAnsi"/>
              </w:rPr>
            </w:pPr>
          </w:p>
        </w:tc>
        <w:tc>
          <w:tcPr>
            <w:tcW w:w="0" w:type="auto"/>
          </w:tcPr>
          <w:p w14:paraId="3D562FC0" w14:textId="77777777" w:rsidR="00EC3B9D" w:rsidRPr="00EC3B9D" w:rsidRDefault="00EC3B9D" w:rsidP="00EC3B9D">
            <w:pPr>
              <w:rPr>
                <w:rFonts w:ascii="Arial Narrow" w:hAnsi="Arial Narrow" w:cstheme="majorHAnsi"/>
              </w:rPr>
            </w:pPr>
          </w:p>
        </w:tc>
        <w:tc>
          <w:tcPr>
            <w:tcW w:w="0" w:type="auto"/>
            <w:vAlign w:val="center"/>
            <w:hideMark/>
          </w:tcPr>
          <w:p w14:paraId="01849C67" w14:textId="35FCC674" w:rsidR="00EC3B9D" w:rsidRPr="00EC3B9D" w:rsidRDefault="00EC3B9D" w:rsidP="00EC3B9D">
            <w:pPr>
              <w:rPr>
                <w:rFonts w:ascii="Arial Narrow" w:hAnsi="Arial Narrow" w:cstheme="majorHAnsi"/>
              </w:rPr>
            </w:pPr>
            <w:r w:rsidRPr="00EC3B9D">
              <w:rPr>
                <w:rFonts w:ascii="Arial Narrow" w:hAnsi="Arial Narrow" w:cstheme="majorHAnsi"/>
              </w:rPr>
              <w:t>-1.4025</w:t>
            </w:r>
          </w:p>
        </w:tc>
        <w:tc>
          <w:tcPr>
            <w:tcW w:w="0" w:type="auto"/>
          </w:tcPr>
          <w:p w14:paraId="083B84D0" w14:textId="77777777" w:rsidR="00EC3B9D" w:rsidRPr="00EC3B9D" w:rsidRDefault="00EC3B9D" w:rsidP="00EC3B9D">
            <w:pPr>
              <w:rPr>
                <w:rFonts w:ascii="Arial Narrow" w:hAnsi="Arial Narrow" w:cstheme="majorHAnsi"/>
              </w:rPr>
            </w:pPr>
          </w:p>
        </w:tc>
        <w:tc>
          <w:tcPr>
            <w:tcW w:w="0" w:type="auto"/>
            <w:vAlign w:val="center"/>
            <w:hideMark/>
          </w:tcPr>
          <w:p w14:paraId="5770D2F0" w14:textId="381B3E8D" w:rsidR="00EC3B9D" w:rsidRPr="00EC3B9D" w:rsidRDefault="00EC3B9D" w:rsidP="00EC3B9D">
            <w:pPr>
              <w:rPr>
                <w:rFonts w:ascii="Arial Narrow" w:hAnsi="Arial Narrow" w:cstheme="majorHAnsi"/>
              </w:rPr>
            </w:pPr>
            <w:r w:rsidRPr="00EC3B9D">
              <w:rPr>
                <w:rFonts w:ascii="Arial Narrow" w:hAnsi="Arial Narrow" w:cstheme="majorHAnsi"/>
              </w:rPr>
              <w:t>6.4212</w:t>
            </w:r>
          </w:p>
        </w:tc>
      </w:tr>
    </w:tbl>
    <w:p w14:paraId="16ED42B8" w14:textId="77777777" w:rsidR="00EC3B9D" w:rsidRDefault="00EC3B9D" w:rsidP="0056225B">
      <w:pPr>
        <w:rPr>
          <w:rFonts w:ascii="Arial Narrow" w:hAnsi="Arial Narrow" w:cstheme="majorHAnsi"/>
        </w:rPr>
      </w:pPr>
    </w:p>
    <w:p w14:paraId="64741509" w14:textId="4A8C010F" w:rsidR="00EC3B9D" w:rsidRDefault="00EC3B9D" w:rsidP="0056225B">
      <w:pPr>
        <w:rPr>
          <w:rFonts w:ascii="Arial Narrow" w:hAnsi="Arial Narrow" w:cstheme="majorHAnsi"/>
        </w:rPr>
      </w:pPr>
      <w:r>
        <w:rPr>
          <w:rFonts w:ascii="Arial Narrow" w:hAnsi="Arial Narrow" w:cstheme="majorHAnsi"/>
        </w:rPr>
        <w:t>OLS Regression Results</w:t>
      </w:r>
    </w:p>
    <w:p w14:paraId="50C5C8A0" w14:textId="164302E8" w:rsidR="00EC3B9D" w:rsidRDefault="00EC3B9D" w:rsidP="0056225B">
      <w:pPr>
        <w:rPr>
          <w:rFonts w:ascii="Arial Narrow" w:hAnsi="Arial Narrow" w:cstheme="majorHAnsi"/>
        </w:rPr>
      </w:pPr>
      <w:r w:rsidRPr="00EC3B9D">
        <w:rPr>
          <w:rFonts w:ascii="Arial Narrow" w:hAnsi="Arial Narrow" w:cstheme="majorHAnsi"/>
        </w:rPr>
        <w:t xml:space="preserve">An Ordinary Least Squares (OLS) regression was estimated to examine the relationship between inflation and the unemployment rate, </w:t>
      </w:r>
      <w:r>
        <w:rPr>
          <w:rFonts w:ascii="Arial Narrow" w:hAnsi="Arial Narrow" w:cstheme="majorHAnsi"/>
        </w:rPr>
        <w:t xml:space="preserve">the </w:t>
      </w:r>
      <w:r w:rsidRPr="00EC3B9D">
        <w:rPr>
          <w:rFonts w:ascii="Arial Narrow" w:hAnsi="Arial Narrow" w:cstheme="majorHAnsi"/>
        </w:rPr>
        <w:t>Federal Funds Rate and M2 money supply growth.</w:t>
      </w:r>
    </w:p>
    <w:p w14:paraId="696DDCB3" w14:textId="4F86F835" w:rsidR="00B762A3" w:rsidRDefault="00B762A3" w:rsidP="0056225B">
      <w:pPr>
        <w:rPr>
          <w:rFonts w:ascii="Arial Narrow" w:hAnsi="Arial Narrow" w:cstheme="majorHAnsi"/>
        </w:rPr>
      </w:pPr>
      <w:r>
        <w:rPr>
          <w:rFonts w:ascii="Arial Narrow" w:hAnsi="Arial Narrow" w:cstheme="majorHAnsi"/>
        </w:rPr>
        <w:t xml:space="preserve">The results showed that the Federal Funds Rate was positively associated with inflation </w:t>
      </w:r>
      <w:r w:rsidRPr="00B762A3">
        <w:rPr>
          <w:rFonts w:ascii="Arial Narrow" w:hAnsi="Arial Narrow" w:cstheme="majorHAnsi"/>
          <w:u w:val="single"/>
        </w:rPr>
        <w:t>(b = 0.042, p &lt; .001</w:t>
      </w:r>
      <w:r>
        <w:rPr>
          <w:rFonts w:ascii="Arial Narrow" w:hAnsi="Arial Narrow" w:cstheme="majorHAnsi"/>
        </w:rPr>
        <w:t>)</w:t>
      </w:r>
      <w:r w:rsidRPr="00B762A3">
        <w:rPr>
          <w:rFonts w:ascii="Arial Narrow" w:hAnsi="Arial Narrow" w:cstheme="majorHAnsi"/>
        </w:rPr>
        <w:t>. This implies that, in this model, a one-unit increase in the Federal Funds Rate was associated with an approximate 0.042 percentage point increase in monthly inflation.</w:t>
      </w:r>
    </w:p>
    <w:p w14:paraId="323FEFCA" w14:textId="5C7E3ACE" w:rsidR="00B762A3" w:rsidRPr="00B762A3" w:rsidRDefault="00B762A3" w:rsidP="00B762A3">
      <w:pPr>
        <w:rPr>
          <w:rFonts w:ascii="Arial Narrow" w:hAnsi="Arial Narrow" w:cstheme="majorHAnsi"/>
        </w:rPr>
      </w:pPr>
      <w:r w:rsidRPr="00B762A3">
        <w:rPr>
          <w:rFonts w:ascii="Arial Narrow" w:hAnsi="Arial Narrow" w:cstheme="majorHAnsi"/>
        </w:rPr>
        <w:lastRenderedPageBreak/>
        <w:t xml:space="preserve">The unemployment rate was not significant </w:t>
      </w:r>
      <w:r w:rsidRPr="00B762A3">
        <w:rPr>
          <w:rFonts w:ascii="Arial Narrow" w:hAnsi="Arial Narrow" w:cstheme="majorHAnsi"/>
          <w:u w:val="single"/>
        </w:rPr>
        <w:t>(b = -0.001, p = .809</w:t>
      </w:r>
      <w:r w:rsidRPr="00B762A3">
        <w:rPr>
          <w:rFonts w:ascii="Arial Narrow" w:hAnsi="Arial Narrow" w:cstheme="majorHAnsi"/>
        </w:rPr>
        <w:t>), meaning that there was no statistically significant association with inflation in this model.</w:t>
      </w:r>
    </w:p>
    <w:p w14:paraId="56812317" w14:textId="2C6461C3" w:rsidR="00B762A3" w:rsidRPr="00B762A3" w:rsidRDefault="00B762A3" w:rsidP="00B762A3">
      <w:pPr>
        <w:rPr>
          <w:rFonts w:ascii="Arial Narrow" w:hAnsi="Arial Narrow" w:cstheme="majorHAnsi"/>
        </w:rPr>
      </w:pPr>
      <w:r w:rsidRPr="00B762A3">
        <w:rPr>
          <w:rFonts w:ascii="Arial Narrow" w:hAnsi="Arial Narrow" w:cstheme="majorHAnsi"/>
        </w:rPr>
        <w:t xml:space="preserve">The M2 money supply growth was negatively and statistically significantly associated with inflation under the conventional OLS results </w:t>
      </w:r>
      <w:r w:rsidRPr="00B762A3">
        <w:rPr>
          <w:rFonts w:ascii="Arial Narrow" w:hAnsi="Arial Narrow" w:cstheme="majorHAnsi"/>
          <w:u w:val="single"/>
        </w:rPr>
        <w:t>(b = -0.052, p = .016)</w:t>
      </w:r>
      <w:r>
        <w:rPr>
          <w:rFonts w:ascii="Arial Narrow" w:hAnsi="Arial Narrow" w:cstheme="majorHAnsi"/>
        </w:rPr>
        <w:t>.</w:t>
      </w:r>
    </w:p>
    <w:p w14:paraId="3991F1B3" w14:textId="38C07E78" w:rsidR="00B762A3" w:rsidRPr="00B762A3" w:rsidRDefault="00B762A3" w:rsidP="00B762A3">
      <w:pPr>
        <w:rPr>
          <w:rFonts w:ascii="Arial Narrow" w:hAnsi="Arial Narrow" w:cstheme="majorHAnsi"/>
          <w:u w:val="single"/>
        </w:rPr>
      </w:pPr>
      <w:r>
        <w:rPr>
          <w:rFonts w:ascii="Arial Narrow" w:hAnsi="Arial Narrow" w:cstheme="majorHAnsi"/>
          <w:noProof/>
        </w:rPr>
        <mc:AlternateContent>
          <mc:Choice Requires="wps">
            <w:drawing>
              <wp:anchor distT="0" distB="0" distL="114300" distR="114300" simplePos="0" relativeHeight="251660288" behindDoc="0" locked="0" layoutInCell="1" allowOverlap="1" wp14:anchorId="4BC09CEE" wp14:editId="0F3C6CE0">
                <wp:simplePos x="0" y="0"/>
                <wp:positionH relativeFrom="column">
                  <wp:posOffset>-137160</wp:posOffset>
                </wp:positionH>
                <wp:positionV relativeFrom="paragraph">
                  <wp:posOffset>857250</wp:posOffset>
                </wp:positionV>
                <wp:extent cx="3253740" cy="7620"/>
                <wp:effectExtent l="0" t="0" r="22860" b="30480"/>
                <wp:wrapNone/>
                <wp:docPr id="439432140" name="Straight Connector 2"/>
                <wp:cNvGraphicFramePr/>
                <a:graphic xmlns:a="http://schemas.openxmlformats.org/drawingml/2006/main">
                  <a:graphicData uri="http://schemas.microsoft.com/office/word/2010/wordprocessingShape">
                    <wps:wsp>
                      <wps:cNvCnPr/>
                      <wps:spPr>
                        <a:xfrm flipV="1">
                          <a:off x="0" y="0"/>
                          <a:ext cx="3253740" cy="762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5AF93161"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0.8pt,67.5pt" to="245.4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" strokecolor="#a5a5a5 [3206]" strokeweight=".5pt">
                <v:stroke joinstyle="miter"/>
              </v:line>
            </w:pict>
          </mc:Fallback>
        </mc:AlternateContent>
      </w:r>
      <w:r w:rsidRPr="00B762A3">
        <w:rPr>
          <w:rFonts w:ascii="Arial Narrow" w:hAnsi="Arial Narrow" w:cstheme="majorHAnsi"/>
        </w:rPr>
        <w:t xml:space="preserve">The model had an </w:t>
      </w:r>
      <w:r>
        <w:rPr>
          <w:rFonts w:ascii="Arial Narrow" w:hAnsi="Arial Narrow" w:cstheme="majorHAnsi"/>
        </w:rPr>
        <w:t>R</w:t>
      </w:r>
      <w:r>
        <w:rPr>
          <w:rFonts w:ascii="Arial Narrow" w:hAnsi="Arial Narrow" w:cstheme="majorHAnsi"/>
          <w:vertAlign w:val="superscript"/>
        </w:rPr>
        <w:t>2</w:t>
      </w:r>
      <w:r w:rsidRPr="00B762A3">
        <w:rPr>
          <w:rFonts w:ascii="Arial Narrow" w:hAnsi="Arial Narrow" w:cstheme="majorHAnsi"/>
        </w:rPr>
        <w:t xml:space="preserve"> of </w:t>
      </w:r>
      <w:r w:rsidRPr="00B762A3">
        <w:rPr>
          <w:rFonts w:ascii="Arial Narrow" w:hAnsi="Arial Narrow" w:cstheme="majorHAnsi"/>
          <w:u w:val="single"/>
        </w:rPr>
        <w:t>0.2425</w:t>
      </w:r>
      <w:r w:rsidRPr="00B762A3">
        <w:rPr>
          <w:rFonts w:ascii="Arial Narrow" w:hAnsi="Arial Narrow" w:cstheme="majorHAnsi"/>
        </w:rPr>
        <w:t xml:space="preserve"> and an </w:t>
      </w:r>
      <w:r>
        <w:rPr>
          <w:rFonts w:ascii="Arial Narrow" w:hAnsi="Arial Narrow" w:cstheme="majorHAnsi"/>
        </w:rPr>
        <w:t>adjusted R</w:t>
      </w:r>
      <w:r>
        <w:rPr>
          <w:rFonts w:ascii="Arial Narrow" w:hAnsi="Arial Narrow" w:cstheme="majorHAnsi"/>
          <w:vertAlign w:val="superscript"/>
        </w:rPr>
        <w:t>2</w:t>
      </w:r>
      <w:r w:rsidRPr="00B762A3">
        <w:rPr>
          <w:rFonts w:ascii="Arial Narrow" w:hAnsi="Arial Narrow" w:cstheme="majorHAnsi"/>
        </w:rPr>
        <w:t>of 0.2397, indicating that approximately 24% of the variation in inflation was explained by the independent variables included in the model, and the overall regression model was statistically significant (</w:t>
      </w:r>
      <w:r w:rsidRPr="00B762A3">
        <w:rPr>
          <w:rFonts w:ascii="Arial Narrow" w:hAnsi="Arial Narrow" w:cstheme="majorHAnsi"/>
          <w:u w:val="single"/>
        </w:rPr>
        <w:t>F = 85.8, p &lt; .001).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66"/>
        <w:gridCol w:w="812"/>
        <w:gridCol w:w="66"/>
        <w:gridCol w:w="892"/>
        <w:gridCol w:w="66"/>
        <w:gridCol w:w="66"/>
        <w:gridCol w:w="642"/>
        <w:gridCol w:w="66"/>
        <w:gridCol w:w="707"/>
      </w:tblGrid>
      <w:tr w:rsidR="00B762A3" w:rsidRPr="00B762A3" w14:paraId="1C25DEC1" w14:textId="77777777" w:rsidTr="00CF612A">
        <w:trPr>
          <w:tblHeader/>
          <w:tblCellSpacing w:w="15" w:type="dxa"/>
        </w:trPr>
        <w:tc>
          <w:tcPr>
            <w:tcW w:w="0" w:type="auto"/>
            <w:vAlign w:val="center"/>
            <w:hideMark/>
          </w:tcPr>
          <w:p w14:paraId="225DA92C" w14:textId="77777777" w:rsidR="00B762A3" w:rsidRPr="00B762A3" w:rsidRDefault="00B762A3" w:rsidP="00B762A3">
            <w:pPr>
              <w:rPr>
                <w:rFonts w:ascii="Arial Narrow" w:hAnsi="Arial Narrow" w:cstheme="majorHAnsi"/>
                <w:b/>
                <w:bCs/>
              </w:rPr>
            </w:pPr>
            <w:r w:rsidRPr="00B762A3">
              <w:rPr>
                <w:rFonts w:ascii="Arial Narrow" w:hAnsi="Arial Narrow" w:cstheme="majorHAnsi"/>
                <w:b/>
                <w:bCs/>
              </w:rPr>
              <w:t>Variable</w:t>
            </w:r>
          </w:p>
        </w:tc>
        <w:tc>
          <w:tcPr>
            <w:tcW w:w="0" w:type="auto"/>
          </w:tcPr>
          <w:p w14:paraId="4ECB9BDE" w14:textId="77777777" w:rsidR="00B762A3" w:rsidRPr="00B762A3" w:rsidRDefault="00B762A3" w:rsidP="00B762A3">
            <w:pPr>
              <w:rPr>
                <w:rFonts w:ascii="Arial Narrow" w:hAnsi="Arial Narrow" w:cstheme="majorHAnsi"/>
                <w:b/>
                <w:bCs/>
              </w:rPr>
            </w:pPr>
          </w:p>
        </w:tc>
        <w:tc>
          <w:tcPr>
            <w:tcW w:w="0" w:type="auto"/>
            <w:vAlign w:val="center"/>
            <w:hideMark/>
          </w:tcPr>
          <w:p w14:paraId="7E2FD014" w14:textId="4AB2F772" w:rsidR="00B762A3" w:rsidRPr="00B762A3" w:rsidRDefault="00B762A3" w:rsidP="00B762A3">
            <w:pPr>
              <w:rPr>
                <w:rFonts w:ascii="Arial Narrow" w:hAnsi="Arial Narrow" w:cstheme="majorHAnsi"/>
                <w:b/>
                <w:bCs/>
              </w:rPr>
            </w:pPr>
            <w:r w:rsidRPr="00B762A3">
              <w:rPr>
                <w:rFonts w:ascii="Arial Narrow" w:hAnsi="Arial Narrow" w:cstheme="majorHAnsi"/>
                <w:b/>
                <w:bCs/>
              </w:rPr>
              <w:t>Estimate</w:t>
            </w:r>
          </w:p>
        </w:tc>
        <w:tc>
          <w:tcPr>
            <w:tcW w:w="0" w:type="auto"/>
          </w:tcPr>
          <w:p w14:paraId="041610E2" w14:textId="77777777" w:rsidR="00B762A3" w:rsidRPr="00B762A3" w:rsidRDefault="00B762A3" w:rsidP="00B762A3">
            <w:pPr>
              <w:rPr>
                <w:rFonts w:ascii="Arial Narrow" w:hAnsi="Arial Narrow" w:cstheme="majorHAnsi"/>
                <w:b/>
                <w:bCs/>
              </w:rPr>
            </w:pPr>
          </w:p>
        </w:tc>
        <w:tc>
          <w:tcPr>
            <w:tcW w:w="0" w:type="auto"/>
            <w:vAlign w:val="center"/>
            <w:hideMark/>
          </w:tcPr>
          <w:p w14:paraId="0B4E79F8" w14:textId="2D0C45E0" w:rsidR="00B762A3" w:rsidRPr="00B762A3" w:rsidRDefault="00B762A3" w:rsidP="00B762A3">
            <w:pPr>
              <w:rPr>
                <w:rFonts w:ascii="Arial Narrow" w:hAnsi="Arial Narrow" w:cstheme="majorHAnsi"/>
                <w:b/>
                <w:bCs/>
              </w:rPr>
            </w:pPr>
            <w:r w:rsidRPr="00B762A3">
              <w:rPr>
                <w:rFonts w:ascii="Arial Narrow" w:hAnsi="Arial Narrow" w:cstheme="majorHAnsi"/>
                <w:b/>
                <w:bCs/>
              </w:rPr>
              <w:t>Std</w:t>
            </w:r>
            <w:r>
              <w:rPr>
                <w:rFonts w:ascii="Arial Narrow" w:hAnsi="Arial Narrow" w:cstheme="majorHAnsi"/>
                <w:b/>
                <w:bCs/>
              </w:rPr>
              <w:t>.</w:t>
            </w:r>
            <w:r w:rsidRPr="00B762A3">
              <w:rPr>
                <w:rFonts w:ascii="Arial Narrow" w:hAnsi="Arial Narrow" w:cstheme="majorHAnsi"/>
                <w:b/>
                <w:bCs/>
              </w:rPr>
              <w:t xml:space="preserve"> Error</w:t>
            </w:r>
          </w:p>
        </w:tc>
        <w:tc>
          <w:tcPr>
            <w:tcW w:w="0" w:type="auto"/>
          </w:tcPr>
          <w:p w14:paraId="27AC57B6" w14:textId="77777777" w:rsidR="00B762A3" w:rsidRPr="00B762A3" w:rsidRDefault="00B762A3" w:rsidP="00B762A3">
            <w:pPr>
              <w:rPr>
                <w:rFonts w:ascii="Arial Narrow" w:hAnsi="Arial Narrow" w:cstheme="majorHAnsi"/>
                <w:b/>
                <w:bCs/>
              </w:rPr>
            </w:pPr>
          </w:p>
        </w:tc>
        <w:tc>
          <w:tcPr>
            <w:tcW w:w="0" w:type="auto"/>
          </w:tcPr>
          <w:p w14:paraId="214F0C62" w14:textId="2CDFFAFC" w:rsidR="00B762A3" w:rsidRPr="00B762A3" w:rsidRDefault="00B762A3" w:rsidP="00B762A3">
            <w:pPr>
              <w:rPr>
                <w:rFonts w:ascii="Arial Narrow" w:hAnsi="Arial Narrow" w:cstheme="majorHAnsi"/>
                <w:b/>
                <w:bCs/>
              </w:rPr>
            </w:pPr>
          </w:p>
        </w:tc>
        <w:tc>
          <w:tcPr>
            <w:tcW w:w="0" w:type="auto"/>
            <w:vAlign w:val="center"/>
            <w:hideMark/>
          </w:tcPr>
          <w:p w14:paraId="5CA9C561" w14:textId="5B5D31DF" w:rsidR="00B762A3" w:rsidRPr="00B762A3" w:rsidRDefault="00B762A3" w:rsidP="00B762A3">
            <w:pPr>
              <w:rPr>
                <w:rFonts w:ascii="Arial Narrow" w:hAnsi="Arial Narrow" w:cstheme="majorHAnsi"/>
                <w:b/>
                <w:bCs/>
              </w:rPr>
            </w:pPr>
            <w:r w:rsidRPr="00B762A3">
              <w:rPr>
                <w:rFonts w:ascii="Arial Narrow" w:hAnsi="Arial Narrow" w:cstheme="majorHAnsi"/>
                <w:b/>
                <w:bCs/>
              </w:rPr>
              <w:t>t-value</w:t>
            </w:r>
          </w:p>
        </w:tc>
        <w:tc>
          <w:tcPr>
            <w:tcW w:w="0" w:type="auto"/>
          </w:tcPr>
          <w:p w14:paraId="6203DE3B" w14:textId="77777777" w:rsidR="00B762A3" w:rsidRPr="00B762A3" w:rsidRDefault="00B762A3" w:rsidP="00B762A3">
            <w:pPr>
              <w:rPr>
                <w:rFonts w:ascii="Arial Narrow" w:hAnsi="Arial Narrow" w:cstheme="majorHAnsi"/>
                <w:b/>
                <w:bCs/>
              </w:rPr>
            </w:pPr>
          </w:p>
        </w:tc>
        <w:tc>
          <w:tcPr>
            <w:tcW w:w="0" w:type="auto"/>
            <w:vAlign w:val="center"/>
            <w:hideMark/>
          </w:tcPr>
          <w:p w14:paraId="78061378" w14:textId="7EA383CA" w:rsidR="00B762A3" w:rsidRPr="00B762A3" w:rsidRDefault="00B762A3" w:rsidP="00B762A3">
            <w:pPr>
              <w:rPr>
                <w:rFonts w:ascii="Arial Narrow" w:hAnsi="Arial Narrow" w:cstheme="majorHAnsi"/>
                <w:b/>
                <w:bCs/>
              </w:rPr>
            </w:pPr>
            <w:r w:rsidRPr="00B762A3">
              <w:rPr>
                <w:rFonts w:ascii="Arial Narrow" w:hAnsi="Arial Narrow" w:cstheme="majorHAnsi"/>
                <w:b/>
                <w:bCs/>
              </w:rPr>
              <w:t>p-value</w:t>
            </w:r>
          </w:p>
        </w:tc>
      </w:tr>
      <w:tr w:rsidR="00B762A3" w:rsidRPr="00B762A3" w14:paraId="69CDA8BB" w14:textId="77777777" w:rsidTr="00CF612A">
        <w:trPr>
          <w:tblCellSpacing w:w="15" w:type="dxa"/>
        </w:trPr>
        <w:tc>
          <w:tcPr>
            <w:tcW w:w="0" w:type="auto"/>
            <w:vAlign w:val="center"/>
            <w:hideMark/>
          </w:tcPr>
          <w:p w14:paraId="73DF44D6" w14:textId="77777777" w:rsidR="00B762A3" w:rsidRPr="00B762A3" w:rsidRDefault="00B762A3" w:rsidP="00B762A3">
            <w:pPr>
              <w:rPr>
                <w:rFonts w:ascii="Arial Narrow" w:hAnsi="Arial Narrow" w:cstheme="majorHAnsi"/>
              </w:rPr>
            </w:pPr>
            <w:r w:rsidRPr="00B762A3">
              <w:rPr>
                <w:rFonts w:ascii="Arial Narrow" w:hAnsi="Arial Narrow" w:cstheme="majorHAnsi"/>
              </w:rPr>
              <w:t>Intercept</w:t>
            </w:r>
          </w:p>
        </w:tc>
        <w:tc>
          <w:tcPr>
            <w:tcW w:w="0" w:type="auto"/>
          </w:tcPr>
          <w:p w14:paraId="271ECBE7" w14:textId="77777777" w:rsidR="00B762A3" w:rsidRPr="00B762A3" w:rsidRDefault="00B762A3" w:rsidP="00B762A3">
            <w:pPr>
              <w:rPr>
                <w:rFonts w:ascii="Arial Narrow" w:hAnsi="Arial Narrow" w:cstheme="majorHAnsi"/>
              </w:rPr>
            </w:pPr>
          </w:p>
        </w:tc>
        <w:tc>
          <w:tcPr>
            <w:tcW w:w="0" w:type="auto"/>
            <w:vAlign w:val="center"/>
            <w:hideMark/>
          </w:tcPr>
          <w:p w14:paraId="5760C4D2" w14:textId="74276A1D" w:rsidR="00B762A3" w:rsidRPr="00B762A3" w:rsidRDefault="00B762A3" w:rsidP="00B762A3">
            <w:pPr>
              <w:rPr>
                <w:rFonts w:ascii="Arial Narrow" w:hAnsi="Arial Narrow" w:cstheme="majorHAnsi"/>
              </w:rPr>
            </w:pPr>
            <w:r w:rsidRPr="00B762A3">
              <w:rPr>
                <w:rFonts w:ascii="Arial Narrow" w:hAnsi="Arial Narrow" w:cstheme="majorHAnsi"/>
              </w:rPr>
              <w:t>0.1378</w:t>
            </w:r>
          </w:p>
        </w:tc>
        <w:tc>
          <w:tcPr>
            <w:tcW w:w="0" w:type="auto"/>
          </w:tcPr>
          <w:p w14:paraId="54573532" w14:textId="77777777" w:rsidR="00B762A3" w:rsidRPr="00B762A3" w:rsidRDefault="00B762A3" w:rsidP="00B762A3">
            <w:pPr>
              <w:rPr>
                <w:rFonts w:ascii="Arial Narrow" w:hAnsi="Arial Narrow" w:cstheme="majorHAnsi"/>
              </w:rPr>
            </w:pPr>
          </w:p>
        </w:tc>
        <w:tc>
          <w:tcPr>
            <w:tcW w:w="0" w:type="auto"/>
            <w:vAlign w:val="center"/>
            <w:hideMark/>
          </w:tcPr>
          <w:p w14:paraId="366B8887" w14:textId="5D9265C6" w:rsidR="00B762A3" w:rsidRPr="00B762A3" w:rsidRDefault="00B762A3" w:rsidP="00B762A3">
            <w:pPr>
              <w:rPr>
                <w:rFonts w:ascii="Arial Narrow" w:hAnsi="Arial Narrow" w:cstheme="majorHAnsi"/>
              </w:rPr>
            </w:pPr>
            <w:r w:rsidRPr="00B762A3">
              <w:rPr>
                <w:rFonts w:ascii="Arial Narrow" w:hAnsi="Arial Narrow" w:cstheme="majorHAnsi"/>
              </w:rPr>
              <w:t>0.0364</w:t>
            </w:r>
          </w:p>
        </w:tc>
        <w:tc>
          <w:tcPr>
            <w:tcW w:w="0" w:type="auto"/>
          </w:tcPr>
          <w:p w14:paraId="35666328" w14:textId="77777777" w:rsidR="00B762A3" w:rsidRPr="00B762A3" w:rsidRDefault="00B762A3" w:rsidP="00B762A3">
            <w:pPr>
              <w:rPr>
                <w:rFonts w:ascii="Arial Narrow" w:hAnsi="Arial Narrow" w:cstheme="majorHAnsi"/>
              </w:rPr>
            </w:pPr>
          </w:p>
        </w:tc>
        <w:tc>
          <w:tcPr>
            <w:tcW w:w="0" w:type="auto"/>
          </w:tcPr>
          <w:p w14:paraId="7EA95104" w14:textId="19ADA382" w:rsidR="00B762A3" w:rsidRPr="00B762A3" w:rsidRDefault="00B762A3" w:rsidP="00B762A3">
            <w:pPr>
              <w:rPr>
                <w:rFonts w:ascii="Arial Narrow" w:hAnsi="Arial Narrow" w:cstheme="majorHAnsi"/>
              </w:rPr>
            </w:pPr>
          </w:p>
        </w:tc>
        <w:tc>
          <w:tcPr>
            <w:tcW w:w="0" w:type="auto"/>
            <w:vAlign w:val="center"/>
            <w:hideMark/>
          </w:tcPr>
          <w:p w14:paraId="56616D85" w14:textId="709AD34E" w:rsidR="00B762A3" w:rsidRPr="00B762A3" w:rsidRDefault="00B762A3" w:rsidP="00B762A3">
            <w:pPr>
              <w:rPr>
                <w:rFonts w:ascii="Arial Narrow" w:hAnsi="Arial Narrow" w:cstheme="majorHAnsi"/>
              </w:rPr>
            </w:pPr>
            <w:r w:rsidRPr="00B762A3">
              <w:rPr>
                <w:rFonts w:ascii="Arial Narrow" w:hAnsi="Arial Narrow" w:cstheme="majorHAnsi"/>
              </w:rPr>
              <w:t>3.787</w:t>
            </w:r>
          </w:p>
        </w:tc>
        <w:tc>
          <w:tcPr>
            <w:tcW w:w="0" w:type="auto"/>
          </w:tcPr>
          <w:p w14:paraId="20B1761D" w14:textId="77777777" w:rsidR="00B762A3" w:rsidRPr="00B762A3" w:rsidRDefault="00B762A3" w:rsidP="00B762A3">
            <w:pPr>
              <w:rPr>
                <w:rFonts w:ascii="Arial Narrow" w:hAnsi="Arial Narrow" w:cstheme="majorHAnsi"/>
              </w:rPr>
            </w:pPr>
          </w:p>
        </w:tc>
        <w:tc>
          <w:tcPr>
            <w:tcW w:w="0" w:type="auto"/>
            <w:vAlign w:val="center"/>
            <w:hideMark/>
          </w:tcPr>
          <w:p w14:paraId="72B37648" w14:textId="49717565" w:rsidR="00B762A3" w:rsidRPr="00B762A3" w:rsidRDefault="00B762A3" w:rsidP="00B762A3">
            <w:pPr>
              <w:rPr>
                <w:rFonts w:ascii="Arial Narrow" w:hAnsi="Arial Narrow" w:cstheme="majorHAnsi"/>
              </w:rPr>
            </w:pPr>
            <w:r w:rsidRPr="00B762A3">
              <w:rPr>
                <w:rFonts w:ascii="Arial Narrow" w:hAnsi="Arial Narrow" w:cstheme="majorHAnsi"/>
              </w:rPr>
              <w:t>&lt; .001</w:t>
            </w:r>
          </w:p>
        </w:tc>
      </w:tr>
      <w:tr w:rsidR="00B762A3" w:rsidRPr="00B762A3" w14:paraId="48E6FA01" w14:textId="77777777" w:rsidTr="00CF612A">
        <w:trPr>
          <w:tblCellSpacing w:w="15" w:type="dxa"/>
        </w:trPr>
        <w:tc>
          <w:tcPr>
            <w:tcW w:w="0" w:type="auto"/>
            <w:vAlign w:val="center"/>
            <w:hideMark/>
          </w:tcPr>
          <w:p w14:paraId="11CF0273" w14:textId="77777777" w:rsidR="00B762A3" w:rsidRPr="00B762A3" w:rsidRDefault="00B762A3" w:rsidP="00B762A3">
            <w:pPr>
              <w:rPr>
                <w:rFonts w:ascii="Arial Narrow" w:hAnsi="Arial Narrow" w:cstheme="majorHAnsi"/>
              </w:rPr>
            </w:pPr>
            <w:r w:rsidRPr="00B762A3">
              <w:rPr>
                <w:rFonts w:ascii="Arial Narrow" w:hAnsi="Arial Narrow" w:cstheme="majorHAnsi"/>
              </w:rPr>
              <w:t>Unemployment Rate</w:t>
            </w:r>
          </w:p>
        </w:tc>
        <w:tc>
          <w:tcPr>
            <w:tcW w:w="0" w:type="auto"/>
          </w:tcPr>
          <w:p w14:paraId="6E1BCDC9" w14:textId="77777777" w:rsidR="00B762A3" w:rsidRPr="00B762A3" w:rsidRDefault="00B762A3" w:rsidP="00B762A3">
            <w:pPr>
              <w:rPr>
                <w:rFonts w:ascii="Arial Narrow" w:hAnsi="Arial Narrow" w:cstheme="majorHAnsi"/>
              </w:rPr>
            </w:pPr>
          </w:p>
        </w:tc>
        <w:tc>
          <w:tcPr>
            <w:tcW w:w="0" w:type="auto"/>
            <w:vAlign w:val="center"/>
            <w:hideMark/>
          </w:tcPr>
          <w:p w14:paraId="4D9DBA90" w14:textId="63813003" w:rsidR="00B762A3" w:rsidRPr="00B762A3" w:rsidRDefault="00B762A3" w:rsidP="00B762A3">
            <w:pPr>
              <w:rPr>
                <w:rFonts w:ascii="Arial Narrow" w:hAnsi="Arial Narrow" w:cstheme="majorHAnsi"/>
              </w:rPr>
            </w:pPr>
            <w:r w:rsidRPr="00B762A3">
              <w:rPr>
                <w:rFonts w:ascii="Arial Narrow" w:hAnsi="Arial Narrow" w:cstheme="majorHAnsi"/>
              </w:rPr>
              <w:t>-0.0015</w:t>
            </w:r>
          </w:p>
        </w:tc>
        <w:tc>
          <w:tcPr>
            <w:tcW w:w="0" w:type="auto"/>
          </w:tcPr>
          <w:p w14:paraId="1BF24ED9" w14:textId="77777777" w:rsidR="00B762A3" w:rsidRPr="00B762A3" w:rsidRDefault="00B762A3" w:rsidP="00B762A3">
            <w:pPr>
              <w:rPr>
                <w:rFonts w:ascii="Arial Narrow" w:hAnsi="Arial Narrow" w:cstheme="majorHAnsi"/>
              </w:rPr>
            </w:pPr>
          </w:p>
        </w:tc>
        <w:tc>
          <w:tcPr>
            <w:tcW w:w="0" w:type="auto"/>
            <w:vAlign w:val="center"/>
            <w:hideMark/>
          </w:tcPr>
          <w:p w14:paraId="370AF669" w14:textId="30A097F5" w:rsidR="00B762A3" w:rsidRPr="00B762A3" w:rsidRDefault="00B762A3" w:rsidP="00B762A3">
            <w:pPr>
              <w:rPr>
                <w:rFonts w:ascii="Arial Narrow" w:hAnsi="Arial Narrow" w:cstheme="majorHAnsi"/>
              </w:rPr>
            </w:pPr>
            <w:r w:rsidRPr="00B762A3">
              <w:rPr>
                <w:rFonts w:ascii="Arial Narrow" w:hAnsi="Arial Narrow" w:cstheme="majorHAnsi"/>
              </w:rPr>
              <w:t>0.0060</w:t>
            </w:r>
          </w:p>
        </w:tc>
        <w:tc>
          <w:tcPr>
            <w:tcW w:w="0" w:type="auto"/>
          </w:tcPr>
          <w:p w14:paraId="1C423AEC" w14:textId="77777777" w:rsidR="00B762A3" w:rsidRPr="00B762A3" w:rsidRDefault="00B762A3" w:rsidP="00B762A3">
            <w:pPr>
              <w:rPr>
                <w:rFonts w:ascii="Arial Narrow" w:hAnsi="Arial Narrow" w:cstheme="majorHAnsi"/>
              </w:rPr>
            </w:pPr>
          </w:p>
        </w:tc>
        <w:tc>
          <w:tcPr>
            <w:tcW w:w="0" w:type="auto"/>
          </w:tcPr>
          <w:p w14:paraId="56732DD0" w14:textId="33F6C076" w:rsidR="00B762A3" w:rsidRPr="00B762A3" w:rsidRDefault="00B762A3" w:rsidP="00B762A3">
            <w:pPr>
              <w:rPr>
                <w:rFonts w:ascii="Arial Narrow" w:hAnsi="Arial Narrow" w:cstheme="majorHAnsi"/>
              </w:rPr>
            </w:pPr>
          </w:p>
        </w:tc>
        <w:tc>
          <w:tcPr>
            <w:tcW w:w="0" w:type="auto"/>
            <w:vAlign w:val="center"/>
            <w:hideMark/>
          </w:tcPr>
          <w:p w14:paraId="3A9BFAA7" w14:textId="4096060E" w:rsidR="00B762A3" w:rsidRPr="00B762A3" w:rsidRDefault="00B762A3" w:rsidP="00B762A3">
            <w:pPr>
              <w:rPr>
                <w:rFonts w:ascii="Arial Narrow" w:hAnsi="Arial Narrow" w:cstheme="majorHAnsi"/>
              </w:rPr>
            </w:pPr>
            <w:r w:rsidRPr="00B762A3">
              <w:rPr>
                <w:rFonts w:ascii="Arial Narrow" w:hAnsi="Arial Narrow" w:cstheme="majorHAnsi"/>
              </w:rPr>
              <w:t>-0.242</w:t>
            </w:r>
          </w:p>
        </w:tc>
        <w:tc>
          <w:tcPr>
            <w:tcW w:w="0" w:type="auto"/>
          </w:tcPr>
          <w:p w14:paraId="361A917B" w14:textId="77777777" w:rsidR="00B762A3" w:rsidRPr="00B762A3" w:rsidRDefault="00B762A3" w:rsidP="00B762A3">
            <w:pPr>
              <w:rPr>
                <w:rFonts w:ascii="Arial Narrow" w:hAnsi="Arial Narrow" w:cstheme="majorHAnsi"/>
              </w:rPr>
            </w:pPr>
          </w:p>
        </w:tc>
        <w:tc>
          <w:tcPr>
            <w:tcW w:w="0" w:type="auto"/>
            <w:vAlign w:val="center"/>
            <w:hideMark/>
          </w:tcPr>
          <w:p w14:paraId="0CEBB0B6" w14:textId="530D08E1" w:rsidR="00B762A3" w:rsidRPr="00B762A3" w:rsidRDefault="00B762A3" w:rsidP="00B762A3">
            <w:pPr>
              <w:rPr>
                <w:rFonts w:ascii="Arial Narrow" w:hAnsi="Arial Narrow" w:cstheme="majorHAnsi"/>
              </w:rPr>
            </w:pPr>
            <w:r w:rsidRPr="00B762A3">
              <w:rPr>
                <w:rFonts w:ascii="Arial Narrow" w:hAnsi="Arial Narrow" w:cstheme="majorHAnsi"/>
              </w:rPr>
              <w:t>.809</w:t>
            </w:r>
          </w:p>
        </w:tc>
      </w:tr>
      <w:tr w:rsidR="00B762A3" w:rsidRPr="00B762A3" w14:paraId="2EE3B9FE" w14:textId="77777777" w:rsidTr="00CF612A">
        <w:trPr>
          <w:tblCellSpacing w:w="15" w:type="dxa"/>
        </w:trPr>
        <w:tc>
          <w:tcPr>
            <w:tcW w:w="0" w:type="auto"/>
            <w:vAlign w:val="center"/>
            <w:hideMark/>
          </w:tcPr>
          <w:p w14:paraId="6011C191" w14:textId="77777777" w:rsidR="00B762A3" w:rsidRPr="00B762A3" w:rsidRDefault="00B762A3" w:rsidP="00B762A3">
            <w:pPr>
              <w:rPr>
                <w:rFonts w:ascii="Arial Narrow" w:hAnsi="Arial Narrow" w:cstheme="majorHAnsi"/>
              </w:rPr>
            </w:pPr>
            <w:r w:rsidRPr="00B762A3">
              <w:rPr>
                <w:rFonts w:ascii="Arial Narrow" w:hAnsi="Arial Narrow" w:cstheme="majorHAnsi"/>
              </w:rPr>
              <w:t>Federal Funds Rate</w:t>
            </w:r>
          </w:p>
        </w:tc>
        <w:tc>
          <w:tcPr>
            <w:tcW w:w="0" w:type="auto"/>
          </w:tcPr>
          <w:p w14:paraId="4B8CAB37" w14:textId="77777777" w:rsidR="00B762A3" w:rsidRPr="00B762A3" w:rsidRDefault="00B762A3" w:rsidP="00B762A3">
            <w:pPr>
              <w:rPr>
                <w:rFonts w:ascii="Arial Narrow" w:hAnsi="Arial Narrow" w:cstheme="majorHAnsi"/>
              </w:rPr>
            </w:pPr>
          </w:p>
        </w:tc>
        <w:tc>
          <w:tcPr>
            <w:tcW w:w="0" w:type="auto"/>
            <w:vAlign w:val="center"/>
            <w:hideMark/>
          </w:tcPr>
          <w:p w14:paraId="243BC346" w14:textId="3BB28B09" w:rsidR="00B762A3" w:rsidRPr="00B762A3" w:rsidRDefault="00B762A3" w:rsidP="00B762A3">
            <w:pPr>
              <w:rPr>
                <w:rFonts w:ascii="Arial Narrow" w:hAnsi="Arial Narrow" w:cstheme="majorHAnsi"/>
              </w:rPr>
            </w:pPr>
            <w:r w:rsidRPr="00B762A3">
              <w:rPr>
                <w:rFonts w:ascii="Arial Narrow" w:hAnsi="Arial Narrow" w:cstheme="majorHAnsi"/>
              </w:rPr>
              <w:t>0.0424</w:t>
            </w:r>
          </w:p>
        </w:tc>
        <w:tc>
          <w:tcPr>
            <w:tcW w:w="0" w:type="auto"/>
          </w:tcPr>
          <w:p w14:paraId="3A7F9DC8" w14:textId="77777777" w:rsidR="00B762A3" w:rsidRPr="00B762A3" w:rsidRDefault="00B762A3" w:rsidP="00B762A3">
            <w:pPr>
              <w:rPr>
                <w:rFonts w:ascii="Arial Narrow" w:hAnsi="Arial Narrow" w:cstheme="majorHAnsi"/>
              </w:rPr>
            </w:pPr>
          </w:p>
        </w:tc>
        <w:tc>
          <w:tcPr>
            <w:tcW w:w="0" w:type="auto"/>
            <w:vAlign w:val="center"/>
            <w:hideMark/>
          </w:tcPr>
          <w:p w14:paraId="23BF27FA" w14:textId="39C7A131" w:rsidR="00B762A3" w:rsidRPr="00B762A3" w:rsidRDefault="00B762A3" w:rsidP="00B762A3">
            <w:pPr>
              <w:rPr>
                <w:rFonts w:ascii="Arial Narrow" w:hAnsi="Arial Narrow" w:cstheme="majorHAnsi"/>
              </w:rPr>
            </w:pPr>
            <w:r w:rsidRPr="00B762A3">
              <w:rPr>
                <w:rFonts w:ascii="Arial Narrow" w:hAnsi="Arial Narrow" w:cstheme="majorHAnsi"/>
              </w:rPr>
              <w:t>0.0027</w:t>
            </w:r>
          </w:p>
        </w:tc>
        <w:tc>
          <w:tcPr>
            <w:tcW w:w="0" w:type="auto"/>
          </w:tcPr>
          <w:p w14:paraId="7AFC281A" w14:textId="77777777" w:rsidR="00B762A3" w:rsidRPr="00B762A3" w:rsidRDefault="00B762A3" w:rsidP="00B762A3">
            <w:pPr>
              <w:rPr>
                <w:rFonts w:ascii="Arial Narrow" w:hAnsi="Arial Narrow" w:cstheme="majorHAnsi"/>
              </w:rPr>
            </w:pPr>
          </w:p>
        </w:tc>
        <w:tc>
          <w:tcPr>
            <w:tcW w:w="0" w:type="auto"/>
          </w:tcPr>
          <w:p w14:paraId="7EAA8525" w14:textId="33DB3139" w:rsidR="00B762A3" w:rsidRPr="00B762A3" w:rsidRDefault="00B762A3" w:rsidP="00B762A3">
            <w:pPr>
              <w:rPr>
                <w:rFonts w:ascii="Arial Narrow" w:hAnsi="Arial Narrow" w:cstheme="majorHAnsi"/>
              </w:rPr>
            </w:pPr>
          </w:p>
        </w:tc>
        <w:tc>
          <w:tcPr>
            <w:tcW w:w="0" w:type="auto"/>
            <w:vAlign w:val="center"/>
            <w:hideMark/>
          </w:tcPr>
          <w:p w14:paraId="776D6999" w14:textId="1BB15F87" w:rsidR="00B762A3" w:rsidRPr="00B762A3" w:rsidRDefault="00B762A3" w:rsidP="00B762A3">
            <w:pPr>
              <w:rPr>
                <w:rFonts w:ascii="Arial Narrow" w:hAnsi="Arial Narrow" w:cstheme="majorHAnsi"/>
              </w:rPr>
            </w:pPr>
            <w:r w:rsidRPr="00B762A3">
              <w:rPr>
                <w:rFonts w:ascii="Arial Narrow" w:hAnsi="Arial Narrow" w:cstheme="majorHAnsi"/>
              </w:rPr>
              <w:t>15.804</w:t>
            </w:r>
          </w:p>
        </w:tc>
        <w:tc>
          <w:tcPr>
            <w:tcW w:w="0" w:type="auto"/>
          </w:tcPr>
          <w:p w14:paraId="5F8A3932" w14:textId="77777777" w:rsidR="00B762A3" w:rsidRPr="00B762A3" w:rsidRDefault="00B762A3" w:rsidP="00B762A3">
            <w:pPr>
              <w:rPr>
                <w:rFonts w:ascii="Arial Narrow" w:hAnsi="Arial Narrow" w:cstheme="majorHAnsi"/>
              </w:rPr>
            </w:pPr>
          </w:p>
        </w:tc>
        <w:tc>
          <w:tcPr>
            <w:tcW w:w="0" w:type="auto"/>
            <w:vAlign w:val="center"/>
            <w:hideMark/>
          </w:tcPr>
          <w:p w14:paraId="3B79133C" w14:textId="344BEB2F" w:rsidR="00B762A3" w:rsidRPr="00B762A3" w:rsidRDefault="00B762A3" w:rsidP="00B762A3">
            <w:pPr>
              <w:rPr>
                <w:rFonts w:ascii="Arial Narrow" w:hAnsi="Arial Narrow" w:cstheme="majorHAnsi"/>
              </w:rPr>
            </w:pPr>
            <w:r w:rsidRPr="00B762A3">
              <w:rPr>
                <w:rFonts w:ascii="Arial Narrow" w:hAnsi="Arial Narrow" w:cstheme="majorHAnsi"/>
              </w:rPr>
              <w:t>&lt; .001</w:t>
            </w:r>
          </w:p>
        </w:tc>
      </w:tr>
      <w:tr w:rsidR="00B762A3" w:rsidRPr="00B762A3" w14:paraId="5C3046AE" w14:textId="77777777" w:rsidTr="00CF612A">
        <w:trPr>
          <w:tblCellSpacing w:w="15" w:type="dxa"/>
        </w:trPr>
        <w:tc>
          <w:tcPr>
            <w:tcW w:w="0" w:type="auto"/>
            <w:vAlign w:val="center"/>
            <w:hideMark/>
          </w:tcPr>
          <w:p w14:paraId="71630CE7" w14:textId="77777777" w:rsidR="00B762A3" w:rsidRPr="00B762A3" w:rsidRDefault="00B762A3" w:rsidP="00B762A3">
            <w:pPr>
              <w:rPr>
                <w:rFonts w:ascii="Arial Narrow" w:hAnsi="Arial Narrow" w:cstheme="majorHAnsi"/>
              </w:rPr>
            </w:pPr>
            <w:r w:rsidRPr="00B762A3">
              <w:rPr>
                <w:rFonts w:ascii="Arial Narrow" w:hAnsi="Arial Narrow" w:cstheme="majorHAnsi"/>
              </w:rPr>
              <w:t>M2 Growth</w:t>
            </w:r>
          </w:p>
        </w:tc>
        <w:tc>
          <w:tcPr>
            <w:tcW w:w="0" w:type="auto"/>
          </w:tcPr>
          <w:p w14:paraId="546102EB" w14:textId="77777777" w:rsidR="00B762A3" w:rsidRPr="00B762A3" w:rsidRDefault="00B762A3" w:rsidP="00B762A3">
            <w:pPr>
              <w:rPr>
                <w:rFonts w:ascii="Arial Narrow" w:hAnsi="Arial Narrow" w:cstheme="majorHAnsi"/>
              </w:rPr>
            </w:pPr>
          </w:p>
        </w:tc>
        <w:tc>
          <w:tcPr>
            <w:tcW w:w="0" w:type="auto"/>
            <w:vAlign w:val="center"/>
            <w:hideMark/>
          </w:tcPr>
          <w:p w14:paraId="7FF2ECA1" w14:textId="6E9139BD" w:rsidR="00B762A3" w:rsidRPr="00B762A3" w:rsidRDefault="00B762A3" w:rsidP="00B762A3">
            <w:pPr>
              <w:rPr>
                <w:rFonts w:ascii="Arial Narrow" w:hAnsi="Arial Narrow" w:cstheme="majorHAnsi"/>
              </w:rPr>
            </w:pPr>
            <w:r w:rsidRPr="00B762A3">
              <w:rPr>
                <w:rFonts w:ascii="Arial Narrow" w:hAnsi="Arial Narrow" w:cstheme="majorHAnsi"/>
              </w:rPr>
              <w:t>-0.0524</w:t>
            </w:r>
          </w:p>
        </w:tc>
        <w:tc>
          <w:tcPr>
            <w:tcW w:w="0" w:type="auto"/>
          </w:tcPr>
          <w:p w14:paraId="1C7CAE3E" w14:textId="77777777" w:rsidR="00B762A3" w:rsidRPr="00B762A3" w:rsidRDefault="00B762A3" w:rsidP="00B762A3">
            <w:pPr>
              <w:rPr>
                <w:rFonts w:ascii="Arial Narrow" w:hAnsi="Arial Narrow" w:cstheme="majorHAnsi"/>
              </w:rPr>
            </w:pPr>
          </w:p>
        </w:tc>
        <w:tc>
          <w:tcPr>
            <w:tcW w:w="0" w:type="auto"/>
            <w:vAlign w:val="center"/>
            <w:hideMark/>
          </w:tcPr>
          <w:p w14:paraId="256CE04A" w14:textId="4CD4D859" w:rsidR="00B762A3" w:rsidRPr="00B762A3" w:rsidRDefault="00B762A3" w:rsidP="00B762A3">
            <w:pPr>
              <w:rPr>
                <w:rFonts w:ascii="Arial Narrow" w:hAnsi="Arial Narrow" w:cstheme="majorHAnsi"/>
              </w:rPr>
            </w:pPr>
            <w:r w:rsidRPr="00B762A3">
              <w:rPr>
                <w:rFonts w:ascii="Arial Narrow" w:hAnsi="Arial Narrow" w:cstheme="majorHAnsi"/>
              </w:rPr>
              <w:t>0.0217</w:t>
            </w:r>
          </w:p>
        </w:tc>
        <w:tc>
          <w:tcPr>
            <w:tcW w:w="0" w:type="auto"/>
          </w:tcPr>
          <w:p w14:paraId="0337B194" w14:textId="77777777" w:rsidR="00B762A3" w:rsidRPr="00B762A3" w:rsidRDefault="00B762A3" w:rsidP="00B762A3">
            <w:pPr>
              <w:rPr>
                <w:rFonts w:ascii="Arial Narrow" w:hAnsi="Arial Narrow" w:cstheme="majorHAnsi"/>
              </w:rPr>
            </w:pPr>
          </w:p>
        </w:tc>
        <w:tc>
          <w:tcPr>
            <w:tcW w:w="0" w:type="auto"/>
          </w:tcPr>
          <w:p w14:paraId="46C23EA7" w14:textId="369B69D4" w:rsidR="00B762A3" w:rsidRPr="00B762A3" w:rsidRDefault="00B762A3" w:rsidP="00B762A3">
            <w:pPr>
              <w:rPr>
                <w:rFonts w:ascii="Arial Narrow" w:hAnsi="Arial Narrow" w:cstheme="majorHAnsi"/>
              </w:rPr>
            </w:pPr>
          </w:p>
        </w:tc>
        <w:tc>
          <w:tcPr>
            <w:tcW w:w="0" w:type="auto"/>
            <w:vAlign w:val="center"/>
            <w:hideMark/>
          </w:tcPr>
          <w:p w14:paraId="5CE53DD7" w14:textId="6EC2EB1A" w:rsidR="00B762A3" w:rsidRPr="00B762A3" w:rsidRDefault="00B762A3" w:rsidP="00B762A3">
            <w:pPr>
              <w:rPr>
                <w:rFonts w:ascii="Arial Narrow" w:hAnsi="Arial Narrow" w:cstheme="majorHAnsi"/>
              </w:rPr>
            </w:pPr>
            <w:r w:rsidRPr="00B762A3">
              <w:rPr>
                <w:rFonts w:ascii="Arial Narrow" w:hAnsi="Arial Narrow" w:cstheme="majorHAnsi"/>
              </w:rPr>
              <w:t>-2.411</w:t>
            </w:r>
          </w:p>
        </w:tc>
        <w:tc>
          <w:tcPr>
            <w:tcW w:w="0" w:type="auto"/>
          </w:tcPr>
          <w:p w14:paraId="11C87B3D" w14:textId="77777777" w:rsidR="00B762A3" w:rsidRPr="00B762A3" w:rsidRDefault="00B762A3" w:rsidP="00B762A3">
            <w:pPr>
              <w:rPr>
                <w:rFonts w:ascii="Arial Narrow" w:hAnsi="Arial Narrow" w:cstheme="majorHAnsi"/>
              </w:rPr>
            </w:pPr>
          </w:p>
        </w:tc>
        <w:tc>
          <w:tcPr>
            <w:tcW w:w="0" w:type="auto"/>
            <w:vAlign w:val="center"/>
            <w:hideMark/>
          </w:tcPr>
          <w:p w14:paraId="61823B78" w14:textId="54C12C2C" w:rsidR="00B762A3" w:rsidRPr="00B762A3" w:rsidRDefault="00B762A3" w:rsidP="00B762A3">
            <w:pPr>
              <w:rPr>
                <w:rFonts w:ascii="Arial Narrow" w:hAnsi="Arial Narrow" w:cstheme="majorHAnsi"/>
              </w:rPr>
            </w:pPr>
            <w:r w:rsidRPr="00B762A3">
              <w:rPr>
                <w:rFonts w:ascii="Arial Narrow" w:hAnsi="Arial Narrow" w:cstheme="majorHAnsi"/>
              </w:rPr>
              <w:t>.016</w:t>
            </w:r>
          </w:p>
        </w:tc>
      </w:tr>
    </w:tbl>
    <w:p w14:paraId="05DEC2BD" w14:textId="77777777" w:rsidR="00B762A3" w:rsidRDefault="00B762A3" w:rsidP="0056225B">
      <w:pPr>
        <w:rPr>
          <w:rFonts w:ascii="Arial Narrow" w:hAnsi="Arial Narrow" w:cstheme="majorHAnsi"/>
        </w:rPr>
      </w:pPr>
    </w:p>
    <w:p w14:paraId="7990757A" w14:textId="1592E5C8" w:rsidR="00B762A3" w:rsidRDefault="00B762A3" w:rsidP="0056225B">
      <w:pPr>
        <w:rPr>
          <w:rFonts w:ascii="Arial Narrow" w:hAnsi="Arial Narrow" w:cstheme="majorHAnsi"/>
          <w:b/>
          <w:bCs/>
        </w:rPr>
      </w:pPr>
      <w:r w:rsidRPr="00B762A3">
        <w:rPr>
          <w:rFonts w:ascii="Arial Narrow" w:hAnsi="Arial Narrow" w:cstheme="majorHAnsi"/>
          <w:b/>
          <w:bCs/>
        </w:rPr>
        <w:t xml:space="preserve">Diagnostic Tests </w:t>
      </w:r>
    </w:p>
    <w:p w14:paraId="43BDD0C4" w14:textId="77777777" w:rsidR="00A650C6" w:rsidRPr="00A650C6" w:rsidRDefault="00A650C6" w:rsidP="00A650C6">
      <w:pPr>
        <w:rPr>
          <w:rFonts w:ascii="Arial Narrow" w:hAnsi="Arial Narrow" w:cstheme="majorHAnsi"/>
        </w:rPr>
      </w:pPr>
      <w:r w:rsidRPr="00A650C6">
        <w:rPr>
          <w:rFonts w:ascii="Arial Narrow" w:hAnsi="Arial Narrow" w:cstheme="majorHAnsi"/>
        </w:rPr>
        <w:t>Diagnostic tests were performed to check for model misspecification, heteroskedasticity, autocorrelation, multicollinearity, influential observations, and residual normality in the regression model.</w:t>
      </w:r>
    </w:p>
    <w:p w14:paraId="3E349689" w14:textId="461DD928" w:rsidR="00A650C6" w:rsidRPr="00A650C6" w:rsidRDefault="00A650C6" w:rsidP="00A650C6">
      <w:pPr>
        <w:rPr>
          <w:rFonts w:ascii="Arial Narrow" w:hAnsi="Arial Narrow" w:cstheme="majorHAnsi"/>
        </w:rPr>
      </w:pPr>
      <w:r w:rsidRPr="00A650C6">
        <w:rPr>
          <w:rFonts w:ascii="Arial Narrow" w:hAnsi="Arial Narrow" w:cstheme="majorHAnsi"/>
        </w:rPr>
        <w:t xml:space="preserve">The RESET test revealed evidence of possible model misspecification </w:t>
      </w:r>
      <w:r w:rsidRPr="00A650C6">
        <w:rPr>
          <w:rFonts w:ascii="Arial Narrow" w:hAnsi="Arial Narrow" w:cstheme="majorHAnsi"/>
          <w:u w:val="single"/>
        </w:rPr>
        <w:t>(p = .0013).</w:t>
      </w:r>
      <w:r w:rsidRPr="00A650C6">
        <w:rPr>
          <w:rFonts w:ascii="Arial Narrow" w:hAnsi="Arial Narrow" w:cstheme="majorHAnsi"/>
        </w:rPr>
        <w:t xml:space="preserve"> The results of the heteroskedasticity tests were conflicting: while the Breusch–Pagan test did not find significant evidence of heteroskedasticity </w:t>
      </w:r>
      <w:r w:rsidRPr="00A650C6">
        <w:rPr>
          <w:rFonts w:ascii="Arial Narrow" w:hAnsi="Arial Narrow" w:cstheme="majorHAnsi"/>
          <w:u w:val="single"/>
        </w:rPr>
        <w:t>(p = .131),</w:t>
      </w:r>
      <w:r w:rsidRPr="00A650C6">
        <w:rPr>
          <w:rFonts w:ascii="Arial Narrow" w:hAnsi="Arial Narrow" w:cstheme="majorHAnsi"/>
        </w:rPr>
        <w:t xml:space="preserve"> the White test did </w:t>
      </w:r>
      <w:r w:rsidRPr="00A650C6">
        <w:rPr>
          <w:rFonts w:ascii="Arial Narrow" w:hAnsi="Arial Narrow" w:cstheme="majorHAnsi"/>
          <w:u w:val="single"/>
        </w:rPr>
        <w:t>(p = .042).</w:t>
      </w:r>
    </w:p>
    <w:p w14:paraId="7BAA1842" w14:textId="0566D93E" w:rsidR="00A650C6" w:rsidRPr="00A650C6" w:rsidRDefault="00A650C6" w:rsidP="00A650C6">
      <w:pPr>
        <w:rPr>
          <w:rFonts w:ascii="Arial Narrow" w:hAnsi="Arial Narrow" w:cstheme="majorHAnsi"/>
        </w:rPr>
      </w:pPr>
      <w:r w:rsidRPr="00A650C6">
        <w:rPr>
          <w:rFonts w:ascii="Arial Narrow" w:hAnsi="Arial Narrow" w:cstheme="majorHAnsi"/>
        </w:rPr>
        <w:t xml:space="preserve">There was strong evidence of autocorrelation in the model according to both the Durbin–Watson and Breusch–Godfrey tests. The latter test was statistically significant </w:t>
      </w:r>
      <w:r w:rsidRPr="00A650C6">
        <w:rPr>
          <w:rFonts w:ascii="Arial Narrow" w:hAnsi="Arial Narrow" w:cstheme="majorHAnsi"/>
          <w:u w:val="single"/>
        </w:rPr>
        <w:t>(p &lt; .001</w:t>
      </w:r>
      <w:r w:rsidRPr="00A650C6">
        <w:rPr>
          <w:rFonts w:ascii="Arial Narrow" w:hAnsi="Arial Narrow" w:cstheme="majorHAnsi"/>
        </w:rPr>
        <w:t>), implying that the regression model has serial correlation in its residuals.</w:t>
      </w:r>
    </w:p>
    <w:p w14:paraId="6C75F9E7" w14:textId="47AB0492" w:rsidR="00A650C6" w:rsidRPr="00A650C6" w:rsidRDefault="00A650C6" w:rsidP="00A650C6">
      <w:pPr>
        <w:rPr>
          <w:rFonts w:ascii="Arial Narrow" w:hAnsi="Arial Narrow" w:cstheme="majorHAnsi"/>
        </w:rPr>
      </w:pPr>
      <w:r w:rsidRPr="00A650C6">
        <w:rPr>
          <w:rFonts w:ascii="Arial Narrow" w:hAnsi="Arial Narrow" w:cstheme="majorHAnsi"/>
        </w:rPr>
        <w:t xml:space="preserve">The VIF values for all independent variables were close to 1, indicating that there was no problematic multicollinearity in the model. The maximum value of Cook’s distance was approximately </w:t>
      </w:r>
      <w:r w:rsidRPr="00A650C6">
        <w:rPr>
          <w:rFonts w:ascii="Arial Narrow" w:hAnsi="Arial Narrow" w:cstheme="majorHAnsi"/>
          <w:u w:val="single"/>
        </w:rPr>
        <w:t>0.357</w:t>
      </w:r>
      <w:r w:rsidRPr="00A650C6">
        <w:rPr>
          <w:rFonts w:ascii="Arial Narrow" w:hAnsi="Arial Narrow" w:cstheme="majorHAnsi"/>
        </w:rPr>
        <w:t xml:space="preserve">, which means that no observation was extremely influential, but several observations had relatively </w:t>
      </w:r>
      <w:r>
        <w:rPr>
          <w:rFonts w:ascii="Arial Narrow" w:hAnsi="Arial Narrow" w:cstheme="majorHAnsi"/>
        </w:rPr>
        <w:t>strong</w:t>
      </w:r>
      <w:r w:rsidRPr="00A650C6">
        <w:rPr>
          <w:rFonts w:ascii="Arial Narrow" w:hAnsi="Arial Narrow" w:cstheme="majorHAnsi"/>
        </w:rPr>
        <w:t xml:space="preserve"> influence, according to the threshold of 1. The maximum leverage value was </w:t>
      </w:r>
      <w:r w:rsidRPr="00A650C6">
        <w:rPr>
          <w:rFonts w:ascii="Arial Narrow" w:hAnsi="Arial Narrow" w:cstheme="majorHAnsi"/>
          <w:u w:val="single"/>
        </w:rPr>
        <w:t>0.204</w:t>
      </w:r>
      <w:r w:rsidRPr="00A650C6">
        <w:rPr>
          <w:rFonts w:ascii="Arial Narrow" w:hAnsi="Arial Narrow" w:cstheme="majorHAnsi"/>
        </w:rPr>
        <w:t>, suggesting that there is at least one high-leverage observation.</w:t>
      </w:r>
    </w:p>
    <w:p w14:paraId="0FB499AE" w14:textId="384F6794" w:rsidR="00B762A3" w:rsidRDefault="00A650C6" w:rsidP="00A650C6">
      <w:pPr>
        <w:rPr>
          <w:rFonts w:ascii="Arial Narrow" w:hAnsi="Arial Narrow" w:cstheme="majorHAnsi"/>
          <w:u w:val="single"/>
        </w:rPr>
      </w:pPr>
      <w:r w:rsidRPr="00A650C6">
        <w:rPr>
          <w:rFonts w:ascii="Arial Narrow" w:hAnsi="Arial Narrow" w:cstheme="majorHAnsi"/>
        </w:rPr>
        <w:t xml:space="preserve">Finally, the Jarque–Bera test showed that the residuals are not normally distributed </w:t>
      </w:r>
      <w:r w:rsidRPr="00A650C6">
        <w:rPr>
          <w:rFonts w:ascii="Arial Narrow" w:hAnsi="Arial Narrow" w:cstheme="majorHAnsi"/>
          <w:u w:val="single"/>
        </w:rPr>
        <w:t>(p &lt; .001).</w:t>
      </w:r>
    </w:p>
    <w:p w14:paraId="63CAB13B" w14:textId="77777777" w:rsidR="00A650C6" w:rsidRPr="00A650C6" w:rsidRDefault="00A650C6" w:rsidP="00A650C6">
      <w:pPr>
        <w:rPr>
          <w:rFonts w:ascii="Arial Narrow" w:hAnsi="Arial Narrow" w:cstheme="majorHAnsi"/>
          <w:b/>
          <w:bCs/>
        </w:rPr>
      </w:pPr>
      <w:r w:rsidRPr="00A650C6">
        <w:rPr>
          <w:rFonts w:ascii="Arial Narrow" w:hAnsi="Arial Narrow" w:cstheme="majorHAnsi"/>
          <w:b/>
          <w:bCs/>
        </w:rPr>
        <w:t>Newey–West Robust Results</w:t>
      </w:r>
    </w:p>
    <w:p w14:paraId="3AC27610" w14:textId="0A048A23" w:rsidR="00A650C6" w:rsidRPr="00A650C6" w:rsidRDefault="00A650C6" w:rsidP="00A650C6">
      <w:pPr>
        <w:rPr>
          <w:rFonts w:ascii="Arial Narrow" w:hAnsi="Arial Narrow" w:cstheme="majorHAnsi"/>
        </w:rPr>
      </w:pPr>
      <w:r w:rsidRPr="00A650C6">
        <w:rPr>
          <w:rFonts w:ascii="Arial Narrow" w:hAnsi="Arial Narrow" w:cstheme="majorHAnsi"/>
        </w:rPr>
        <w:t xml:space="preserve">Since diagnostic tests revealed the presence of significant autocorrelation and inconclusive evidence </w:t>
      </w:r>
      <w:r>
        <w:rPr>
          <w:rFonts w:ascii="Arial Narrow" w:hAnsi="Arial Narrow" w:cstheme="majorHAnsi"/>
        </w:rPr>
        <w:t>of</w:t>
      </w:r>
      <w:r w:rsidRPr="00A650C6">
        <w:rPr>
          <w:rFonts w:ascii="Arial Narrow" w:hAnsi="Arial Narrow" w:cstheme="majorHAnsi"/>
        </w:rPr>
        <w:t xml:space="preserve"> heteroskedasticity, Newey-West heteroskedasticity and autocorrelation consistent (HAC) standard errors were used to obtain robust statistical inference.</w:t>
      </w:r>
    </w:p>
    <w:p w14:paraId="6C471DD5" w14:textId="08CE080D" w:rsidR="00A650C6" w:rsidRPr="00A650C6" w:rsidRDefault="00A650C6" w:rsidP="00A650C6">
      <w:pPr>
        <w:rPr>
          <w:rFonts w:ascii="Arial Narrow" w:hAnsi="Arial Narrow" w:cstheme="majorHAnsi"/>
        </w:rPr>
      </w:pPr>
      <w:r w:rsidRPr="00A650C6">
        <w:rPr>
          <w:rFonts w:ascii="Arial Narrow" w:hAnsi="Arial Narrow" w:cstheme="majorHAnsi"/>
        </w:rPr>
        <w:t xml:space="preserve">The results revealed that the Federal Funds Rate was positively and statistically significantly associated with inflation </w:t>
      </w:r>
      <w:r w:rsidRPr="00A650C6">
        <w:rPr>
          <w:rFonts w:ascii="Arial Narrow" w:hAnsi="Arial Narrow" w:cstheme="majorHAnsi"/>
          <w:u w:val="single"/>
        </w:rPr>
        <w:t>(b = 0.042, p &lt; .001)</w:t>
      </w:r>
      <w:r w:rsidRPr="00A650C6">
        <w:rPr>
          <w:rFonts w:ascii="Arial Narrow" w:hAnsi="Arial Narrow" w:cstheme="majorHAnsi"/>
        </w:rPr>
        <w:t xml:space="preserve">. On the other hand, M2 growth, which was statistically significant under the conventional OLS results, was no longer statistically significant when Newey-West standard errors were applied </w:t>
      </w:r>
      <w:r w:rsidRPr="00A650C6">
        <w:rPr>
          <w:rFonts w:ascii="Arial Narrow" w:hAnsi="Arial Narrow" w:cstheme="majorHAnsi"/>
          <w:u w:val="single"/>
        </w:rPr>
        <w:t>(p = 0.145</w:t>
      </w:r>
      <w:r w:rsidRPr="00A650C6">
        <w:rPr>
          <w:rFonts w:ascii="Arial Narrow" w:hAnsi="Arial Narrow" w:cstheme="majorHAnsi"/>
        </w:rPr>
        <w:t>).</w:t>
      </w:r>
      <w:r>
        <w:rPr>
          <w:rFonts w:ascii="Arial Narrow" w:hAnsi="Arial Narrow" w:cstheme="majorHAnsi"/>
        </w:rPr>
        <w:t xml:space="preserve"> </w:t>
      </w:r>
      <w:r w:rsidRPr="00A650C6">
        <w:rPr>
          <w:rFonts w:ascii="Arial Narrow" w:hAnsi="Arial Narrow" w:cstheme="majorHAnsi"/>
        </w:rPr>
        <w:t xml:space="preserve">The unemployment rate also turned out to be statistically insignificant </w:t>
      </w:r>
      <w:r w:rsidRPr="00A650C6">
        <w:rPr>
          <w:rFonts w:ascii="Arial Narrow" w:hAnsi="Arial Narrow" w:cstheme="majorHAnsi"/>
          <w:u w:val="single"/>
        </w:rPr>
        <w:t>(p = 0.889).</w:t>
      </w:r>
    </w:p>
    <w:p w14:paraId="563C6DA5" w14:textId="4C059057" w:rsidR="00A650C6" w:rsidRDefault="00A650C6" w:rsidP="00A650C6">
      <w:pPr>
        <w:rPr>
          <w:rFonts w:ascii="Arial Narrow" w:hAnsi="Arial Narrow" w:cstheme="majorHAnsi"/>
        </w:rPr>
      </w:pPr>
      <w:r w:rsidRPr="00A650C6">
        <w:rPr>
          <w:rFonts w:ascii="Arial Narrow" w:hAnsi="Arial Narrow" w:cstheme="majorHAnsi"/>
        </w:rPr>
        <w:t>Overall, the Newey-West results suggest that the Federal Funds Rate is the only independent variable that remained statistically significant after adjusting the standard errors for the presence of autocorrelation and heteroskedasticity in the regression errors.</w:t>
      </w:r>
    </w:p>
    <w:p w14:paraId="1D4741AC" w14:textId="7AC5BC35" w:rsidR="006D2B45" w:rsidRDefault="006D2B45" w:rsidP="00A650C6">
      <w:pPr>
        <w:rPr>
          <w:rFonts w:ascii="Arial Narrow" w:hAnsi="Arial Narrow" w:cstheme="majorHAnsi"/>
          <w:b/>
          <w:bCs/>
        </w:rPr>
      </w:pPr>
      <w:r w:rsidRPr="006D2B45">
        <w:rPr>
          <w:rFonts w:ascii="Arial Narrow" w:hAnsi="Arial Narrow" w:cstheme="majorHAnsi"/>
          <w:b/>
          <w:bCs/>
        </w:rPr>
        <w:lastRenderedPageBreak/>
        <w:t>Conclusion</w:t>
      </w:r>
    </w:p>
    <w:p w14:paraId="161F12E9" w14:textId="5ED65187" w:rsidR="006D2B45" w:rsidRPr="006D2B45" w:rsidRDefault="006D2B45" w:rsidP="006D2B45">
      <w:pPr>
        <w:rPr>
          <w:rFonts w:ascii="Arial Narrow" w:hAnsi="Arial Narrow" w:cstheme="majorHAnsi"/>
        </w:rPr>
      </w:pPr>
      <w:r w:rsidRPr="006D2B45">
        <w:rPr>
          <w:rFonts w:ascii="Arial Narrow" w:hAnsi="Arial Narrow" w:cstheme="majorHAnsi"/>
        </w:rPr>
        <w:t xml:space="preserve">This study aimed to </w:t>
      </w:r>
      <w:r>
        <w:rPr>
          <w:rFonts w:ascii="Arial Narrow" w:hAnsi="Arial Narrow" w:cstheme="majorHAnsi"/>
        </w:rPr>
        <w:t>analyse</w:t>
      </w:r>
      <w:r w:rsidRPr="006D2B45">
        <w:rPr>
          <w:rFonts w:ascii="Arial Narrow" w:hAnsi="Arial Narrow" w:cstheme="majorHAnsi"/>
        </w:rPr>
        <w:t xml:space="preserve"> the relationship between inflation and several macroeconomic variables in the U.S., including the unemployment rate, Federal Funds Rate, and M2 money supply growth.</w:t>
      </w:r>
    </w:p>
    <w:p w14:paraId="4D48FB62" w14:textId="367559CF" w:rsidR="006D2B45" w:rsidRPr="006D2B45" w:rsidRDefault="006D2B45" w:rsidP="006D2B45">
      <w:pPr>
        <w:rPr>
          <w:rFonts w:ascii="Arial Narrow" w:hAnsi="Arial Narrow" w:cstheme="majorHAnsi"/>
        </w:rPr>
      </w:pPr>
      <w:r w:rsidRPr="006D2B45">
        <w:rPr>
          <w:rFonts w:ascii="Arial Narrow" w:hAnsi="Arial Narrow" w:cstheme="majorHAnsi"/>
        </w:rPr>
        <w:t>The initial OLS regression revealed that only the Federal Funds Rate and M2 money supply growth were statistically significant predictors of inflation, while the unemployment rate was not. However, the diagnostic tests revealed that the model had issues with autocorrelation, heteroskedasticity,</w:t>
      </w:r>
      <w:r w:rsidR="00964085">
        <w:rPr>
          <w:rFonts w:ascii="Arial Narrow" w:hAnsi="Arial Narrow" w:cstheme="majorHAnsi"/>
        </w:rPr>
        <w:t xml:space="preserve"> </w:t>
      </w:r>
      <w:r w:rsidRPr="006D2B45">
        <w:rPr>
          <w:rFonts w:ascii="Arial Narrow" w:hAnsi="Arial Narrow" w:cstheme="majorHAnsi"/>
        </w:rPr>
        <w:t>possible model misspecification, and non-normality of residuals.</w:t>
      </w:r>
    </w:p>
    <w:p w14:paraId="5F6F7474" w14:textId="1EC7FC3E" w:rsidR="006D2B45" w:rsidRPr="006D2B45" w:rsidRDefault="006D2B45" w:rsidP="006D2B45">
      <w:pPr>
        <w:rPr>
          <w:rFonts w:ascii="Arial Narrow" w:hAnsi="Arial Narrow" w:cstheme="majorHAnsi"/>
        </w:rPr>
      </w:pPr>
      <w:r w:rsidRPr="006D2B45">
        <w:rPr>
          <w:rFonts w:ascii="Arial Narrow" w:hAnsi="Arial Narrow" w:cstheme="majorHAnsi"/>
        </w:rPr>
        <w:t>After using the Newey</w:t>
      </w:r>
      <w:r>
        <w:rPr>
          <w:rFonts w:ascii="Arial Narrow" w:hAnsi="Arial Narrow" w:cstheme="majorHAnsi"/>
        </w:rPr>
        <w:t>-</w:t>
      </w:r>
      <w:r w:rsidRPr="006D2B45">
        <w:rPr>
          <w:rFonts w:ascii="Arial Narrow" w:hAnsi="Arial Narrow" w:cstheme="majorHAnsi"/>
        </w:rPr>
        <w:t>West HAC robust standard errors, the model revealed that only the Federal Funds Rate was statistically significant in predicting inflation, while M2 money supply growth became insignificant, and the unemployment rate remained statistically insignificant.</w:t>
      </w:r>
    </w:p>
    <w:p w14:paraId="2FA9C490" w14:textId="463A5D9C" w:rsidR="006D2B45" w:rsidRPr="006D2B45" w:rsidRDefault="006D2B45" w:rsidP="006D2B45">
      <w:pPr>
        <w:rPr>
          <w:rFonts w:ascii="Arial Narrow" w:hAnsi="Arial Narrow" w:cstheme="majorHAnsi"/>
        </w:rPr>
      </w:pPr>
      <w:r w:rsidRPr="006D2B45">
        <w:rPr>
          <w:rFonts w:ascii="Arial Narrow" w:hAnsi="Arial Narrow" w:cstheme="majorHAnsi"/>
        </w:rPr>
        <w:t xml:space="preserve">Overall, the analysis revealed that the Federal Funds Rate was the most statistically significant predictor of inflation in the OLS model. However, the diagnostic tests revealed that the model had issues, and further research is needed to identify the best approach to </w:t>
      </w:r>
      <w:r>
        <w:rPr>
          <w:rFonts w:ascii="Arial Narrow" w:hAnsi="Arial Narrow" w:cstheme="majorHAnsi"/>
        </w:rPr>
        <w:t>analysing</w:t>
      </w:r>
      <w:r w:rsidRPr="006D2B45">
        <w:rPr>
          <w:rFonts w:ascii="Arial Narrow" w:hAnsi="Arial Narrow" w:cstheme="majorHAnsi"/>
        </w:rPr>
        <w:t xml:space="preserve"> inflation and its determining factors. It would be interesting to see how the inclusion of additional variables, different model specifications, or time-series </w:t>
      </w:r>
      <w:r>
        <w:rPr>
          <w:rFonts w:ascii="Arial Narrow" w:hAnsi="Arial Narrow" w:cstheme="majorHAnsi"/>
        </w:rPr>
        <w:t>modelling</w:t>
      </w:r>
      <w:r w:rsidRPr="006D2B45">
        <w:rPr>
          <w:rFonts w:ascii="Arial Narrow" w:hAnsi="Arial Narrow" w:cstheme="majorHAnsi"/>
        </w:rPr>
        <w:t xml:space="preserve"> techniques could impact the results and provide more reliable insights into the drivers of inflation.</w:t>
      </w:r>
    </w:p>
    <w:sectPr w:rsidR="006D2B45" w:rsidRPr="006D2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5B"/>
    <w:rsid w:val="00046792"/>
    <w:rsid w:val="003774DA"/>
    <w:rsid w:val="00430C4A"/>
    <w:rsid w:val="004C483E"/>
    <w:rsid w:val="0056225B"/>
    <w:rsid w:val="006D2B45"/>
    <w:rsid w:val="00914709"/>
    <w:rsid w:val="0092515A"/>
    <w:rsid w:val="00964085"/>
    <w:rsid w:val="00967ED2"/>
    <w:rsid w:val="00A650C6"/>
    <w:rsid w:val="00B762A3"/>
    <w:rsid w:val="00D419DF"/>
    <w:rsid w:val="00EC3B9D"/>
    <w:rsid w:val="00F10D01"/>
    <w:rsid w:val="00FC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663F"/>
  <w15:chartTrackingRefBased/>
  <w15:docId w15:val="{374F5FCB-BA02-434F-B0FE-323FB62F2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25B"/>
    <w:rPr>
      <w:rFonts w:eastAsiaTheme="majorEastAsia" w:cstheme="majorBidi"/>
      <w:color w:val="272727" w:themeColor="text1" w:themeTint="D8"/>
    </w:rPr>
  </w:style>
  <w:style w:type="paragraph" w:styleId="Title">
    <w:name w:val="Title"/>
    <w:basedOn w:val="Normal"/>
    <w:next w:val="Normal"/>
    <w:link w:val="TitleChar"/>
    <w:uiPriority w:val="10"/>
    <w:qFormat/>
    <w:rsid w:val="00562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25B"/>
    <w:pPr>
      <w:spacing w:before="160"/>
      <w:jc w:val="center"/>
    </w:pPr>
    <w:rPr>
      <w:i/>
      <w:iCs/>
      <w:color w:val="404040" w:themeColor="text1" w:themeTint="BF"/>
    </w:rPr>
  </w:style>
  <w:style w:type="character" w:customStyle="1" w:styleId="QuoteChar">
    <w:name w:val="Quote Char"/>
    <w:basedOn w:val="DefaultParagraphFont"/>
    <w:link w:val="Quote"/>
    <w:uiPriority w:val="29"/>
    <w:rsid w:val="0056225B"/>
    <w:rPr>
      <w:i/>
      <w:iCs/>
      <w:color w:val="404040" w:themeColor="text1" w:themeTint="BF"/>
    </w:rPr>
  </w:style>
  <w:style w:type="paragraph" w:styleId="ListParagraph">
    <w:name w:val="List Paragraph"/>
    <w:basedOn w:val="Normal"/>
    <w:uiPriority w:val="34"/>
    <w:qFormat/>
    <w:rsid w:val="0056225B"/>
    <w:pPr>
      <w:ind w:left="720"/>
      <w:contextualSpacing/>
    </w:pPr>
  </w:style>
  <w:style w:type="character" w:styleId="IntenseEmphasis">
    <w:name w:val="Intense Emphasis"/>
    <w:basedOn w:val="DefaultParagraphFont"/>
    <w:uiPriority w:val="21"/>
    <w:qFormat/>
    <w:rsid w:val="0056225B"/>
    <w:rPr>
      <w:i/>
      <w:iCs/>
      <w:color w:val="2F5496" w:themeColor="accent1" w:themeShade="BF"/>
    </w:rPr>
  </w:style>
  <w:style w:type="paragraph" w:styleId="IntenseQuote">
    <w:name w:val="Intense Quote"/>
    <w:basedOn w:val="Normal"/>
    <w:next w:val="Normal"/>
    <w:link w:val="IntenseQuoteChar"/>
    <w:uiPriority w:val="30"/>
    <w:qFormat/>
    <w:rsid w:val="00562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25B"/>
    <w:rPr>
      <w:i/>
      <w:iCs/>
      <w:color w:val="2F5496" w:themeColor="accent1" w:themeShade="BF"/>
    </w:rPr>
  </w:style>
  <w:style w:type="character" w:styleId="IntenseReference">
    <w:name w:val="Intense Reference"/>
    <w:basedOn w:val="DefaultParagraphFont"/>
    <w:uiPriority w:val="32"/>
    <w:qFormat/>
    <w:rsid w:val="005622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Nafia Siddiqui</dc:creator>
  <cp:keywords/>
  <dc:description/>
  <cp:lastModifiedBy>Nafia Siddiqui</cp:lastModifiedBy>
  <cp:revision>3</cp:revision>
  <dcterms:created xsi:type="dcterms:W3CDTF">2026-09-06T12:03:00Z</dcterms:created>
  <dcterms:modified xsi:type="dcterms:W3CDTF">2026-09-06T13:02:00Z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a8383a87-55f2-497d-8941-2ec8b4a4130a</vt:lpwstr>
  </property>
</Properties>
</file>