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2E6DA4" w:val="clear"/>
        <w:jc w:val="center"/>
      </w:pPr>
      <w:r>
        <w:rPr>
          <w:rFonts w:ascii="Arial" w:cs="Arial" w:eastAsia="Arial" w:hAnsi="Arial"/>
          <w:b/>
          <w:bCs/>
          <w:color w:val="FFFFFF"/>
          <w:sz w:val="34"/>
          <w:szCs w:val="34"/>
        </w:rPr>
        <w:t xml:space="preserve">  POSTER CONTENT — SECTION BY SECTION  </w:t>
      </w:r>
    </w:p>
    <w:p>
      <w:pPr>
        <w:shd w:fill="EBF3FB" w:val="clear"/>
        <w:spacing w:after="280" w:before="0"/>
        <w:jc w:val="center"/>
      </w:pPr>
      <w:r>
        <w:rPr>
          <w:rFonts w:ascii="Arial" w:cs="Arial" w:eastAsia="Arial" w:hAnsi="Arial"/>
          <w:i/>
          <w:iCs/>
          <w:color w:val="4A6080"/>
          <w:sz w:val="20"/>
          <w:szCs w:val="20"/>
        </w:rPr>
        <w:t xml:space="preserve">Every section matches the exact label in your NSU template. Paste text into the corresponding box.</w:t>
      </w:r>
    </w:p>
    <w:p>
      <w:pPr>
        <w:shd w:fill="D6E4F0" w:val="clear"/>
        <w:jc w:val="center"/>
      </w:pPr>
      <w:r>
        <w:rPr>
          <w:rFonts w:ascii="Arial" w:cs="Arial" w:eastAsia="Arial" w:hAnsi="Arial"/>
          <w:b/>
          <w:bCs/>
          <w:color w:val="2E6DA4"/>
          <w:sz w:val="28"/>
          <w:szCs w:val="28"/>
        </w:rPr>
        <w:t xml:space="preserve">━━━━━━━━━━  LEFT COLUMN  ━━━━━━━━━━</w:t>
      </w:r>
    </w:p>
    <w:p>
      <w:pPr>
        <w:shd w:fill="1B3A5C" w:val="clear"/>
        <w:spacing w:after="0" w:before="320"/>
      </w:pPr>
      <w:r>
        <w:rPr>
          <w:rFonts w:ascii="Arial" w:cs="Arial" w:eastAsia="Arial" w:hAnsi="Arial"/>
          <w:b/>
          <w:bCs/>
          <w:color w:val="FFFFFF"/>
          <w:sz w:val="22"/>
          <w:szCs w:val="22"/>
        </w:rPr>
        <w:t xml:space="preserve">  ▌ LEFT COLUMN  →  "Introduction"  </w:t>
      </w:r>
    </w:p>
    <w:p>
      <w:pPr>
        <w:pBdr>
          <w:left w:val="single" w:color="2E6DA4" w:sz="8" w:space="6"/>
        </w:pBdr>
        <w:shd w:fill="E8F4FD" w:val="clear"/>
        <w:spacing w:after="120" w:before="0"/>
      </w:pPr>
      <w:r>
        <w:rPr>
          <w:rFonts w:ascii="Arial" w:cs="Arial" w:eastAsia="Arial" w:hAnsi="Arial"/>
          <w:i/>
          <w:iCs/>
          <w:color w:val="4A6080"/>
          <w:sz w:val="18"/>
          <w:szCs w:val="18"/>
        </w:rPr>
        <w:t xml:space="preserve">  Paste this text block into the Introduction section (top of left column)</w:t>
      </w:r>
    </w:p>
    <w:p>
      <w:pPr>
        <w:spacing w:after="40" w:before="40" w:line="340" w:lineRule="auto"/>
        <w:jc w:val="both"/>
      </w:pPr>
      <w:r>
        <w:rPr>
          <w:rFonts w:ascii="Arial" w:cs="Arial" w:eastAsia="Arial" w:hAnsi="Arial"/>
          <w:color w:val="1A2A3A"/>
          <w:sz w:val="26"/>
          <w:szCs w:val="26"/>
        </w:rPr>
        <w:t xml:space="preserve">Oyster mushroom cultivation is a fast-growing agricultural industry in Bangladesh, supporting thousands of small-scale farmers. However, fungal contamination of substrate bags — caused by Trichoderma, Aspergillus, and Rhizopus — leads to 20–40% annual yield loss.</w:t>
      </w:r>
    </w:p>
    <w:p>
      <w:pPr>
        <w:spacing w:after="40" w:before="40" w:line="340" w:lineRule="auto"/>
        <w:jc w:val="both"/>
      </w:pPr>
      <w:r>
        <w:rPr>
          <w:rFonts w:ascii="Arial" w:cs="Arial" w:eastAsia="Arial" w:hAnsi="Arial"/>
          <w:color w:val="1A2A3A"/>
          <w:sz w:val="26"/>
          <w:szCs w:val="26"/>
        </w:rPr>
        <w:t xml:space="preserve">Current detection relies on manual inspection: slow, subjective, and unavailable to inexperienced cultivators. Existing computer vision solutions treat contamination as binary (infected / healthy), ignoring severity progression. We address this by modelling contamination as an ordinal problem with three escalating grades.</w:t>
      </w:r>
    </w:p>
    <w:p>
      <w:pPr>
        <w:pBdr>
          <w:bottom w:val="single" w:color="B0C4DE" w:sz="6" w:space="1"/>
        </w:pBdr>
        <w:spacing w:after="200" w:before="200"/>
      </w:pPr>
      <w:r>
        <w:t xml:space="preserve"/>
      </w:r>
    </w:p>
    <w:p>
      <w:pPr>
        <w:shd w:fill="1B3A5C" w:val="clear"/>
        <w:spacing w:after="0" w:before="320"/>
      </w:pPr>
      <w:r>
        <w:rPr>
          <w:rFonts w:ascii="Arial" w:cs="Arial" w:eastAsia="Arial" w:hAnsi="Arial"/>
          <w:b/>
          <w:bCs/>
          <w:color w:val="FFFFFF"/>
          <w:sz w:val="22"/>
          <w:szCs w:val="22"/>
        </w:rPr>
        <w:t xml:space="preserve">  ▌ LEFT COLUMN  →  "Abstract"  </w:t>
      </w:r>
    </w:p>
    <w:p>
      <w:pPr>
        <w:pBdr>
          <w:left w:val="single" w:color="2E6DA4" w:sz="8" w:space="6"/>
        </w:pBdr>
        <w:shd w:fill="E8F4FD" w:val="clear"/>
        <w:spacing w:after="120" w:before="0"/>
      </w:pPr>
      <w:r>
        <w:rPr>
          <w:rFonts w:ascii="Arial" w:cs="Arial" w:eastAsia="Arial" w:hAnsi="Arial"/>
          <w:i/>
          <w:iCs/>
          <w:color w:val="4A6080"/>
          <w:sz w:val="18"/>
          <w:szCs w:val="18"/>
        </w:rPr>
        <w:t xml:space="preserve">  Paste into the Abstract box (middle of left column)</w:t>
      </w:r>
    </w:p>
    <w:p>
      <w:pPr>
        <w:spacing w:after="40" w:before="40" w:line="340" w:lineRule="auto"/>
        <w:jc w:val="both"/>
      </w:pPr>
      <w:r>
        <w:rPr>
          <w:rFonts w:ascii="Arial" w:cs="Arial" w:eastAsia="Arial" w:hAnsi="Arial"/>
          <w:color w:val="1A2A3A"/>
          <w:sz w:val="26"/>
          <w:szCs w:val="26"/>
        </w:rPr>
        <w:t xml:space="preserve">This research presents an ordinal contamination grading system for mushroom substrate bags, classifying images into Healthy (Grade 0), Single Infected (Grade 1), and Mixed Infected (Grade 2). EfficientNetV2S is fine-tuned using CORN (Conditional Ordinal Regression for Neural Networks) loss on 761 real-world images collected in Savar, Dhaka.</w:t>
      </w:r>
    </w:p>
    <w:p>
      <w:pPr>
        <w:spacing w:after="40" w:before="40" w:line="340" w:lineRule="auto"/>
        <w:jc w:val="both"/>
      </w:pPr>
      <w:r>
        <w:rPr>
          <w:rFonts w:ascii="Arial" w:cs="Arial" w:eastAsia="Arial" w:hAnsi="Arial"/>
          <w:color w:val="1A2A3A"/>
          <w:sz w:val="26"/>
          <w:szCs w:val="26"/>
        </w:rPr>
        <w:t xml:space="preserve">The system achieves 88.03% test accuracy with MAE = 0.1282 — a +10.25% improvement over the softmax baseline. A Streamlit web application with Grad-CAM visual explanations and a RAG-powered expert chatbot (Groq Llama-3.3-70B) makes the tool accessible to non-expert farmers.</w:t>
      </w:r>
    </w:p>
    <w:p>
      <w:pPr>
        <w:pBdr>
          <w:bottom w:val="single" w:color="B0C4DE" w:sz="6" w:space="1"/>
        </w:pBdr>
        <w:spacing w:after="200" w:before="200"/>
      </w:pPr>
      <w:r>
        <w:t xml:space="preserve"/>
      </w:r>
    </w:p>
    <w:p>
      <w:pPr>
        <w:shd w:fill="1B3A5C" w:val="clear"/>
        <w:spacing w:after="0" w:before="320"/>
      </w:pPr>
      <w:r>
        <w:rPr>
          <w:rFonts w:ascii="Arial" w:cs="Arial" w:eastAsia="Arial" w:hAnsi="Arial"/>
          <w:b/>
          <w:bCs/>
          <w:color w:val="FFFFFF"/>
          <w:sz w:val="22"/>
          <w:szCs w:val="22"/>
        </w:rPr>
        <w:t xml:space="preserve">  ▌ LEFT COLUMN  →  "Background"  </w:t>
      </w:r>
    </w:p>
    <w:p>
      <w:pPr>
        <w:pBdr>
          <w:left w:val="single" w:color="2E6DA4" w:sz="8" w:space="6"/>
        </w:pBdr>
        <w:shd w:fill="E8F4FD" w:val="clear"/>
        <w:spacing w:after="120" w:before="0"/>
      </w:pPr>
      <w:r>
        <w:rPr>
          <w:rFonts w:ascii="Arial" w:cs="Arial" w:eastAsia="Arial" w:hAnsi="Arial"/>
          <w:i/>
          <w:iCs/>
          <w:color w:val="4A6080"/>
          <w:sz w:val="18"/>
          <w:szCs w:val="18"/>
        </w:rPr>
        <w:t xml:space="preserve">  Paste into the Background box</w:t>
      </w:r>
    </w:p>
    <w:p>
      <w:pPr>
        <w:pStyle w:val="ListParagraph"/>
        <w:numPr>
          <w:ilvl w:val="0"/>
          <w:numId w:val="2"/>
        </w:numPr>
        <w:spacing w:after="30" w:before="30"/>
      </w:pPr>
      <w:r>
        <w:rPr>
          <w:rFonts w:ascii="Arial" w:cs="Arial" w:eastAsia="Arial" w:hAnsi="Arial"/>
          <w:b w:val="false"/>
          <w:bCs w:val="false"/>
          <w:color w:val="1A2A3A"/>
          <w:sz w:val="26"/>
          <w:szCs w:val="26"/>
        </w:rPr>
        <w:t xml:space="preserve">Mushroom cultivation is expanding rapidly in South/Southeast Asia as a high-protein, low-cost food source.</w:t>
      </w:r>
    </w:p>
    <w:p>
      <w:pPr>
        <w:pStyle w:val="ListParagraph"/>
        <w:numPr>
          <w:ilvl w:val="0"/>
          <w:numId w:val="2"/>
        </w:numPr>
        <w:spacing w:after="30" w:before="30"/>
      </w:pPr>
      <w:r>
        <w:rPr>
          <w:rFonts w:ascii="Arial" w:cs="Arial" w:eastAsia="Arial" w:hAnsi="Arial"/>
          <w:b w:val="false"/>
          <w:bCs w:val="false"/>
          <w:color w:val="1A2A3A"/>
          <w:sz w:val="26"/>
          <w:szCs w:val="26"/>
        </w:rPr>
        <w:t xml:space="preserve">Substrate bags (sawdust/straw) are highly susceptible to mold contamination — one infected bag can spread spores across an entire batch within 48 hours.</w:t>
      </w:r>
    </w:p>
    <w:p>
      <w:pPr>
        <w:pStyle w:val="ListParagraph"/>
        <w:numPr>
          <w:ilvl w:val="0"/>
          <w:numId w:val="2"/>
        </w:numPr>
        <w:spacing w:after="30" w:before="30"/>
      </w:pPr>
      <w:r>
        <w:rPr>
          <w:rFonts w:ascii="Arial" w:cs="Arial" w:eastAsia="Arial" w:hAnsi="Arial"/>
          <w:b w:val="false"/>
          <w:bCs w:val="false"/>
          <w:color w:val="1A2A3A"/>
          <w:sz w:val="26"/>
          <w:szCs w:val="26"/>
        </w:rPr>
        <w:t xml:space="preserve">Prior deep learning work (PlantVillage, leaf disease CNNs) uses flat multi-class classifiers — none model severity ordering.</w:t>
      </w:r>
    </w:p>
    <w:p>
      <w:pPr>
        <w:pStyle w:val="ListParagraph"/>
        <w:numPr>
          <w:ilvl w:val="0"/>
          <w:numId w:val="2"/>
        </w:numPr>
        <w:spacing w:after="30" w:before="30"/>
      </w:pPr>
      <w:r>
        <w:rPr>
          <w:rFonts w:ascii="Arial" w:cs="Arial" w:eastAsia="Arial" w:hAnsi="Arial"/>
          <w:b w:val="false"/>
          <w:bCs w:val="false"/>
          <w:color w:val="1A2A3A"/>
          <w:sz w:val="26"/>
          <w:szCs w:val="26"/>
        </w:rPr>
        <w:t xml:space="preserve">CORN loss (ordinal regression) has succeeded in medical imaging and age estimation but never applied to mushroom disease grading.</w:t>
      </w:r>
    </w:p>
    <w:p>
      <w:pPr>
        <w:pStyle w:val="ListParagraph"/>
        <w:numPr>
          <w:ilvl w:val="0"/>
          <w:numId w:val="2"/>
        </w:numPr>
        <w:spacing w:after="30" w:before="30"/>
      </w:pPr>
      <w:r>
        <w:rPr>
          <w:rFonts w:ascii="Arial" w:cs="Arial" w:eastAsia="Arial" w:hAnsi="Arial"/>
          <w:b w:val="false"/>
          <w:bCs w:val="false"/>
          <w:color w:val="1A2A3A"/>
          <w:sz w:val="26"/>
          <w:szCs w:val="26"/>
        </w:rPr>
        <w:t xml:space="preserve">No existing dataset includes a Mixed Infected class — our dataset is the first to do so.</w:t>
      </w:r>
    </w:p>
    <w:p>
      <w:pPr>
        <w:pBdr>
          <w:bottom w:val="single" w:color="B0C4DE" w:sz="6" w:space="1"/>
        </w:pBdr>
        <w:spacing w:after="200" w:before="200"/>
      </w:pPr>
      <w:r>
        <w:t xml:space="preserve"/>
      </w:r>
    </w:p>
    <w:p>
      <w:pPr>
        <w:shd w:fill="1B3A5C" w:val="clear"/>
        <w:spacing w:after="0" w:before="320"/>
      </w:pPr>
      <w:r>
        <w:rPr>
          <w:rFonts w:ascii="Arial" w:cs="Arial" w:eastAsia="Arial" w:hAnsi="Arial"/>
          <w:b/>
          <w:bCs/>
          <w:color w:val="FFFFFF"/>
          <w:sz w:val="22"/>
          <w:szCs w:val="22"/>
        </w:rPr>
        <w:t xml:space="preserve">  ▌ LEFT COLUMN  →  "Hypothesis"  </w:t>
      </w:r>
    </w:p>
    <w:p>
      <w:pPr>
        <w:pBdr>
          <w:left w:val="single" w:color="2E6DA4" w:sz="8" w:space="6"/>
        </w:pBdr>
        <w:shd w:fill="E8F4FD" w:val="clear"/>
        <w:spacing w:after="120" w:before="0"/>
      </w:pPr>
      <w:r>
        <w:rPr>
          <w:rFonts w:ascii="Arial" w:cs="Arial" w:eastAsia="Arial" w:hAnsi="Arial"/>
          <w:i/>
          <w:iCs/>
          <w:color w:val="4A6080"/>
          <w:sz w:val="18"/>
          <w:szCs w:val="18"/>
        </w:rPr>
        <w:t xml:space="preserve">  Paste into the Hypothesis box — keep to 1–2 bullets</w:t>
      </w:r>
    </w:p>
    <w:p>
      <w:pPr>
        <w:pStyle w:val="ListParagraph"/>
        <w:numPr>
          <w:ilvl w:val="0"/>
          <w:numId w:val="2"/>
        </w:numPr>
        <w:spacing w:after="30" w:before="30"/>
      </w:pPr>
      <w:r>
        <w:rPr>
          <w:rFonts w:ascii="Arial" w:cs="Arial" w:eastAsia="Arial" w:hAnsi="Arial"/>
          <w:b/>
          <w:bCs/>
          <w:color w:val="2E6DA4"/>
          <w:sz w:val="26"/>
          <w:szCs w:val="26"/>
        </w:rPr>
        <w:t xml:space="preserve">Treating mushroom bag contamination as an ordinal classification problem (Healthy &lt; Single &lt; Mixed) and training with CORN loss will yield significantly higher accuracy and lower ordinal error than standard softmax cross-entropy.</w:t>
      </w:r>
    </w:p>
    <w:p>
      <w:pPr>
        <w:pStyle w:val="ListParagraph"/>
        <w:numPr>
          <w:ilvl w:val="0"/>
          <w:numId w:val="2"/>
        </w:numPr>
        <w:spacing w:after="30" w:before="30"/>
      </w:pPr>
      <w:r>
        <w:rPr>
          <w:rFonts w:ascii="Arial" w:cs="Arial" w:eastAsia="Arial" w:hAnsi="Arial"/>
          <w:b w:val="false"/>
          <w:bCs w:val="false"/>
          <w:color w:val="1A2A3A"/>
          <w:sz w:val="26"/>
          <w:szCs w:val="26"/>
        </w:rPr>
        <w:t xml:space="preserve">Grad-CAM attention maps will confirm that the model learns disease-relevant visual features rather than background artefacts.</w:t>
      </w:r>
    </w:p>
    <w:p>
      <w:pPr>
        <w:pBdr>
          <w:bottom w:val="single" w:color="B0C4DE" w:sz="6" w:space="1"/>
        </w:pBdr>
        <w:spacing w:after="200" w:before="200"/>
      </w:pPr>
      <w:r>
        <w:t xml:space="preserve"/>
      </w:r>
    </w:p>
    <w:p>
      <w:pPr>
        <w:shd w:fill="1B3A5C" w:val="clear"/>
        <w:spacing w:after="0" w:before="320"/>
      </w:pPr>
      <w:r>
        <w:rPr>
          <w:rFonts w:ascii="Arial" w:cs="Arial" w:eastAsia="Arial" w:hAnsi="Arial"/>
          <w:b/>
          <w:bCs/>
          <w:color w:val="FFFFFF"/>
          <w:sz w:val="22"/>
          <w:szCs w:val="22"/>
        </w:rPr>
        <w:t xml:space="preserve">  ▌ LEFT COLUMN  →  "Objectives"  </w:t>
      </w:r>
    </w:p>
    <w:p>
      <w:pPr>
        <w:pBdr>
          <w:left w:val="single" w:color="2E6DA4" w:sz="8" w:space="6"/>
        </w:pBdr>
        <w:shd w:fill="E8F4FD" w:val="clear"/>
        <w:spacing w:after="120" w:before="0"/>
      </w:pPr>
      <w:r>
        <w:rPr>
          <w:rFonts w:ascii="Arial" w:cs="Arial" w:eastAsia="Arial" w:hAnsi="Arial"/>
          <w:i/>
          <w:iCs/>
          <w:color w:val="4A6080"/>
          <w:sz w:val="18"/>
          <w:szCs w:val="18"/>
        </w:rPr>
        <w:t xml:space="preserve">  Paste into the Objectives box</w:t>
      </w:r>
    </w:p>
    <w:p>
      <w:pPr>
        <w:pStyle w:val="ListParagraph"/>
        <w:numPr>
          <w:ilvl w:val="0"/>
          <w:numId w:val="2"/>
        </w:numPr>
        <w:spacing w:after="30" w:before="30"/>
      </w:pPr>
      <w:r>
        <w:rPr>
          <w:rFonts w:ascii="Arial" w:cs="Arial" w:eastAsia="Arial" w:hAnsi="Arial"/>
          <w:b w:val="false"/>
          <w:bCs w:val="false"/>
          <w:color w:val="1A2A3A"/>
          <w:sz w:val="26"/>
          <w:szCs w:val="26"/>
        </w:rPr>
        <w:t xml:space="preserve">Build the first ordinal mushroom bag disease dataset (761 images, 3 severity classes) from Bangladesh.</w:t>
      </w:r>
    </w:p>
    <w:p>
      <w:pPr>
        <w:pStyle w:val="ListParagraph"/>
        <w:numPr>
          <w:ilvl w:val="0"/>
          <w:numId w:val="2"/>
        </w:numPr>
        <w:spacing w:after="30" w:before="30"/>
      </w:pPr>
      <w:r>
        <w:rPr>
          <w:rFonts w:ascii="Arial" w:cs="Arial" w:eastAsia="Arial" w:hAnsi="Arial"/>
          <w:b w:val="false"/>
          <w:bCs w:val="false"/>
          <w:color w:val="1A2A3A"/>
          <w:sz w:val="26"/>
          <w:szCs w:val="26"/>
        </w:rPr>
        <w:t xml:space="preserve">Apply CORN ordinal loss to model disease severity progression in deep learning.</w:t>
      </w:r>
    </w:p>
    <w:p>
      <w:pPr>
        <w:pStyle w:val="ListParagraph"/>
        <w:numPr>
          <w:ilvl w:val="0"/>
          <w:numId w:val="2"/>
        </w:numPr>
        <w:spacing w:after="30" w:before="30"/>
      </w:pPr>
      <w:r>
        <w:rPr>
          <w:rFonts w:ascii="Arial" w:cs="Arial" w:eastAsia="Arial" w:hAnsi="Arial"/>
          <w:b w:val="false"/>
          <w:bCs w:val="false"/>
          <w:color w:val="1A2A3A"/>
          <w:sz w:val="26"/>
          <w:szCs w:val="26"/>
        </w:rPr>
        <w:t xml:space="preserve">Outperform softmax-based classification baselines on test accuracy and MAE.</w:t>
      </w:r>
    </w:p>
    <w:p>
      <w:pPr>
        <w:pStyle w:val="ListParagraph"/>
        <w:numPr>
          <w:ilvl w:val="0"/>
          <w:numId w:val="2"/>
        </w:numPr>
        <w:spacing w:after="30" w:before="30"/>
      </w:pPr>
      <w:r>
        <w:rPr>
          <w:rFonts w:ascii="Arial" w:cs="Arial" w:eastAsia="Arial" w:hAnsi="Arial"/>
          <w:b w:val="false"/>
          <w:bCs w:val="false"/>
          <w:color w:val="1A2A3A"/>
          <w:sz w:val="26"/>
          <w:szCs w:val="26"/>
        </w:rPr>
        <w:t xml:space="preserve">Deploy an explainable, farmer-friendly web application with Grad-CAM and LLM-powered advisory.</w:t>
      </w:r>
    </w:p>
    <w:p>
      <w:r>
        <w:rPr>
          <w:sz w:val="20"/>
          <w:szCs w:val="20"/>
        </w:rPr>
        <w:t xml:space="preserve"/>
      </w:r>
    </w:p>
    <w:p>
      <w:r>
        <w:rPr>
          <w:sz w:val="20"/>
          <w:szCs w:val="20"/>
        </w:rPr>
        <w:t xml:space="preserve"/>
      </w:r>
    </w:p>
    <w:p>
      <w:pPr>
        <w:shd w:fill="D6E4F0" w:val="clear"/>
        <w:jc w:val="center"/>
      </w:pPr>
      <w:r>
        <w:rPr>
          <w:rFonts w:ascii="Arial" w:cs="Arial" w:eastAsia="Arial" w:hAnsi="Arial"/>
          <w:b/>
          <w:bCs/>
          <w:color w:val="2E6DA4"/>
          <w:sz w:val="28"/>
          <w:szCs w:val="28"/>
        </w:rPr>
        <w:t xml:space="preserve">━━━━━━━━━━  MIDDLE COLUMN  ━━━━━━━━━━</w:t>
      </w:r>
    </w:p>
    <w:p>
      <w:pPr>
        <w:shd w:fill="1B3A5C" w:val="clear"/>
        <w:spacing w:after="0" w:before="320"/>
      </w:pPr>
      <w:r>
        <w:rPr>
          <w:rFonts w:ascii="Arial" w:cs="Arial" w:eastAsia="Arial" w:hAnsi="Arial"/>
          <w:b/>
          <w:bCs/>
          <w:color w:val="FFFFFF"/>
          <w:sz w:val="22"/>
          <w:szCs w:val="22"/>
        </w:rPr>
        <w:t xml:space="preserve">  ▌ MIDDLE COLUMN  →  "Material"  </w:t>
      </w:r>
    </w:p>
    <w:p>
      <w:pPr>
        <w:pBdr>
          <w:left w:val="single" w:color="2E6DA4" w:sz="8" w:space="6"/>
        </w:pBdr>
        <w:shd w:fill="E8F4FD" w:val="clear"/>
        <w:spacing w:after="120" w:before="0"/>
      </w:pPr>
      <w:r>
        <w:rPr>
          <w:rFonts w:ascii="Arial" w:cs="Arial" w:eastAsia="Arial" w:hAnsi="Arial"/>
          <w:i/>
          <w:iCs/>
          <w:color w:val="4A6080"/>
          <w:sz w:val="18"/>
          <w:szCs w:val="18"/>
        </w:rPr>
        <w:t xml:space="preserve">  Paste into the Material / Dataset box (top of middle column)</w:t>
      </w:r>
    </w:p>
    <w:p>
      <w:pPr>
        <w:spacing w:after="50" w:before="100"/>
      </w:pPr>
      <w:r>
        <w:rPr>
          <w:rFonts w:ascii="Arial" w:cs="Arial" w:eastAsia="Arial" w:hAnsi="Arial"/>
          <w:b/>
          <w:bCs/>
          <w:color w:val="2E6DA4"/>
          <w:sz w:val="28"/>
          <w:szCs w:val="28"/>
        </w:rPr>
        <w:t xml:space="preserve">Dataset</w:t>
      </w:r>
    </w:p>
    <w:p>
      <w:pPr>
        <w:pStyle w:val="ListParagraph"/>
        <w:numPr>
          <w:ilvl w:val="0"/>
          <w:numId w:val="2"/>
        </w:numPr>
        <w:spacing w:after="30" w:before="30"/>
      </w:pPr>
      <w:r>
        <w:rPr>
          <w:rFonts w:ascii="Arial" w:cs="Arial" w:eastAsia="Arial" w:hAnsi="Arial"/>
          <w:b w:val="false"/>
          <w:bCs w:val="false"/>
          <w:color w:val="1A2A3A"/>
          <w:sz w:val="26"/>
          <w:szCs w:val="26"/>
        </w:rPr>
        <w:t xml:space="preserve">761 JPEG images · Mushroom Development Institute, Savar, Dhaka · April 2025.</w:t>
      </w:r>
    </w:p>
    <w:p>
      <w:pPr>
        <w:pStyle w:val="ListParagraph"/>
        <w:numPr>
          <w:ilvl w:val="0"/>
          <w:numId w:val="2"/>
        </w:numPr>
        <w:spacing w:after="30" w:before="30"/>
      </w:pPr>
      <w:r>
        <w:rPr>
          <w:rFonts w:ascii="Arial" w:cs="Arial" w:eastAsia="Arial" w:hAnsi="Arial"/>
          <w:b w:val="false"/>
          <w:bCs w:val="false"/>
          <w:color w:val="1A2A3A"/>
          <w:sz w:val="26"/>
          <w:szCs w:val="26"/>
        </w:rPr>
        <w:t xml:space="preserve">3 ordinal classes: Healthy (299) · Single Infected (147) · Mixed Infected (315).</w:t>
      </w:r>
    </w:p>
    <w:p>
      <w:pPr>
        <w:pStyle w:val="ListParagraph"/>
        <w:numPr>
          <w:ilvl w:val="0"/>
          <w:numId w:val="2"/>
        </w:numPr>
        <w:spacing w:after="30" w:before="30"/>
      </w:pPr>
      <w:r>
        <w:rPr>
          <w:rFonts w:ascii="Arial" w:cs="Arial" w:eastAsia="Arial" w:hAnsi="Arial"/>
          <w:b w:val="false"/>
          <w:bCs w:val="false"/>
          <w:color w:val="1A2A3A"/>
          <w:sz w:val="26"/>
          <w:szCs w:val="26"/>
        </w:rPr>
        <w:t xml:space="preserve">Stratified split: Train 70% (531 → augmented to 2,400) · Validation 15% · Test 15%.</w:t>
      </w:r>
    </w:p>
    <w:p>
      <w:pPr>
        <w:pStyle w:val="ListParagraph"/>
        <w:numPr>
          <w:ilvl w:val="0"/>
          <w:numId w:val="2"/>
        </w:numPr>
        <w:spacing w:after="30" w:before="30"/>
      </w:pPr>
      <w:r>
        <w:rPr>
          <w:rFonts w:ascii="Arial" w:cs="Arial" w:eastAsia="Arial" w:hAnsi="Arial"/>
          <w:b w:val="false"/>
          <w:bCs w:val="false"/>
          <w:color w:val="1A2A3A"/>
          <w:sz w:val="26"/>
          <w:szCs w:val="26"/>
        </w:rPr>
        <w:t xml:space="preserve">Online augmentation: random flip, rotate ±20°, zoom, brightness, contrast.</w:t>
      </w:r>
    </w:p>
    <w:p>
      <w:pPr>
        <w:pStyle w:val="ListParagraph"/>
        <w:numPr>
          <w:ilvl w:val="0"/>
          <w:numId w:val="2"/>
        </w:numPr>
        <w:spacing w:after="30" w:before="30"/>
      </w:pPr>
      <w:r>
        <w:rPr>
          <w:rFonts w:ascii="Arial" w:cs="Arial" w:eastAsia="Arial" w:hAnsi="Arial"/>
          <w:b w:val="false"/>
          <w:bCs w:val="false"/>
          <w:color w:val="1A2A3A"/>
          <w:sz w:val="26"/>
          <w:szCs w:val="26"/>
        </w:rPr>
        <w:t xml:space="preserve">Class imbalance ratio 2.16 corrected via class_weight during training.</w:t>
      </w:r>
    </w:p>
    <w:p>
      <w:pPr>
        <w:spacing w:after="50" w:before="100"/>
      </w:pPr>
      <w:r>
        <w:rPr>
          <w:rFonts w:ascii="Arial" w:cs="Arial" w:eastAsia="Arial" w:hAnsi="Arial"/>
          <w:b/>
          <w:bCs/>
          <w:color w:val="2E6DA4"/>
          <w:sz w:val="28"/>
          <w:szCs w:val="28"/>
        </w:rPr>
        <w:t xml:space="preserve">Tools &amp; Environment</w:t>
      </w:r>
    </w:p>
    <w:p>
      <w:pPr>
        <w:pStyle w:val="ListParagraph"/>
        <w:numPr>
          <w:ilvl w:val="0"/>
          <w:numId w:val="2"/>
        </w:numPr>
        <w:spacing w:after="30" w:before="30"/>
      </w:pPr>
      <w:r>
        <w:rPr>
          <w:rFonts w:ascii="Arial" w:cs="Arial" w:eastAsia="Arial" w:hAnsi="Arial"/>
          <w:b w:val="false"/>
          <w:bCs w:val="false"/>
          <w:color w:val="1A2A3A"/>
          <w:sz w:val="26"/>
          <w:szCs w:val="26"/>
        </w:rPr>
        <w:t xml:space="preserve">TensorFlow 2.21 · Keras · Python 3.10 · NVIDIA RTX 5060 (16 GB VRAM).</w:t>
      </w:r>
    </w:p>
    <w:p>
      <w:pPr>
        <w:pStyle w:val="ListParagraph"/>
        <w:numPr>
          <w:ilvl w:val="0"/>
          <w:numId w:val="2"/>
        </w:numPr>
        <w:spacing w:after="30" w:before="30"/>
      </w:pPr>
      <w:r>
        <w:rPr>
          <w:rFonts w:ascii="Arial" w:cs="Arial" w:eastAsia="Arial" w:hAnsi="Arial"/>
          <w:b w:val="false"/>
          <w:bCs w:val="false"/>
          <w:color w:val="1A2A3A"/>
          <w:sz w:val="26"/>
          <w:szCs w:val="26"/>
        </w:rPr>
        <w:t xml:space="preserve">Streamlit · ChromaDB · SentenceTransformer · Groq API.</w:t>
      </w:r>
    </w:p>
    <w:p>
      <w:pPr>
        <w:pBdr>
          <w:bottom w:val="single" w:color="B0C4DE" w:sz="6" w:space="1"/>
        </w:pBdr>
        <w:spacing w:after="200" w:before="200"/>
      </w:pPr>
      <w:r>
        <w:t xml:space="preserve"/>
      </w:r>
    </w:p>
    <w:p>
      <w:pPr>
        <w:shd w:fill="1B3A5C" w:val="clear"/>
        <w:spacing w:after="0" w:before="320"/>
      </w:pPr>
      <w:r>
        <w:rPr>
          <w:rFonts w:ascii="Arial" w:cs="Arial" w:eastAsia="Arial" w:hAnsi="Arial"/>
          <w:b/>
          <w:bCs/>
          <w:color w:val="FFFFFF"/>
          <w:sz w:val="22"/>
          <w:szCs w:val="22"/>
        </w:rPr>
        <w:t xml:space="preserve">  ▌ MIDDLE COLUMN  →  "Analysis"  </w:t>
      </w:r>
    </w:p>
    <w:p>
      <w:pPr>
        <w:pBdr>
          <w:left w:val="single" w:color="2E6DA4" w:sz="8" w:space="6"/>
        </w:pBdr>
        <w:shd w:fill="E8F4FD" w:val="clear"/>
        <w:spacing w:after="120" w:before="0"/>
      </w:pPr>
      <w:r>
        <w:rPr>
          <w:rFonts w:ascii="Arial" w:cs="Arial" w:eastAsia="Arial" w:hAnsi="Arial"/>
          <w:i/>
          <w:iCs/>
          <w:color w:val="4A6080"/>
          <w:sz w:val="18"/>
          <w:szCs w:val="18"/>
        </w:rPr>
        <w:t xml:space="preserve">  Replace the bar chart placeholder in the template with one of these. Recommended: Model Accuracy Comparison bar chart OR Confusion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BCFE0" w:sz="1"/>
              <w:left w:val="single" w:color="BBCFE0" w:sz="1"/>
              <w:bottom w:val="single" w:color="BBCFE0" w:sz="1"/>
              <w:right w:val="single" w:color="BBCFE0" w:sz="1"/>
            </w:tcBorders>
            <w:shd w:fill="F0F6FF" w:val="clear"/>
            <w:tcMar>
              <w:top w:type="dxa" w:w="480"/>
              <w:left w:type="dxa" w:w="200"/>
              <w:bottom w:type="dxa" w:w="480"/>
              <w:right w:type="dxa" w:w="200"/>
            </w:tcMar>
          </w:tcPr>
          <w:p>
            <w:pPr>
              <w:jc w:val="center"/>
            </w:pPr>
            <w:r>
              <w:rPr>
                <w:rFonts w:ascii="Arial" w:cs="Arial" w:eastAsia="Arial" w:hAnsi="Arial"/>
                <w:b/>
                <w:bCs/>
                <w:color w:val="2E6DA4"/>
                <w:sz w:val="26"/>
                <w:szCs w:val="26"/>
              </w:rPr>
              <w:t xml:space="preserve">[ Insert: Model Accuracy Comparison Bar Chart ]</w:t>
            </w:r>
          </w:p>
          <w:p>
            <w:pPr>
              <w:jc w:val="center"/>
            </w:pPr>
            <w:r>
              <w:rPr>
                <w:rFonts w:ascii="Arial" w:cs="Arial" w:eastAsia="Arial" w:hAnsi="Arial"/>
                <w:i/>
                <w:iCs/>
                <w:color w:val="4A6080"/>
                <w:sz w:val="20"/>
                <w:szCs w:val="20"/>
              </w:rPr>
              <w:t xml:space="preserve">Recommended: Test Acc of CNN / DenseNet / EfficientNetV2S / EfficientNetV2S+CORN  ·  min 12cm × 18cm</w:t>
            </w:r>
          </w:p>
        </w:tc>
      </w:tr>
    </w:tbl>
    <w:p>
      <w:pPr>
        <w:spacing w:after="40" w:before="40" w:line="340" w:lineRule="auto"/>
        <w:jc w:val="both"/>
      </w:pPr>
      <w:r>
        <w:rPr>
          <w:rFonts w:ascii="Arial" w:cs="Arial" w:eastAsia="Arial" w:hAnsi="Arial"/>
          <w:color w:val="1A2A3A"/>
          <w:sz w:val="26"/>
          <w:szCs w:val="26"/>
        </w:rPr>
        <w:t xml:space="preserve">The bar chart above compares test accuracy across all models. EfficientNetV2S + CORN (88.03%) outperforms all softmax baselines. DDPM diffusion augmentation (Phase 3D, 86.32%) degraded performance — confirming image quality outweighs synthetic quantity at this scale.</w:t>
      </w:r>
    </w:p>
    <w:p>
      <w:pPr>
        <w:pBdr>
          <w:bottom w:val="single" w:color="B0C4DE" w:sz="6" w:space="1"/>
        </w:pBdr>
        <w:spacing w:after="200" w:before="200"/>
      </w:pPr>
      <w:r>
        <w:t xml:space="preserve"/>
      </w:r>
    </w:p>
    <w:p>
      <w:pPr>
        <w:shd w:fill="1B3A5C" w:val="clear"/>
        <w:spacing w:after="0" w:before="320"/>
      </w:pPr>
      <w:r>
        <w:rPr>
          <w:rFonts w:ascii="Arial" w:cs="Arial" w:eastAsia="Arial" w:hAnsi="Arial"/>
          <w:b/>
          <w:bCs/>
          <w:color w:val="FFFFFF"/>
          <w:sz w:val="22"/>
          <w:szCs w:val="22"/>
        </w:rPr>
        <w:t xml:space="preserve">  ▌ MIDDLE COLUMN  →  "Methodology"  </w:t>
      </w:r>
    </w:p>
    <w:p>
      <w:pPr>
        <w:pBdr>
          <w:left w:val="single" w:color="2E6DA4" w:sz="8" w:space="6"/>
        </w:pBdr>
        <w:shd w:fill="E8F4FD" w:val="clear"/>
        <w:spacing w:after="120" w:before="0"/>
      </w:pPr>
      <w:r>
        <w:rPr>
          <w:rFonts w:ascii="Arial" w:cs="Arial" w:eastAsia="Arial" w:hAnsi="Arial"/>
          <w:i/>
          <w:iCs/>
          <w:color w:val="4A6080"/>
          <w:sz w:val="18"/>
          <w:szCs w:val="18"/>
        </w:rPr>
        <w:t xml:space="preserve">  The template has 3 icon placeholders here — replace each with one of the images below</w:t>
      </w:r>
    </w:p>
    <w:p>
      <w:pPr>
        <w:spacing w:after="50" w:before="100"/>
      </w:pPr>
      <w:r>
        <w:rPr>
          <w:rFonts w:ascii="Arial" w:cs="Arial" w:eastAsia="Arial" w:hAnsi="Arial"/>
          <w:b/>
          <w:bCs/>
          <w:color w:val="2E6DA4"/>
          <w:sz w:val="28"/>
          <w:szCs w:val="28"/>
        </w:rPr>
        <w:t xml:space="preserve">Image 1 (top icon slot)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BCFE0" w:sz="1"/>
              <w:left w:val="single" w:color="BBCFE0" w:sz="1"/>
              <w:bottom w:val="single" w:color="BBCFE0" w:sz="1"/>
              <w:right w:val="single" w:color="BBCFE0" w:sz="1"/>
            </w:tcBorders>
            <w:shd w:fill="F0F6FF" w:val="clear"/>
            <w:tcMar>
              <w:top w:type="dxa" w:w="480"/>
              <w:left w:type="dxa" w:w="200"/>
              <w:bottom w:type="dxa" w:w="480"/>
              <w:right w:type="dxa" w:w="200"/>
            </w:tcMar>
          </w:tcPr>
          <w:p>
            <w:pPr>
              <w:jc w:val="center"/>
            </w:pPr>
            <w:r>
              <w:rPr>
                <w:rFonts w:ascii="Arial" w:cs="Arial" w:eastAsia="Arial" w:hAnsi="Arial"/>
                <w:b/>
                <w:bCs/>
                <w:color w:val="2E6DA4"/>
                <w:sz w:val="26"/>
                <w:szCs w:val="26"/>
              </w:rPr>
              <w:t xml:space="preserve">[ Insert: System Design Diagram ]</w:t>
            </w:r>
          </w:p>
          <w:p>
            <w:pPr>
              <w:jc w:val="center"/>
            </w:pPr>
            <w:r>
              <w:rPr>
                <w:rFonts w:ascii="Arial" w:cs="Arial" w:eastAsia="Arial" w:hAnsi="Arial"/>
                <w:i/>
                <w:iCs/>
                <w:color w:val="4A6080"/>
                <w:sz w:val="20"/>
                <w:szCs w:val="20"/>
              </w:rPr>
              <w:t xml:space="preserve">System_Design.png  ·  min 12cm × 18cm</w:t>
            </w:r>
          </w:p>
        </w:tc>
      </w:tr>
    </w:tbl>
    <w:p>
      <w:pPr>
        <w:spacing w:after="50" w:before="100"/>
      </w:pPr>
      <w:r>
        <w:rPr>
          <w:rFonts w:ascii="Arial" w:cs="Arial" w:eastAsia="Arial" w:hAnsi="Arial"/>
          <w:b/>
          <w:bCs/>
          <w:color w:val="2E6DA4"/>
          <w:sz w:val="28"/>
          <w:szCs w:val="28"/>
        </w:rPr>
        <w:t xml:space="preserve">Image 2 (middle icon slot)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BCFE0" w:sz="1"/>
              <w:left w:val="single" w:color="BBCFE0" w:sz="1"/>
              <w:bottom w:val="single" w:color="BBCFE0" w:sz="1"/>
              <w:right w:val="single" w:color="BBCFE0" w:sz="1"/>
            </w:tcBorders>
            <w:shd w:fill="F0F6FF" w:val="clear"/>
            <w:tcMar>
              <w:top w:type="dxa" w:w="480"/>
              <w:left w:type="dxa" w:w="200"/>
              <w:bottom w:type="dxa" w:w="480"/>
              <w:right w:type="dxa" w:w="200"/>
            </w:tcMar>
          </w:tcPr>
          <w:p>
            <w:pPr>
              <w:jc w:val="center"/>
            </w:pPr>
            <w:r>
              <w:rPr>
                <w:rFonts w:ascii="Arial" w:cs="Arial" w:eastAsia="Arial" w:hAnsi="Arial"/>
                <w:b/>
                <w:bCs/>
                <w:color w:val="2E6DA4"/>
                <w:sz w:val="26"/>
                <w:szCs w:val="26"/>
              </w:rPr>
              <w:t xml:space="preserve">[ Insert: Model Architecture Diagram ]</w:t>
            </w:r>
          </w:p>
          <w:p>
            <w:pPr>
              <w:jc w:val="center"/>
            </w:pPr>
            <w:r>
              <w:rPr>
                <w:rFonts w:ascii="Arial" w:cs="Arial" w:eastAsia="Arial" w:hAnsi="Arial"/>
                <w:i/>
                <w:iCs/>
                <w:color w:val="4A6080"/>
                <w:sz w:val="20"/>
                <w:szCs w:val="20"/>
              </w:rPr>
              <w:t xml:space="preserve">EfficientNetV2S → GAP → Dense(256) → CORN Head(2 logits)  ·  min 12cm × 18cm</w:t>
            </w:r>
          </w:p>
        </w:tc>
      </w:tr>
    </w:tbl>
    <w:p>
      <w:pPr>
        <w:spacing w:after="50" w:before="100"/>
      </w:pPr>
      <w:r>
        <w:rPr>
          <w:rFonts w:ascii="Arial" w:cs="Arial" w:eastAsia="Arial" w:hAnsi="Arial"/>
          <w:b/>
          <w:bCs/>
          <w:color w:val="2E6DA4"/>
          <w:sz w:val="28"/>
          <w:szCs w:val="28"/>
        </w:rPr>
        <w:t xml:space="preserve">Image 3 (bottom icon slot)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BCFE0" w:sz="1"/>
              <w:left w:val="single" w:color="BBCFE0" w:sz="1"/>
              <w:bottom w:val="single" w:color="BBCFE0" w:sz="1"/>
              <w:right w:val="single" w:color="BBCFE0" w:sz="1"/>
            </w:tcBorders>
            <w:shd w:fill="F0F6FF" w:val="clear"/>
            <w:tcMar>
              <w:top w:type="dxa" w:w="480"/>
              <w:left w:type="dxa" w:w="200"/>
              <w:bottom w:type="dxa" w:w="480"/>
              <w:right w:type="dxa" w:w="200"/>
            </w:tcMar>
          </w:tcPr>
          <w:p>
            <w:pPr>
              <w:jc w:val="center"/>
            </w:pPr>
            <w:r>
              <w:rPr>
                <w:rFonts w:ascii="Arial" w:cs="Arial" w:eastAsia="Arial" w:hAnsi="Arial"/>
                <w:b/>
                <w:bCs/>
                <w:color w:val="2E6DA4"/>
                <w:sz w:val="26"/>
                <w:szCs w:val="26"/>
              </w:rPr>
              <w:t xml:space="preserve">[ Insert: Grad-CAM Visualization ]</w:t>
            </w:r>
          </w:p>
          <w:p>
            <w:pPr>
              <w:jc w:val="center"/>
            </w:pPr>
            <w:r>
              <w:rPr>
                <w:rFonts w:ascii="Arial" w:cs="Arial" w:eastAsia="Arial" w:hAnsi="Arial"/>
                <w:i/>
                <w:iCs/>
                <w:color w:val="4A6080"/>
                <w:sz w:val="20"/>
                <w:szCs w:val="20"/>
              </w:rPr>
              <w:t xml:space="preserve">Side-by-side: Original · Heatmap · Overlay for each grade  ·  min 12cm × 18cm</w:t>
            </w:r>
          </w:p>
        </w:tc>
      </w:tr>
    </w:tbl>
    <w:p>
      <w:pPr>
        <w:spacing w:after="50" w:before="100"/>
      </w:pPr>
      <w:r>
        <w:rPr>
          <w:rFonts w:ascii="Arial" w:cs="Arial" w:eastAsia="Arial" w:hAnsi="Arial"/>
          <w:b/>
          <w:bCs/>
          <w:color w:val="2E6DA4"/>
          <w:sz w:val="28"/>
          <w:szCs w:val="28"/>
        </w:rPr>
        <w:t xml:space="preserve">CORN Loss Formula</w:t>
      </w:r>
    </w:p>
    <w:p>
      <w:pPr>
        <w:shd w:fill="EBF3FB" w:val="clear"/>
        <w:spacing w:after="80" w:before="80"/>
        <w:jc w:val="center"/>
      </w:pPr>
      <w:r>
        <w:rPr>
          <w:rFonts w:ascii="Courier New" w:cs="Courier New" w:eastAsia="Courier New" w:hAnsi="Courier New"/>
          <w:b/>
          <w:bCs/>
          <w:color w:val="1B3A5C"/>
          <w:sz w:val="26"/>
          <w:szCs w:val="26"/>
        </w:rPr>
        <w:t xml:space="preserve">P(0)=1−σ(l₀)   ·   P(1)=σ(l₀)·(1−σ(l₁))   ·   P(2)=σ(l₀)·σ(l₁)</w:t>
      </w:r>
    </w:p>
    <w:p>
      <w:pPr>
        <w:spacing w:after="40" w:before="40" w:line="340" w:lineRule="auto"/>
        <w:jc w:val="both"/>
      </w:pPr>
      <w:r>
        <w:rPr>
          <w:rFonts w:ascii="Arial" w:cs="Arial" w:eastAsia="Arial" w:hAnsi="Arial"/>
          <w:color w:val="1A2A3A"/>
          <w:sz w:val="26"/>
          <w:szCs w:val="26"/>
        </w:rPr>
        <w:t xml:space="preserve">Two sigmoid outputs (l₀, l₁) model conditional probabilities: P(severity &gt; k | severity ≥ k). Predicted grade = argmax of three decoded class probabilities.</w:t>
      </w:r>
    </w:p>
    <w:p>
      <w:pPr>
        <w:pBdr>
          <w:bottom w:val="single" w:color="B0C4DE" w:sz="6" w:space="1"/>
        </w:pBdr>
        <w:spacing w:after="200" w:before="200"/>
      </w:pPr>
      <w:r>
        <w:t xml:space="preserve"/>
      </w:r>
    </w:p>
    <w:p>
      <w:pPr>
        <w:shd w:fill="1B3A5C" w:val="clear"/>
        <w:spacing w:after="0" w:before="320"/>
      </w:pPr>
      <w:r>
        <w:rPr>
          <w:rFonts w:ascii="Arial" w:cs="Arial" w:eastAsia="Arial" w:hAnsi="Arial"/>
          <w:b/>
          <w:bCs/>
          <w:color w:val="FFFFFF"/>
          <w:sz w:val="22"/>
          <w:szCs w:val="22"/>
        </w:rPr>
        <w:t xml:space="preserve">  ▌ MIDDLE COLUMN  →  "Results"  </w:t>
      </w:r>
    </w:p>
    <w:p>
      <w:pPr>
        <w:pBdr>
          <w:left w:val="single" w:color="2E6DA4" w:sz="8" w:space="6"/>
        </w:pBdr>
        <w:shd w:fill="E8F4FD" w:val="clear"/>
        <w:spacing w:after="120" w:before="0"/>
      </w:pPr>
      <w:r>
        <w:rPr>
          <w:rFonts w:ascii="Arial" w:cs="Arial" w:eastAsia="Arial" w:hAnsi="Arial"/>
          <w:i/>
          <w:iCs/>
          <w:color w:val="4A6080"/>
          <w:sz w:val="18"/>
          <w:szCs w:val="18"/>
        </w:rPr>
        <w:t xml:space="preserve">  Paste into the Results box — lead with big numbers, then the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BCFE0" w:sz="1"/>
              <w:left w:val="single" w:color="BBCFE0" w:sz="1"/>
              <w:bottom w:val="single" w:color="BBCFE0" w:sz="1"/>
              <w:right w:val="single" w:color="BBCFE0" w:sz="1"/>
            </w:tcBorders>
            <w:shd w:fill="E8F8F0" w:val="clear"/>
            <w:tcMar>
              <w:top w:type="dxa" w:w="120"/>
              <w:left w:type="dxa" w:w="200"/>
              <w:bottom w:type="dxa" w:w="120"/>
              <w:right w:type="dxa" w:w="200"/>
            </w:tcMar>
          </w:tcPr>
          <w:p>
            <w:pPr>
              <w:jc w:val="center"/>
            </w:pPr>
            <w:r>
              <w:rPr>
                <w:rFonts w:ascii="Arial" w:cs="Arial" w:eastAsia="Arial" w:hAnsi="Arial"/>
                <w:b/>
                <w:bCs/>
                <w:color w:val="27AE60"/>
                <w:sz w:val="60"/>
                <w:szCs w:val="60"/>
              </w:rPr>
              <w:t xml:space="preserve">88.03%  Accuracy  ·  MAE = 0.1282</w:t>
            </w:r>
          </w:p>
          <w:p>
            <w:pPr>
              <w:jc w:val="center"/>
            </w:pPr>
            <w:r>
              <w:rPr>
                <w:rFonts w:ascii="Arial" w:cs="Arial" w:eastAsia="Arial" w:hAnsi="Arial"/>
                <w:color w:val="1A2A3A"/>
                <w:sz w:val="24"/>
                <w:szCs w:val="24"/>
              </w:rPr>
              <w:t xml:space="preserve">EfficientNetV2S + CORN Loss — Best Model  ★</w:t>
            </w:r>
          </w:p>
        </w:tc>
      </w:tr>
    </w:tbl>
    <w:p>
      <w:pPr>
        <w:spacing w:after="50" w:before="100"/>
      </w:pPr>
      <w:r>
        <w:rPr>
          <w:rFonts w:ascii="Arial" w:cs="Arial" w:eastAsia="Arial" w:hAnsi="Arial"/>
          <w:b/>
          <w:bCs/>
          <w:color w:val="2E6DA4"/>
          <w:sz w:val="28"/>
          <w:szCs w:val="28"/>
        </w:rPr>
        <w:t xml:space="preserve">Model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490"/>
        <w:gridCol w:w="1490"/>
        <w:gridCol w:w="1490"/>
        <w:gridCol w:w="1490"/>
      </w:tblGrid>
      <w:tr>
        <w:tc>
          <w:tcPr>
            <w:tcBorders>
              <w:top w:val="single" w:color="BBCFE0" w:sz="1"/>
              <w:left w:val="single" w:color="BBCFE0" w:sz="1"/>
              <w:bottom w:val="single" w:color="BBCFE0" w:sz="1"/>
              <w:right w:val="single" w:color="BBCFE0" w:sz="1"/>
            </w:tcBorders>
            <w:shd w:fill="1B3A5C"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Model</w:t>
            </w:r>
          </w:p>
        </w:tc>
        <w:tc>
          <w:tcPr>
            <w:tcBorders>
              <w:top w:val="single" w:color="BBCFE0" w:sz="1"/>
              <w:left w:val="single" w:color="BBCFE0" w:sz="1"/>
              <w:bottom w:val="single" w:color="BBCFE0" w:sz="1"/>
              <w:right w:val="single" w:color="BBCFE0" w:sz="1"/>
            </w:tcBorders>
            <w:shd w:fill="1B3A5C"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Val Acc</w:t>
            </w:r>
          </w:p>
        </w:tc>
        <w:tc>
          <w:tcPr>
            <w:tcBorders>
              <w:top w:val="single" w:color="BBCFE0" w:sz="1"/>
              <w:left w:val="single" w:color="BBCFE0" w:sz="1"/>
              <w:bottom w:val="single" w:color="BBCFE0" w:sz="1"/>
              <w:right w:val="single" w:color="BBCFE0" w:sz="1"/>
            </w:tcBorders>
            <w:shd w:fill="1B3A5C"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Test Acc</w:t>
            </w:r>
          </w:p>
        </w:tc>
        <w:tc>
          <w:tcPr>
            <w:tcBorders>
              <w:top w:val="single" w:color="BBCFE0" w:sz="1"/>
              <w:left w:val="single" w:color="BBCFE0" w:sz="1"/>
              <w:bottom w:val="single" w:color="BBCFE0" w:sz="1"/>
              <w:right w:val="single" w:color="BBCFE0" w:sz="1"/>
            </w:tcBorders>
            <w:shd w:fill="1B3A5C"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MAE</w:t>
            </w:r>
          </w:p>
        </w:tc>
        <w:tc>
          <w:tcPr>
            <w:tcBorders>
              <w:top w:val="single" w:color="BBCFE0" w:sz="1"/>
              <w:left w:val="single" w:color="BBCFE0" w:sz="1"/>
              <w:bottom w:val="single" w:color="BBCFE0" w:sz="1"/>
              <w:right w:val="single" w:color="BBCFE0" w:sz="1"/>
            </w:tcBorders>
            <w:shd w:fill="1B3A5C"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Loss</w:t>
            </w:r>
          </w:p>
        </w:tc>
      </w:tr>
      <w:tr>
        <w:tc>
          <w:tcPr>
            <w:tcBorders>
              <w:top w:val="single" w:color="BBCFE0" w:sz="1"/>
              <w:left w:val="single" w:color="BBCFE0" w:sz="1"/>
              <w:bottom w:val="single" w:color="BBCFE0" w:sz="1"/>
              <w:right w:val="single" w:color="BBCFE0" w:sz="1"/>
            </w:tcBorders>
            <w:shd w:fill="EBF3FB" w:val="clear"/>
            <w:tcMar>
              <w:top w:type="dxa" w:w="80"/>
              <w:left w:type="dxa" w:w="100"/>
              <w:bottom w:type="dxa" w:w="80"/>
              <w:right w:type="dxa" w:w="100"/>
            </w:tcMar>
          </w:tcPr>
          <w:p>
            <w:pPr>
              <w:jc w:val="center"/>
            </w:pPr>
            <w:r>
              <w:rPr>
                <w:rFonts w:ascii="Arial" w:cs="Arial" w:eastAsia="Arial" w:hAnsi="Arial"/>
                <w:b w:val="false"/>
                <w:bCs w:val="false"/>
                <w:color w:val="1A2A3A"/>
                <w:sz w:val="20"/>
                <w:szCs w:val="20"/>
              </w:rPr>
              <w:t xml:space="preserve">Custom CNN (CPU)</w:t>
            </w:r>
          </w:p>
        </w:tc>
        <w:tc>
          <w:tcPr>
            <w:tcBorders>
              <w:top w:val="single" w:color="BBCFE0" w:sz="1"/>
              <w:left w:val="single" w:color="BBCFE0" w:sz="1"/>
              <w:bottom w:val="single" w:color="BBCFE0" w:sz="1"/>
              <w:right w:val="single" w:color="BBCFE0" w:sz="1"/>
            </w:tcBorders>
            <w:shd w:fill="EBF3FB" w:val="clear"/>
            <w:tcMar>
              <w:top w:type="dxa" w:w="80"/>
              <w:left w:type="dxa" w:w="100"/>
              <w:bottom w:type="dxa" w:w="80"/>
              <w:right w:type="dxa" w:w="100"/>
            </w:tcMar>
          </w:tcPr>
          <w:p>
            <w:pPr>
              <w:jc w:val="center"/>
            </w:pPr>
            <w:r>
              <w:rPr>
                <w:rFonts w:ascii="Arial" w:cs="Arial" w:eastAsia="Arial" w:hAnsi="Arial"/>
                <w:b w:val="false"/>
                <w:bCs w:val="false"/>
                <w:color w:val="1A2A3A"/>
                <w:sz w:val="20"/>
                <w:szCs w:val="20"/>
              </w:rPr>
              <w:t xml:space="preserve">85.84%</w:t>
            </w:r>
          </w:p>
        </w:tc>
        <w:tc>
          <w:tcPr>
            <w:tcBorders>
              <w:top w:val="single" w:color="BBCFE0" w:sz="1"/>
              <w:left w:val="single" w:color="BBCFE0" w:sz="1"/>
              <w:bottom w:val="single" w:color="BBCFE0" w:sz="1"/>
              <w:right w:val="single" w:color="BBCFE0" w:sz="1"/>
            </w:tcBorders>
            <w:shd w:fill="EBF3FB" w:val="clear"/>
            <w:tcMar>
              <w:top w:type="dxa" w:w="80"/>
              <w:left w:type="dxa" w:w="100"/>
              <w:bottom w:type="dxa" w:w="80"/>
              <w:right w:type="dxa" w:w="100"/>
            </w:tcMar>
          </w:tcPr>
          <w:p>
            <w:pPr>
              <w:jc w:val="center"/>
            </w:pPr>
            <w:r>
              <w:rPr>
                <w:rFonts w:ascii="Arial" w:cs="Arial" w:eastAsia="Arial" w:hAnsi="Arial"/>
                <w:b w:val="false"/>
                <w:bCs w:val="false"/>
                <w:color w:val="1A2A3A"/>
                <w:sz w:val="20"/>
                <w:szCs w:val="20"/>
              </w:rPr>
              <w:t xml:space="preserve">—</w:t>
            </w:r>
          </w:p>
        </w:tc>
        <w:tc>
          <w:tcPr>
            <w:tcBorders>
              <w:top w:val="single" w:color="BBCFE0" w:sz="1"/>
              <w:left w:val="single" w:color="BBCFE0" w:sz="1"/>
              <w:bottom w:val="single" w:color="BBCFE0" w:sz="1"/>
              <w:right w:val="single" w:color="BBCFE0" w:sz="1"/>
            </w:tcBorders>
            <w:shd w:fill="EBF3FB" w:val="clear"/>
            <w:tcMar>
              <w:top w:type="dxa" w:w="80"/>
              <w:left w:type="dxa" w:w="100"/>
              <w:bottom w:type="dxa" w:w="80"/>
              <w:right w:type="dxa" w:w="100"/>
            </w:tcMar>
          </w:tcPr>
          <w:p>
            <w:pPr>
              <w:jc w:val="center"/>
            </w:pPr>
            <w:r>
              <w:rPr>
                <w:rFonts w:ascii="Arial" w:cs="Arial" w:eastAsia="Arial" w:hAnsi="Arial"/>
                <w:b w:val="false"/>
                <w:bCs w:val="false"/>
                <w:color w:val="1A2A3A"/>
                <w:sz w:val="20"/>
                <w:szCs w:val="20"/>
              </w:rPr>
              <w:t xml:space="preserve">—</w:t>
            </w:r>
          </w:p>
        </w:tc>
        <w:tc>
          <w:tcPr>
            <w:tcBorders>
              <w:top w:val="single" w:color="BBCFE0" w:sz="1"/>
              <w:left w:val="single" w:color="BBCFE0" w:sz="1"/>
              <w:bottom w:val="single" w:color="BBCFE0" w:sz="1"/>
              <w:right w:val="single" w:color="BBCFE0" w:sz="1"/>
            </w:tcBorders>
            <w:shd w:fill="EBF3FB" w:val="clear"/>
            <w:tcMar>
              <w:top w:type="dxa" w:w="80"/>
              <w:left w:type="dxa" w:w="100"/>
              <w:bottom w:type="dxa" w:w="80"/>
              <w:right w:type="dxa" w:w="100"/>
            </w:tcMar>
          </w:tcPr>
          <w:p>
            <w:pPr>
              <w:jc w:val="center"/>
            </w:pPr>
            <w:r>
              <w:rPr>
                <w:rFonts w:ascii="Arial" w:cs="Arial" w:eastAsia="Arial" w:hAnsi="Arial"/>
                <w:b w:val="false"/>
                <w:bCs w:val="false"/>
                <w:color w:val="1A2A3A"/>
                <w:sz w:val="20"/>
                <w:szCs w:val="20"/>
              </w:rPr>
              <w:t xml:space="preserve">CE</w:t>
            </w:r>
          </w:p>
        </w:tc>
      </w:tr>
      <w:tr>
        <w:tc>
          <w:tcPr>
            <w:tcBorders>
              <w:top w:val="single" w:color="BBCFE0" w:sz="1"/>
              <w:left w:val="single" w:color="BBCFE0" w:sz="1"/>
              <w:bottom w:val="single" w:color="BBCFE0" w:sz="1"/>
              <w:right w:val="single" w:color="BBCFE0" w:sz="1"/>
            </w:tcBorders>
            <w:shd w:fill="FFFFFF" w:val="clear"/>
            <w:tcMar>
              <w:top w:type="dxa" w:w="80"/>
              <w:left w:type="dxa" w:w="100"/>
              <w:bottom w:type="dxa" w:w="80"/>
              <w:right w:type="dxa" w:w="100"/>
            </w:tcMar>
          </w:tcPr>
          <w:p>
            <w:pPr>
              <w:jc w:val="center"/>
            </w:pPr>
            <w:r>
              <w:rPr>
                <w:rFonts w:ascii="Arial" w:cs="Arial" w:eastAsia="Arial" w:hAnsi="Arial"/>
                <w:b w:val="false"/>
                <w:bCs w:val="false"/>
                <w:color w:val="1A2A3A"/>
                <w:sz w:val="20"/>
                <w:szCs w:val="20"/>
              </w:rPr>
              <w:t xml:space="preserve">EfficientNetV2S</w:t>
            </w:r>
          </w:p>
        </w:tc>
        <w:tc>
          <w:tcPr>
            <w:tcBorders>
              <w:top w:val="single" w:color="BBCFE0" w:sz="1"/>
              <w:left w:val="single" w:color="BBCFE0" w:sz="1"/>
              <w:bottom w:val="single" w:color="BBCFE0" w:sz="1"/>
              <w:right w:val="single" w:color="BBCFE0" w:sz="1"/>
            </w:tcBorders>
            <w:shd w:fill="FFFFFF" w:val="clear"/>
            <w:tcMar>
              <w:top w:type="dxa" w:w="80"/>
              <w:left w:type="dxa" w:w="100"/>
              <w:bottom w:type="dxa" w:w="80"/>
              <w:right w:type="dxa" w:w="100"/>
            </w:tcMar>
          </w:tcPr>
          <w:p>
            <w:pPr>
              <w:jc w:val="center"/>
            </w:pPr>
            <w:r>
              <w:rPr>
                <w:rFonts w:ascii="Arial" w:cs="Arial" w:eastAsia="Arial" w:hAnsi="Arial"/>
                <w:b w:val="false"/>
                <w:bCs w:val="false"/>
                <w:color w:val="1A2A3A"/>
                <w:sz w:val="20"/>
                <w:szCs w:val="20"/>
              </w:rPr>
              <w:t xml:space="preserve">92.92%</w:t>
            </w:r>
          </w:p>
        </w:tc>
        <w:tc>
          <w:tcPr>
            <w:tcBorders>
              <w:top w:val="single" w:color="BBCFE0" w:sz="1"/>
              <w:left w:val="single" w:color="BBCFE0" w:sz="1"/>
              <w:bottom w:val="single" w:color="BBCFE0" w:sz="1"/>
              <w:right w:val="single" w:color="BBCFE0" w:sz="1"/>
            </w:tcBorders>
            <w:shd w:fill="FFFFFF" w:val="clear"/>
            <w:tcMar>
              <w:top w:type="dxa" w:w="80"/>
              <w:left w:type="dxa" w:w="100"/>
              <w:bottom w:type="dxa" w:w="80"/>
              <w:right w:type="dxa" w:w="100"/>
            </w:tcMar>
          </w:tcPr>
          <w:p>
            <w:pPr>
              <w:jc w:val="center"/>
            </w:pPr>
            <w:r>
              <w:rPr>
                <w:rFonts w:ascii="Arial" w:cs="Arial" w:eastAsia="Arial" w:hAnsi="Arial"/>
                <w:b w:val="false"/>
                <w:bCs w:val="false"/>
                <w:color w:val="1A2A3A"/>
                <w:sz w:val="20"/>
                <w:szCs w:val="20"/>
              </w:rPr>
              <w:t xml:space="preserve">77.78%</w:t>
            </w:r>
          </w:p>
        </w:tc>
        <w:tc>
          <w:tcPr>
            <w:tcBorders>
              <w:top w:val="single" w:color="BBCFE0" w:sz="1"/>
              <w:left w:val="single" w:color="BBCFE0" w:sz="1"/>
              <w:bottom w:val="single" w:color="BBCFE0" w:sz="1"/>
              <w:right w:val="single" w:color="BBCFE0" w:sz="1"/>
            </w:tcBorders>
            <w:shd w:fill="FFFFFF" w:val="clear"/>
            <w:tcMar>
              <w:top w:type="dxa" w:w="80"/>
              <w:left w:type="dxa" w:w="100"/>
              <w:bottom w:type="dxa" w:w="80"/>
              <w:right w:type="dxa" w:w="100"/>
            </w:tcMar>
          </w:tcPr>
          <w:p>
            <w:pPr>
              <w:jc w:val="center"/>
            </w:pPr>
            <w:r>
              <w:rPr>
                <w:rFonts w:ascii="Arial" w:cs="Arial" w:eastAsia="Arial" w:hAnsi="Arial"/>
                <w:b w:val="false"/>
                <w:bCs w:val="false"/>
                <w:color w:val="1A2A3A"/>
                <w:sz w:val="20"/>
                <w:szCs w:val="20"/>
              </w:rPr>
              <w:t xml:space="preserve">—</w:t>
            </w:r>
          </w:p>
        </w:tc>
        <w:tc>
          <w:tcPr>
            <w:tcBorders>
              <w:top w:val="single" w:color="BBCFE0" w:sz="1"/>
              <w:left w:val="single" w:color="BBCFE0" w:sz="1"/>
              <w:bottom w:val="single" w:color="BBCFE0" w:sz="1"/>
              <w:right w:val="single" w:color="BBCFE0" w:sz="1"/>
            </w:tcBorders>
            <w:shd w:fill="FFFFFF" w:val="clear"/>
            <w:tcMar>
              <w:top w:type="dxa" w:w="80"/>
              <w:left w:type="dxa" w:w="100"/>
              <w:bottom w:type="dxa" w:w="80"/>
              <w:right w:type="dxa" w:w="100"/>
            </w:tcMar>
          </w:tcPr>
          <w:p>
            <w:pPr>
              <w:jc w:val="center"/>
            </w:pPr>
            <w:r>
              <w:rPr>
                <w:rFonts w:ascii="Arial" w:cs="Arial" w:eastAsia="Arial" w:hAnsi="Arial"/>
                <w:b w:val="false"/>
                <w:bCs w:val="false"/>
                <w:color w:val="1A2A3A"/>
                <w:sz w:val="20"/>
                <w:szCs w:val="20"/>
              </w:rPr>
              <w:t xml:space="preserve">CE</w:t>
            </w:r>
          </w:p>
        </w:tc>
      </w:tr>
      <w:tr>
        <w:tc>
          <w:tcPr>
            <w:tcBorders>
              <w:top w:val="single" w:color="BBCFE0" w:sz="1"/>
              <w:left w:val="single" w:color="BBCFE0" w:sz="1"/>
              <w:bottom w:val="single" w:color="BBCFE0" w:sz="1"/>
              <w:right w:val="single" w:color="BBCFE0" w:sz="1"/>
            </w:tcBorders>
            <w:shd w:fill="EBF3FB" w:val="clear"/>
            <w:tcMar>
              <w:top w:type="dxa" w:w="80"/>
              <w:left w:type="dxa" w:w="100"/>
              <w:bottom w:type="dxa" w:w="80"/>
              <w:right w:type="dxa" w:w="100"/>
            </w:tcMar>
          </w:tcPr>
          <w:p>
            <w:pPr>
              <w:jc w:val="center"/>
            </w:pPr>
            <w:r>
              <w:rPr>
                <w:rFonts w:ascii="Arial" w:cs="Arial" w:eastAsia="Arial" w:hAnsi="Arial"/>
                <w:b w:val="false"/>
                <w:bCs w:val="false"/>
                <w:color w:val="1A2A3A"/>
                <w:sz w:val="20"/>
                <w:szCs w:val="20"/>
              </w:rPr>
              <w:t xml:space="preserve">DenseNet121</w:t>
            </w:r>
          </w:p>
        </w:tc>
        <w:tc>
          <w:tcPr>
            <w:tcBorders>
              <w:top w:val="single" w:color="BBCFE0" w:sz="1"/>
              <w:left w:val="single" w:color="BBCFE0" w:sz="1"/>
              <w:bottom w:val="single" w:color="BBCFE0" w:sz="1"/>
              <w:right w:val="single" w:color="BBCFE0" w:sz="1"/>
            </w:tcBorders>
            <w:shd w:fill="EBF3FB" w:val="clear"/>
            <w:tcMar>
              <w:top w:type="dxa" w:w="80"/>
              <w:left w:type="dxa" w:w="100"/>
              <w:bottom w:type="dxa" w:w="80"/>
              <w:right w:type="dxa" w:w="100"/>
            </w:tcMar>
          </w:tcPr>
          <w:p>
            <w:pPr>
              <w:jc w:val="center"/>
            </w:pPr>
            <w:r>
              <w:rPr>
                <w:rFonts w:ascii="Arial" w:cs="Arial" w:eastAsia="Arial" w:hAnsi="Arial"/>
                <w:b w:val="false"/>
                <w:bCs w:val="false"/>
                <w:color w:val="1A2A3A"/>
                <w:sz w:val="20"/>
                <w:szCs w:val="20"/>
              </w:rPr>
              <w:t xml:space="preserve">83.19%</w:t>
            </w:r>
          </w:p>
        </w:tc>
        <w:tc>
          <w:tcPr>
            <w:tcBorders>
              <w:top w:val="single" w:color="BBCFE0" w:sz="1"/>
              <w:left w:val="single" w:color="BBCFE0" w:sz="1"/>
              <w:bottom w:val="single" w:color="BBCFE0" w:sz="1"/>
              <w:right w:val="single" w:color="BBCFE0" w:sz="1"/>
            </w:tcBorders>
            <w:shd w:fill="EBF3FB" w:val="clear"/>
            <w:tcMar>
              <w:top w:type="dxa" w:w="80"/>
              <w:left w:type="dxa" w:w="100"/>
              <w:bottom w:type="dxa" w:w="80"/>
              <w:right w:type="dxa" w:w="100"/>
            </w:tcMar>
          </w:tcPr>
          <w:p>
            <w:pPr>
              <w:jc w:val="center"/>
            </w:pPr>
            <w:r>
              <w:rPr>
                <w:rFonts w:ascii="Arial" w:cs="Arial" w:eastAsia="Arial" w:hAnsi="Arial"/>
                <w:b w:val="false"/>
                <w:bCs w:val="false"/>
                <w:color w:val="1A2A3A"/>
                <w:sz w:val="20"/>
                <w:szCs w:val="20"/>
              </w:rPr>
              <w:t xml:space="preserve">74.36%</w:t>
            </w:r>
          </w:p>
        </w:tc>
        <w:tc>
          <w:tcPr>
            <w:tcBorders>
              <w:top w:val="single" w:color="BBCFE0" w:sz="1"/>
              <w:left w:val="single" w:color="BBCFE0" w:sz="1"/>
              <w:bottom w:val="single" w:color="BBCFE0" w:sz="1"/>
              <w:right w:val="single" w:color="BBCFE0" w:sz="1"/>
            </w:tcBorders>
            <w:shd w:fill="EBF3FB" w:val="clear"/>
            <w:tcMar>
              <w:top w:type="dxa" w:w="80"/>
              <w:left w:type="dxa" w:w="100"/>
              <w:bottom w:type="dxa" w:w="80"/>
              <w:right w:type="dxa" w:w="100"/>
            </w:tcMar>
          </w:tcPr>
          <w:p>
            <w:pPr>
              <w:jc w:val="center"/>
            </w:pPr>
            <w:r>
              <w:rPr>
                <w:rFonts w:ascii="Arial" w:cs="Arial" w:eastAsia="Arial" w:hAnsi="Arial"/>
                <w:b w:val="false"/>
                <w:bCs w:val="false"/>
                <w:color w:val="1A2A3A"/>
                <w:sz w:val="20"/>
                <w:szCs w:val="20"/>
              </w:rPr>
              <w:t xml:space="preserve">—</w:t>
            </w:r>
          </w:p>
        </w:tc>
        <w:tc>
          <w:tcPr>
            <w:tcBorders>
              <w:top w:val="single" w:color="BBCFE0" w:sz="1"/>
              <w:left w:val="single" w:color="BBCFE0" w:sz="1"/>
              <w:bottom w:val="single" w:color="BBCFE0" w:sz="1"/>
              <w:right w:val="single" w:color="BBCFE0" w:sz="1"/>
            </w:tcBorders>
            <w:shd w:fill="EBF3FB" w:val="clear"/>
            <w:tcMar>
              <w:top w:type="dxa" w:w="80"/>
              <w:left w:type="dxa" w:w="100"/>
              <w:bottom w:type="dxa" w:w="80"/>
              <w:right w:type="dxa" w:w="100"/>
            </w:tcMar>
          </w:tcPr>
          <w:p>
            <w:pPr>
              <w:jc w:val="center"/>
            </w:pPr>
            <w:r>
              <w:rPr>
                <w:rFonts w:ascii="Arial" w:cs="Arial" w:eastAsia="Arial" w:hAnsi="Arial"/>
                <w:b w:val="false"/>
                <w:bCs w:val="false"/>
                <w:color w:val="1A2A3A"/>
                <w:sz w:val="20"/>
                <w:szCs w:val="20"/>
              </w:rPr>
              <w:t xml:space="preserve">CE</w:t>
            </w:r>
          </w:p>
        </w:tc>
      </w:tr>
      <w:tr>
        <w:tc>
          <w:tcPr>
            <w:tcBorders>
              <w:top w:val="single" w:color="BBCFE0" w:sz="1"/>
              <w:left w:val="single" w:color="BBCFE0" w:sz="1"/>
              <w:bottom w:val="single" w:color="BBCFE0" w:sz="1"/>
              <w:right w:val="single" w:color="BBCFE0" w:sz="1"/>
            </w:tcBorders>
            <w:shd w:fill="E8F8F0" w:val="clear"/>
            <w:tcMar>
              <w:top w:type="dxa" w:w="80"/>
              <w:left w:type="dxa" w:w="100"/>
              <w:bottom w:type="dxa" w:w="80"/>
              <w:right w:type="dxa" w:w="100"/>
            </w:tcMar>
          </w:tcPr>
          <w:p>
            <w:pPr>
              <w:jc w:val="center"/>
            </w:pPr>
            <w:r>
              <w:rPr>
                <w:rFonts w:ascii="Arial" w:cs="Arial" w:eastAsia="Arial" w:hAnsi="Arial"/>
                <w:b/>
                <w:bCs/>
                <w:color w:val="27AE60"/>
                <w:sz w:val="20"/>
                <w:szCs w:val="20"/>
              </w:rPr>
              <w:t xml:space="preserve">EfficientNetV2S + CORN ★</w:t>
            </w:r>
          </w:p>
        </w:tc>
        <w:tc>
          <w:tcPr>
            <w:tcBorders>
              <w:top w:val="single" w:color="BBCFE0" w:sz="1"/>
              <w:left w:val="single" w:color="BBCFE0" w:sz="1"/>
              <w:bottom w:val="single" w:color="BBCFE0" w:sz="1"/>
              <w:right w:val="single" w:color="BBCFE0" w:sz="1"/>
            </w:tcBorders>
            <w:shd w:fill="E8F8F0" w:val="clear"/>
            <w:tcMar>
              <w:top w:type="dxa" w:w="80"/>
              <w:left w:type="dxa" w:w="100"/>
              <w:bottom w:type="dxa" w:w="80"/>
              <w:right w:type="dxa" w:w="100"/>
            </w:tcMar>
          </w:tcPr>
          <w:p>
            <w:pPr>
              <w:jc w:val="center"/>
            </w:pPr>
            <w:r>
              <w:rPr>
                <w:rFonts w:ascii="Arial" w:cs="Arial" w:eastAsia="Arial" w:hAnsi="Arial"/>
                <w:b/>
                <w:bCs/>
                <w:color w:val="27AE60"/>
                <w:sz w:val="20"/>
                <w:szCs w:val="20"/>
              </w:rPr>
              <w:t xml:space="preserve">88.03%</w:t>
            </w:r>
          </w:p>
        </w:tc>
        <w:tc>
          <w:tcPr>
            <w:tcBorders>
              <w:top w:val="single" w:color="BBCFE0" w:sz="1"/>
              <w:left w:val="single" w:color="BBCFE0" w:sz="1"/>
              <w:bottom w:val="single" w:color="BBCFE0" w:sz="1"/>
              <w:right w:val="single" w:color="BBCFE0" w:sz="1"/>
            </w:tcBorders>
            <w:shd w:fill="E8F8F0" w:val="clear"/>
            <w:tcMar>
              <w:top w:type="dxa" w:w="80"/>
              <w:left w:type="dxa" w:w="100"/>
              <w:bottom w:type="dxa" w:w="80"/>
              <w:right w:type="dxa" w:w="100"/>
            </w:tcMar>
          </w:tcPr>
          <w:p>
            <w:pPr>
              <w:jc w:val="center"/>
            </w:pPr>
            <w:r>
              <w:rPr>
                <w:rFonts w:ascii="Arial" w:cs="Arial" w:eastAsia="Arial" w:hAnsi="Arial"/>
                <w:b/>
                <w:bCs/>
                <w:color w:val="27AE60"/>
                <w:sz w:val="20"/>
                <w:szCs w:val="20"/>
              </w:rPr>
              <w:t xml:space="preserve">88.03%</w:t>
            </w:r>
          </w:p>
        </w:tc>
        <w:tc>
          <w:tcPr>
            <w:tcBorders>
              <w:top w:val="single" w:color="BBCFE0" w:sz="1"/>
              <w:left w:val="single" w:color="BBCFE0" w:sz="1"/>
              <w:bottom w:val="single" w:color="BBCFE0" w:sz="1"/>
              <w:right w:val="single" w:color="BBCFE0" w:sz="1"/>
            </w:tcBorders>
            <w:shd w:fill="E8F8F0" w:val="clear"/>
            <w:tcMar>
              <w:top w:type="dxa" w:w="80"/>
              <w:left w:type="dxa" w:w="100"/>
              <w:bottom w:type="dxa" w:w="80"/>
              <w:right w:type="dxa" w:w="100"/>
            </w:tcMar>
          </w:tcPr>
          <w:p>
            <w:pPr>
              <w:jc w:val="center"/>
            </w:pPr>
            <w:r>
              <w:rPr>
                <w:rFonts w:ascii="Arial" w:cs="Arial" w:eastAsia="Arial" w:hAnsi="Arial"/>
                <w:b/>
                <w:bCs/>
                <w:color w:val="27AE60"/>
                <w:sz w:val="20"/>
                <w:szCs w:val="20"/>
              </w:rPr>
              <w:t xml:space="preserve">0.1282</w:t>
            </w:r>
          </w:p>
        </w:tc>
        <w:tc>
          <w:tcPr>
            <w:tcBorders>
              <w:top w:val="single" w:color="BBCFE0" w:sz="1"/>
              <w:left w:val="single" w:color="BBCFE0" w:sz="1"/>
              <w:bottom w:val="single" w:color="BBCFE0" w:sz="1"/>
              <w:right w:val="single" w:color="BBCFE0" w:sz="1"/>
            </w:tcBorders>
            <w:shd w:fill="E8F8F0" w:val="clear"/>
            <w:tcMar>
              <w:top w:type="dxa" w:w="80"/>
              <w:left w:type="dxa" w:w="100"/>
              <w:bottom w:type="dxa" w:w="80"/>
              <w:right w:type="dxa" w:w="100"/>
            </w:tcMar>
          </w:tcPr>
          <w:p>
            <w:pPr>
              <w:jc w:val="center"/>
            </w:pPr>
            <w:r>
              <w:rPr>
                <w:rFonts w:ascii="Arial" w:cs="Arial" w:eastAsia="Arial" w:hAnsi="Arial"/>
                <w:b/>
                <w:bCs/>
                <w:color w:val="27AE60"/>
                <w:sz w:val="20"/>
                <w:szCs w:val="20"/>
              </w:rPr>
              <w:t xml:space="preserve">CORN</w:t>
            </w:r>
          </w:p>
        </w:tc>
      </w:tr>
    </w:tbl>
    <w:p>
      <w:pPr>
        <w:pStyle w:val="ListParagraph"/>
        <w:numPr>
          <w:ilvl w:val="0"/>
          <w:numId w:val="2"/>
        </w:numPr>
        <w:spacing w:after="30" w:before="30"/>
      </w:pPr>
      <w:r>
        <w:rPr>
          <w:rFonts w:ascii="Arial" w:cs="Arial" w:eastAsia="Arial" w:hAnsi="Arial"/>
          <w:b w:val="false"/>
          <w:bCs w:val="false"/>
          <w:color w:val="1A2A3A"/>
          <w:sz w:val="26"/>
          <w:szCs w:val="26"/>
        </w:rPr>
        <w:t xml:space="preserve">Single Infected: Precision = 1.00 · Recall = 1.00 · F1 = 1.00 (perfect classification).</w:t>
      </w:r>
    </w:p>
    <w:p>
      <w:pPr>
        <w:pStyle w:val="ListParagraph"/>
        <w:numPr>
          <w:ilvl w:val="0"/>
          <w:numId w:val="2"/>
        </w:numPr>
        <w:spacing w:after="30" w:before="30"/>
      </w:pPr>
      <w:r>
        <w:rPr>
          <w:rFonts w:ascii="Arial" w:cs="Arial" w:eastAsia="Arial" w:hAnsi="Arial"/>
          <w:b w:val="false"/>
          <w:bCs w:val="false"/>
          <w:color w:val="1A2A3A"/>
          <w:sz w:val="26"/>
          <w:szCs w:val="26"/>
        </w:rPr>
        <w:t xml:space="preserve">CORN loss outperforms softmax by +10.25% on test set.</w:t>
      </w:r>
    </w:p>
    <w:p>
      <w:pPr>
        <w:pStyle w:val="ListParagraph"/>
        <w:numPr>
          <w:ilvl w:val="0"/>
          <w:numId w:val="2"/>
        </w:numPr>
        <w:spacing w:after="30" w:before="30"/>
      </w:pPr>
      <w:r>
        <w:rPr>
          <w:rFonts w:ascii="Arial" w:cs="Arial" w:eastAsia="Arial" w:hAnsi="Arial"/>
          <w:b w:val="false"/>
          <w:bCs w:val="false"/>
          <w:color w:val="1A2A3A"/>
          <w:sz w:val="26"/>
          <w:szCs w:val="26"/>
        </w:rPr>
        <w:t xml:space="preserve">Grad-CAM confirms model focuses on mold-affected bag regions — not background.</w:t>
      </w:r>
    </w:p>
    <w:p>
      <w:pPr>
        <w:pBdr>
          <w:bottom w:val="single" w:color="B0C4DE" w:sz="6" w:space="1"/>
        </w:pBdr>
        <w:spacing w:after="200" w:before="200"/>
      </w:pPr>
      <w:r>
        <w:t xml:space="preserve"/>
      </w:r>
    </w:p>
    <w:p>
      <w:pPr>
        <w:shd w:fill="1B3A5C" w:val="clear"/>
        <w:spacing w:after="0" w:before="320"/>
      </w:pPr>
      <w:r>
        <w:rPr>
          <w:rFonts w:ascii="Arial" w:cs="Arial" w:eastAsia="Arial" w:hAnsi="Arial"/>
          <w:b/>
          <w:bCs/>
          <w:color w:val="FFFFFF"/>
          <w:sz w:val="22"/>
          <w:szCs w:val="22"/>
        </w:rPr>
        <w:t xml:space="preserve">  ▌ MIDDLE COLUMN  →  "Models"  </w:t>
      </w:r>
    </w:p>
    <w:p>
      <w:pPr>
        <w:pBdr>
          <w:left w:val="single" w:color="2E6DA4" w:sz="8" w:space="6"/>
        </w:pBdr>
        <w:shd w:fill="E8F4FD" w:val="clear"/>
        <w:spacing w:after="120" w:before="0"/>
      </w:pPr>
      <w:r>
        <w:rPr>
          <w:rFonts w:ascii="Arial" w:cs="Arial" w:eastAsia="Arial" w:hAnsi="Arial"/>
          <w:i/>
          <w:iCs/>
          <w:color w:val="4A6080"/>
          <w:sz w:val="18"/>
          <w:szCs w:val="18"/>
        </w:rPr>
        <w:t xml:space="preserve">  Paste into the Models box at the bottom of middle column</w:t>
      </w:r>
    </w:p>
    <w:p>
      <w:pPr>
        <w:spacing w:after="50" w:before="100"/>
      </w:pPr>
      <w:r>
        <w:rPr>
          <w:rFonts w:ascii="Arial" w:cs="Arial" w:eastAsia="Arial" w:hAnsi="Arial"/>
          <w:b/>
          <w:bCs/>
          <w:color w:val="2E6DA4"/>
          <w:sz w:val="28"/>
          <w:szCs w:val="28"/>
        </w:rPr>
        <w:t xml:space="preserve">Models Evaluated</w:t>
      </w:r>
    </w:p>
    <w:p>
      <w:pPr>
        <w:pStyle w:val="ListParagraph"/>
        <w:numPr>
          <w:ilvl w:val="0"/>
          <w:numId w:val="2"/>
        </w:numPr>
        <w:spacing w:after="30" w:before="30"/>
      </w:pPr>
      <w:r>
        <w:rPr>
          <w:rFonts w:ascii="Arial" w:cs="Arial" w:eastAsia="Arial" w:hAnsi="Arial"/>
          <w:b w:val="false"/>
          <w:bCs w:val="false"/>
          <w:color w:val="1A2A3A"/>
          <w:sz w:val="26"/>
          <w:szCs w:val="26"/>
        </w:rPr>
        <w:t xml:space="preserve">Custom CNN v2 — CPU baseline (Phase 1): 85.84% validation accuracy.</w:t>
      </w:r>
    </w:p>
    <w:p>
      <w:pPr>
        <w:pStyle w:val="ListParagraph"/>
        <w:numPr>
          <w:ilvl w:val="0"/>
          <w:numId w:val="2"/>
        </w:numPr>
        <w:spacing w:after="30" w:before="30"/>
      </w:pPr>
      <w:r>
        <w:rPr>
          <w:rFonts w:ascii="Arial" w:cs="Arial" w:eastAsia="Arial" w:hAnsi="Arial"/>
          <w:b w:val="false"/>
          <w:bCs w:val="false"/>
          <w:color w:val="1A2A3A"/>
          <w:sz w:val="26"/>
          <w:szCs w:val="26"/>
        </w:rPr>
        <w:t xml:space="preserve">EfficientNetV2S + Softmax — GPU (Phase 3B): 92.92% val / 77.78% test.</w:t>
      </w:r>
    </w:p>
    <w:p>
      <w:pPr>
        <w:pStyle w:val="ListParagraph"/>
        <w:numPr>
          <w:ilvl w:val="0"/>
          <w:numId w:val="2"/>
        </w:numPr>
        <w:spacing w:after="30" w:before="30"/>
      </w:pPr>
      <w:r>
        <w:rPr>
          <w:rFonts w:ascii="Arial" w:cs="Arial" w:eastAsia="Arial" w:hAnsi="Arial"/>
          <w:b w:val="false"/>
          <w:bCs w:val="false"/>
          <w:color w:val="1A2A3A"/>
          <w:sz w:val="26"/>
          <w:szCs w:val="26"/>
        </w:rPr>
        <w:t xml:space="preserve">DenseNet121 + Softmax — GPU (Phase 3B): 83.19% val / 74.36% test.</w:t>
      </w:r>
    </w:p>
    <w:p>
      <w:pPr>
        <w:pStyle w:val="ListParagraph"/>
        <w:numPr>
          <w:ilvl w:val="0"/>
          <w:numId w:val="2"/>
        </w:numPr>
        <w:spacing w:after="30" w:before="30"/>
      </w:pPr>
      <w:r>
        <w:rPr>
          <w:rFonts w:ascii="Arial" w:cs="Arial" w:eastAsia="Arial" w:hAnsi="Arial"/>
          <w:b w:val="false"/>
          <w:bCs w:val="false"/>
          <w:color w:val="1A2A3A"/>
          <w:sz w:val="26"/>
          <w:szCs w:val="26"/>
        </w:rPr>
        <w:t xml:space="preserve">LiteViT + CORN — GPU (Phase 3C): 41.03% — NaN instability; gradient clipping applied.</w:t>
      </w:r>
    </w:p>
    <w:p>
      <w:pPr>
        <w:pStyle w:val="ListParagraph"/>
        <w:numPr>
          <w:ilvl w:val="0"/>
          <w:numId w:val="2"/>
        </w:numPr>
        <w:spacing w:after="30" w:before="30"/>
      </w:pPr>
      <w:r>
        <w:rPr>
          <w:rFonts w:ascii="Arial" w:cs="Arial" w:eastAsia="Arial" w:hAnsi="Arial"/>
          <w:b w:val="false"/>
          <w:bCs w:val="false"/>
          <w:color w:val="1A2A3A"/>
          <w:sz w:val="26"/>
          <w:szCs w:val="26"/>
        </w:rPr>
        <w:t xml:space="preserve">EfficientNetV2S + CORN — GPU (Phase 3C): 88.03% ★ BEST MODEL SELECTED.</w:t>
      </w:r>
    </w:p>
    <w:p>
      <w:pPr>
        <w:pStyle w:val="ListParagraph"/>
        <w:numPr>
          <w:ilvl w:val="0"/>
          <w:numId w:val="2"/>
        </w:numPr>
        <w:spacing w:after="30" w:before="30"/>
      </w:pPr>
      <w:r>
        <w:rPr>
          <w:rFonts w:ascii="Arial" w:cs="Arial" w:eastAsia="Arial" w:hAnsi="Arial"/>
          <w:b w:val="false"/>
          <w:bCs w:val="false"/>
          <w:color w:val="1A2A3A"/>
          <w:sz w:val="26"/>
          <w:szCs w:val="26"/>
        </w:rPr>
        <w:t xml:space="preserve">EfficientNetV2S + CORN + Diffusion — GPU (Phase 3D): 86.32% — degraded by 64×64 blur.</w:t>
      </w:r>
    </w:p>
    <w:p>
      <w:pPr>
        <w:spacing w:after="50" w:before="100"/>
      </w:pPr>
      <w:r>
        <w:rPr>
          <w:rFonts w:ascii="Arial" w:cs="Arial" w:eastAsia="Arial" w:hAnsi="Arial"/>
          <w:b/>
          <w:bCs/>
          <w:color w:val="2E6DA4"/>
          <w:sz w:val="28"/>
          <w:szCs w:val="28"/>
        </w:rPr>
        <w:t xml:space="preserve">Final Deployed Model</w:t>
      </w:r>
    </w:p>
    <w:p>
      <w:pPr>
        <w:pBdr>
          <w:left w:val="single" w:color="27AE60" w:sz="8" w:space="6"/>
        </w:pBdr>
        <w:shd w:fill="E8F8F0" w:val="clear"/>
        <w:spacing w:after="80" w:before="80"/>
      </w:pPr>
      <w:r>
        <w:rPr>
          <w:rFonts w:ascii="Arial" w:cs="Arial" w:eastAsia="Arial" w:hAnsi="Arial"/>
          <w:b/>
          <w:bCs/>
          <w:color w:val="27AE60"/>
          <w:sz w:val="28"/>
          <w:szCs w:val="28"/>
        </w:rPr>
        <w:t xml:space="preserve">  EfficientNetV2S + CORN Loss</w:t>
      </w:r>
      <w:r>
        <w:rPr>
          <w:rFonts w:ascii="Arial" w:cs="Arial" w:eastAsia="Arial" w:hAnsi="Arial"/>
          <w:color w:val="1A2A3A"/>
          <w:sz w:val="24"/>
          <w:szCs w:val="24"/>
        </w:rPr>
        <w:t xml:space="preserve">  |  2-stage fine-tuning  |  88.03% test  |  MAE 0.1282</w:t>
      </w:r>
    </w:p>
    <w:p>
      <w:r>
        <w:rPr>
          <w:sz w:val="20"/>
          <w:szCs w:val="20"/>
        </w:rPr>
        <w:t xml:space="preserve"/>
      </w:r>
    </w:p>
    <w:p>
      <w:r>
        <w:rPr>
          <w:sz w:val="20"/>
          <w:szCs w:val="20"/>
        </w:rPr>
        <w:t xml:space="preserve"/>
      </w:r>
    </w:p>
    <w:p>
      <w:pPr>
        <w:shd w:fill="D6E4F0" w:val="clear"/>
        <w:jc w:val="center"/>
      </w:pPr>
      <w:r>
        <w:rPr>
          <w:rFonts w:ascii="Arial" w:cs="Arial" w:eastAsia="Arial" w:hAnsi="Arial"/>
          <w:b/>
          <w:bCs/>
          <w:color w:val="2E6DA4"/>
          <w:sz w:val="28"/>
          <w:szCs w:val="28"/>
        </w:rPr>
        <w:t xml:space="preserve">━━━━━━━━━━  RIGHT COLUMN  ━━━━━━━━━━</w:t>
      </w:r>
    </w:p>
    <w:p>
      <w:pPr>
        <w:shd w:fill="1B3A5C" w:val="clear"/>
        <w:spacing w:after="0" w:before="320"/>
      </w:pPr>
      <w:r>
        <w:rPr>
          <w:rFonts w:ascii="Arial" w:cs="Arial" w:eastAsia="Arial" w:hAnsi="Arial"/>
          <w:b/>
          <w:bCs/>
          <w:color w:val="FFFFFF"/>
          <w:sz w:val="22"/>
          <w:szCs w:val="22"/>
        </w:rPr>
        <w:t xml:space="preserve">  ▌ RIGHT COLUMN  →  "Conclusion"  </w:t>
      </w:r>
    </w:p>
    <w:p>
      <w:pPr>
        <w:pBdr>
          <w:left w:val="single" w:color="2E6DA4" w:sz="8" w:space="6"/>
        </w:pBdr>
        <w:shd w:fill="E8F4FD" w:val="clear"/>
        <w:spacing w:after="120" w:before="0"/>
      </w:pPr>
      <w:r>
        <w:rPr>
          <w:rFonts w:ascii="Arial" w:cs="Arial" w:eastAsia="Arial" w:hAnsi="Arial"/>
          <w:i/>
          <w:iCs/>
          <w:color w:val="4A6080"/>
          <w:sz w:val="18"/>
          <w:szCs w:val="18"/>
        </w:rPr>
        <w:t xml:space="preserve">  Paste into the Conclusion box (top of right column)</w:t>
      </w:r>
    </w:p>
    <w:p>
      <w:pPr>
        <w:pStyle w:val="ListParagraph"/>
        <w:numPr>
          <w:ilvl w:val="0"/>
          <w:numId w:val="2"/>
        </w:numPr>
        <w:spacing w:after="30" w:before="30"/>
      </w:pPr>
      <w:r>
        <w:rPr>
          <w:rFonts w:ascii="Arial" w:cs="Arial" w:eastAsia="Arial" w:hAnsi="Arial"/>
          <w:b/>
          <w:bCs/>
          <w:color w:val="2E6DA4"/>
          <w:sz w:val="26"/>
          <w:szCs w:val="26"/>
        </w:rPr>
        <w:t xml:space="preserve">We present the first ordinal contamination grading system for mushroom substrate bags — a significant advance over binary detection.</w:t>
      </w:r>
    </w:p>
    <w:p>
      <w:pPr>
        <w:pStyle w:val="ListParagraph"/>
        <w:numPr>
          <w:ilvl w:val="0"/>
          <w:numId w:val="2"/>
        </w:numPr>
        <w:spacing w:after="30" w:before="30"/>
      </w:pPr>
      <w:r>
        <w:rPr>
          <w:rFonts w:ascii="Arial" w:cs="Arial" w:eastAsia="Arial" w:hAnsi="Arial"/>
          <w:b w:val="false"/>
          <w:bCs w:val="false"/>
          <w:color w:val="1A2A3A"/>
          <w:sz w:val="26"/>
          <w:szCs w:val="26"/>
        </w:rPr>
        <w:t xml:space="preserve">EfficientNetV2S + CORN loss achieves 88.03% test accuracy and MAE 0.1282 — outperforming all softmax baselines by +10.25%.</w:t>
      </w:r>
    </w:p>
    <w:p>
      <w:pPr>
        <w:pStyle w:val="ListParagraph"/>
        <w:numPr>
          <w:ilvl w:val="0"/>
          <w:numId w:val="2"/>
        </w:numPr>
        <w:spacing w:after="30" w:before="30"/>
      </w:pPr>
      <w:r>
        <w:rPr>
          <w:rFonts w:ascii="Arial" w:cs="Arial" w:eastAsia="Arial" w:hAnsi="Arial"/>
          <w:b w:val="false"/>
          <w:bCs w:val="false"/>
          <w:color w:val="1A2A3A"/>
          <w:sz w:val="26"/>
          <w:szCs w:val="26"/>
        </w:rPr>
        <w:t xml:space="preserve">The novel Mixed Infected class enables graded, severity-aware disease management not possible with prior binary systems.</w:t>
      </w:r>
    </w:p>
    <w:p>
      <w:pPr>
        <w:pStyle w:val="ListParagraph"/>
        <w:numPr>
          <w:ilvl w:val="0"/>
          <w:numId w:val="2"/>
        </w:numPr>
        <w:spacing w:after="30" w:before="30"/>
      </w:pPr>
      <w:r>
        <w:rPr>
          <w:rFonts w:ascii="Arial" w:cs="Arial" w:eastAsia="Arial" w:hAnsi="Arial"/>
          <w:b w:val="false"/>
          <w:bCs w:val="false"/>
          <w:color w:val="1A2A3A"/>
          <w:sz w:val="26"/>
          <w:szCs w:val="26"/>
        </w:rPr>
        <w:t xml:space="preserve">Grad-CAM heatmaps provide transparent, trustworthy AI decisions — critical for farmer adoption.</w:t>
      </w:r>
    </w:p>
    <w:p>
      <w:pPr>
        <w:pStyle w:val="ListParagraph"/>
        <w:numPr>
          <w:ilvl w:val="0"/>
          <w:numId w:val="2"/>
        </w:numPr>
        <w:spacing w:after="30" w:before="30"/>
      </w:pPr>
      <w:r>
        <w:rPr>
          <w:rFonts w:ascii="Arial" w:cs="Arial" w:eastAsia="Arial" w:hAnsi="Arial"/>
          <w:b w:val="false"/>
          <w:bCs w:val="false"/>
          <w:color w:val="1A2A3A"/>
          <w:sz w:val="26"/>
          <w:szCs w:val="26"/>
        </w:rPr>
        <w:t xml:space="preserve">Negative diffusion result (DDPM 64×64 → 86.32%) demonstrates image quality outweighs synthetic quantity in small agricultural datasets.</w:t>
      </w:r>
    </w:p>
    <w:p>
      <w:pPr>
        <w:pStyle w:val="ListParagraph"/>
        <w:numPr>
          <w:ilvl w:val="0"/>
          <w:numId w:val="2"/>
        </w:numPr>
        <w:spacing w:after="30" w:before="30"/>
      </w:pPr>
      <w:r>
        <w:rPr>
          <w:rFonts w:ascii="Arial" w:cs="Arial" w:eastAsia="Arial" w:hAnsi="Arial"/>
          <w:b w:val="false"/>
          <w:bCs w:val="false"/>
          <w:color w:val="1A2A3A"/>
          <w:sz w:val="26"/>
          <w:szCs w:val="26"/>
        </w:rPr>
        <w:t xml:space="preserve">The deployed web app is publicly accessible via live tunnel and ready for real-world field testing.</w:t>
      </w:r>
    </w:p>
    <w:p>
      <w:pPr>
        <w:pBdr>
          <w:bottom w:val="single" w:color="B0C4DE" w:sz="6" w:space="1"/>
        </w:pBdr>
        <w:spacing w:after="200" w:before="200"/>
      </w:pPr>
      <w:r>
        <w:t xml:space="preserve"/>
      </w:r>
    </w:p>
    <w:p>
      <w:pPr>
        <w:shd w:fill="1B3A5C" w:val="clear"/>
        <w:spacing w:after="0" w:before="320"/>
      </w:pPr>
      <w:r>
        <w:rPr>
          <w:rFonts w:ascii="Arial" w:cs="Arial" w:eastAsia="Arial" w:hAnsi="Arial"/>
          <w:b/>
          <w:bCs/>
          <w:color w:val="FFFFFF"/>
          <w:sz w:val="22"/>
          <w:szCs w:val="22"/>
        </w:rPr>
        <w:t xml:space="preserve">  ▌ RIGHT COLUMN  →  "Recommendations"  </w:t>
      </w:r>
    </w:p>
    <w:p>
      <w:pPr>
        <w:pBdr>
          <w:left w:val="single" w:color="2E6DA4" w:sz="8" w:space="6"/>
        </w:pBdr>
        <w:shd w:fill="E8F4FD" w:val="clear"/>
        <w:spacing w:after="120" w:before="0"/>
      </w:pPr>
      <w:r>
        <w:rPr>
          <w:rFonts w:ascii="Arial" w:cs="Arial" w:eastAsia="Arial" w:hAnsi="Arial"/>
          <w:i/>
          <w:iCs/>
          <w:color w:val="4A6080"/>
          <w:sz w:val="18"/>
          <w:szCs w:val="18"/>
        </w:rPr>
        <w:t xml:space="preserve">  Paste into the Recommendations box</w:t>
      </w:r>
    </w:p>
    <w:p>
      <w:pPr>
        <w:pStyle w:val="ListParagraph"/>
        <w:numPr>
          <w:ilvl w:val="0"/>
          <w:numId w:val="2"/>
        </w:numPr>
        <w:spacing w:after="30" w:before="30"/>
      </w:pPr>
      <w:r>
        <w:rPr>
          <w:rFonts w:ascii="Arial" w:cs="Arial" w:eastAsia="Arial" w:hAnsi="Arial"/>
          <w:b w:val="false"/>
          <w:bCs w:val="false"/>
          <w:color w:val="1A2A3A"/>
          <w:sz w:val="26"/>
          <w:szCs w:val="26"/>
        </w:rPr>
        <w:t xml:space="preserve">Expand dataset to 5,000+ images from multiple farms and lighting conditions for better generalisation.</w:t>
      </w:r>
    </w:p>
    <w:p>
      <w:pPr>
        <w:pStyle w:val="ListParagraph"/>
        <w:numPr>
          <w:ilvl w:val="0"/>
          <w:numId w:val="2"/>
        </w:numPr>
        <w:spacing w:after="30" w:before="30"/>
      </w:pPr>
      <w:r>
        <w:rPr>
          <w:rFonts w:ascii="Arial" w:cs="Arial" w:eastAsia="Arial" w:hAnsi="Arial"/>
          <w:b w:val="false"/>
          <w:bCs w:val="false"/>
          <w:color w:val="1A2A3A"/>
          <w:sz w:val="26"/>
          <w:szCs w:val="26"/>
        </w:rPr>
        <w:t xml:space="preserve">Train DDPM at 256×256 or 512×512 resolution to avoid upscaling blur artifacts.</w:t>
      </w:r>
    </w:p>
    <w:p>
      <w:pPr>
        <w:pStyle w:val="ListParagraph"/>
        <w:numPr>
          <w:ilvl w:val="0"/>
          <w:numId w:val="2"/>
        </w:numPr>
        <w:spacing w:after="30" w:before="30"/>
      </w:pPr>
      <w:r>
        <w:rPr>
          <w:rFonts w:ascii="Arial" w:cs="Arial" w:eastAsia="Arial" w:hAnsi="Arial"/>
          <w:b w:val="false"/>
          <w:bCs w:val="false"/>
          <w:color w:val="1A2A3A"/>
          <w:sz w:val="26"/>
          <w:szCs w:val="26"/>
        </w:rPr>
        <w:t xml:space="preserve">Integrate mobile deployment (TensorFlow Lite) for offline Android inference in areas with no internet.</w:t>
      </w:r>
    </w:p>
    <w:p>
      <w:pPr>
        <w:pStyle w:val="ListParagraph"/>
        <w:numPr>
          <w:ilvl w:val="0"/>
          <w:numId w:val="2"/>
        </w:numPr>
        <w:spacing w:after="30" w:before="30"/>
      </w:pPr>
      <w:r>
        <w:rPr>
          <w:rFonts w:ascii="Arial" w:cs="Arial" w:eastAsia="Arial" w:hAnsi="Arial"/>
          <w:b w:val="false"/>
          <w:bCs w:val="false"/>
          <w:color w:val="1A2A3A"/>
          <w:sz w:val="26"/>
          <w:szCs w:val="26"/>
        </w:rPr>
        <w:t xml:space="preserve">Add multi-label output to identify specific mold species per infection (Trichoderma vs. Aspergillus vs. Rhizopus).</w:t>
      </w:r>
    </w:p>
    <w:p>
      <w:pPr>
        <w:pStyle w:val="ListParagraph"/>
        <w:numPr>
          <w:ilvl w:val="0"/>
          <w:numId w:val="2"/>
        </w:numPr>
        <w:spacing w:after="30" w:before="30"/>
      </w:pPr>
      <w:r>
        <w:rPr>
          <w:rFonts w:ascii="Arial" w:cs="Arial" w:eastAsia="Arial" w:hAnsi="Arial"/>
          <w:b w:val="false"/>
          <w:bCs w:val="false"/>
          <w:color w:val="1A2A3A"/>
          <w:sz w:val="26"/>
          <w:szCs w:val="26"/>
        </w:rPr>
        <w:t xml:space="preserve">Fine-tune the LLM component on Bengali-language mushroom cultivation manuals for local farmers.</w:t>
      </w:r>
    </w:p>
    <w:p>
      <w:pPr>
        <w:pBdr>
          <w:bottom w:val="single" w:color="B0C4DE" w:sz="6" w:space="1"/>
        </w:pBdr>
        <w:spacing w:after="200" w:before="200"/>
      </w:pPr>
      <w:r>
        <w:t xml:space="preserve"/>
      </w:r>
    </w:p>
    <w:p>
      <w:pPr>
        <w:shd w:fill="1B3A5C" w:val="clear"/>
        <w:spacing w:after="0" w:before="320"/>
      </w:pPr>
      <w:r>
        <w:rPr>
          <w:rFonts w:ascii="Arial" w:cs="Arial" w:eastAsia="Arial" w:hAnsi="Arial"/>
          <w:b/>
          <w:bCs/>
          <w:color w:val="FFFFFF"/>
          <w:sz w:val="22"/>
          <w:szCs w:val="22"/>
        </w:rPr>
        <w:t xml:space="preserve">  ▌ RIGHT COLUMN  →  "Discussion"  </w:t>
      </w:r>
    </w:p>
    <w:p>
      <w:pPr>
        <w:pBdr>
          <w:left w:val="single" w:color="2E6DA4" w:sz="8" w:space="6"/>
        </w:pBdr>
        <w:shd w:fill="E8F4FD" w:val="clear"/>
        <w:spacing w:after="120" w:before="0"/>
      </w:pPr>
      <w:r>
        <w:rPr>
          <w:rFonts w:ascii="Arial" w:cs="Arial" w:eastAsia="Arial" w:hAnsi="Arial"/>
          <w:i/>
          <w:iCs/>
          <w:color w:val="4A6080"/>
          <w:sz w:val="18"/>
          <w:szCs w:val="18"/>
        </w:rPr>
        <w:t xml:space="preserve">  Paste into the Discussion box</w:t>
      </w:r>
    </w:p>
    <w:p>
      <w:pPr>
        <w:spacing w:after="40" w:before="40" w:line="340" w:lineRule="auto"/>
        <w:jc w:val="both"/>
      </w:pPr>
      <w:r>
        <w:rPr>
          <w:rFonts w:ascii="Arial" w:cs="Arial" w:eastAsia="Arial" w:hAnsi="Arial"/>
          <w:color w:val="1A2A3A"/>
          <w:sz w:val="26"/>
          <w:szCs w:val="26"/>
        </w:rPr>
        <w:t xml:space="preserve">The +10.25% accuracy gain from CORN loss over standard softmax confirms that ordinal structure is highly informative for disease severity classification. The model learns not just class membership but the natural escalation — Healthy → Single → Mixed — which aligns with biological disease progression.</w:t>
      </w:r>
    </w:p>
    <w:p>
      <w:pPr>
        <w:pStyle w:val="ListParagraph"/>
        <w:numPr>
          <w:ilvl w:val="0"/>
          <w:numId w:val="2"/>
        </w:numPr>
        <w:spacing w:after="30" w:before="30"/>
      </w:pPr>
      <w:r>
        <w:rPr>
          <w:rFonts w:ascii="Arial" w:cs="Arial" w:eastAsia="Arial" w:hAnsi="Arial"/>
          <w:b w:val="false"/>
          <w:bCs w:val="false"/>
          <w:color w:val="1A2A3A"/>
          <w:sz w:val="26"/>
          <w:szCs w:val="26"/>
        </w:rPr>
        <w:t xml:space="preserve">Single Infected achieves perfect F1 = 1.00, suggesting visually distinctive mold patterns at early infection stage.</w:t>
      </w:r>
    </w:p>
    <w:p>
      <w:pPr>
        <w:pStyle w:val="ListParagraph"/>
        <w:numPr>
          <w:ilvl w:val="0"/>
          <w:numId w:val="2"/>
        </w:numPr>
        <w:spacing w:after="30" w:before="30"/>
      </w:pPr>
      <w:r>
        <w:rPr>
          <w:rFonts w:ascii="Arial" w:cs="Arial" w:eastAsia="Arial" w:hAnsi="Arial"/>
          <w:b w:val="false"/>
          <w:bCs w:val="false"/>
          <w:color w:val="1A2A3A"/>
          <w:sz w:val="26"/>
          <w:szCs w:val="26"/>
        </w:rPr>
        <w:t xml:space="preserve">Healthy–Mixed confusion (≈14% cases) arises because early-stage mixed infections can appear visually similar to healthy bags — a clinically meaningful hard case.</w:t>
      </w:r>
    </w:p>
    <w:p>
      <w:pPr>
        <w:pStyle w:val="ListParagraph"/>
        <w:numPr>
          <w:ilvl w:val="0"/>
          <w:numId w:val="2"/>
        </w:numPr>
        <w:spacing w:after="30" w:before="30"/>
      </w:pPr>
      <w:r>
        <w:rPr>
          <w:rFonts w:ascii="Arial" w:cs="Arial" w:eastAsia="Arial" w:hAnsi="Arial"/>
          <w:b w:val="false"/>
          <w:bCs w:val="false"/>
          <w:color w:val="1A2A3A"/>
          <w:sz w:val="26"/>
          <w:szCs w:val="26"/>
        </w:rPr>
        <w:t xml:space="preserve">DDPM synthetic images hurt performance because 64×64 training resolution introduces blur artefacts upon upscaling to 224×224 — quantity cannot substitute quality.</w:t>
      </w:r>
    </w:p>
    <w:p>
      <w:pPr>
        <w:pStyle w:val="ListParagraph"/>
        <w:numPr>
          <w:ilvl w:val="0"/>
          <w:numId w:val="2"/>
        </w:numPr>
        <w:spacing w:after="30" w:before="30"/>
      </w:pPr>
      <w:r>
        <w:rPr>
          <w:rFonts w:ascii="Arial" w:cs="Arial" w:eastAsia="Arial" w:hAnsi="Arial"/>
          <w:b w:val="false"/>
          <w:bCs w:val="false"/>
          <w:color w:val="1A2A3A"/>
          <w:sz w:val="26"/>
          <w:szCs w:val="26"/>
        </w:rPr>
        <w:t xml:space="preserve">Grad-CAM consistently highlights the infected substrate surface, not bag edges or background — validating feature learning.</w:t>
      </w:r>
    </w:p>
    <w:p>
      <w:pPr>
        <w:pStyle w:val="ListParagraph"/>
        <w:numPr>
          <w:ilvl w:val="0"/>
          <w:numId w:val="2"/>
        </w:numPr>
        <w:spacing w:after="30" w:before="30"/>
      </w:pPr>
      <w:r>
        <w:rPr>
          <w:rFonts w:ascii="Arial" w:cs="Arial" w:eastAsia="Arial" w:hAnsi="Arial"/>
          <w:b w:val="false"/>
          <w:bCs w:val="false"/>
          <w:color w:val="1A2A3A"/>
          <w:sz w:val="26"/>
          <w:szCs w:val="26"/>
        </w:rPr>
        <w:t xml:space="preserve">RAG chatbot reduces dependency on specialist knowledge, democratising access for rural cultivators in Bangladesh.</w:t>
      </w:r>
    </w:p>
    <w:p>
      <w:pPr>
        <w:pBdr>
          <w:bottom w:val="single" w:color="B0C4DE" w:sz="6" w:space="1"/>
        </w:pBdr>
        <w:spacing w:after="200" w:before="200"/>
      </w:pPr>
      <w:r>
        <w:t xml:space="preserve"/>
      </w:r>
    </w:p>
    <w:p>
      <w:pPr>
        <w:shd w:fill="1B3A5C" w:val="clear"/>
        <w:spacing w:after="0" w:before="320"/>
      </w:pPr>
      <w:r>
        <w:rPr>
          <w:rFonts w:ascii="Arial" w:cs="Arial" w:eastAsia="Arial" w:hAnsi="Arial"/>
          <w:b/>
          <w:bCs/>
          <w:color w:val="FFFFFF"/>
          <w:sz w:val="22"/>
          <w:szCs w:val="22"/>
        </w:rPr>
        <w:t xml:space="preserve">  ▌ RIGHT COLUMN  →  "Acknowledgements"  </w:t>
      </w:r>
    </w:p>
    <w:p>
      <w:pPr>
        <w:pBdr>
          <w:left w:val="single" w:color="2E6DA4" w:sz="8" w:space="6"/>
        </w:pBdr>
        <w:shd w:fill="E8F4FD" w:val="clear"/>
        <w:spacing w:after="120" w:before="0"/>
      </w:pPr>
      <w:r>
        <w:rPr>
          <w:rFonts w:ascii="Arial" w:cs="Arial" w:eastAsia="Arial" w:hAnsi="Arial"/>
          <w:i/>
          <w:iCs/>
          <w:color w:val="4A6080"/>
          <w:sz w:val="18"/>
          <w:szCs w:val="18"/>
        </w:rPr>
        <w:t xml:space="preserve">  Paste into the Acknowledgements box — keep very short</w:t>
      </w:r>
    </w:p>
    <w:p>
      <w:pPr>
        <w:spacing w:after="40" w:before="40" w:line="340" w:lineRule="auto"/>
        <w:jc w:val="both"/>
      </w:pPr>
      <w:r>
        <w:rPr>
          <w:rFonts w:ascii="Arial" w:cs="Arial" w:eastAsia="Arial" w:hAnsi="Arial"/>
          <w:color w:val="1A2A3A"/>
          <w:sz w:val="26"/>
          <w:szCs w:val="26"/>
        </w:rPr>
        <w:t xml:space="preserve">We sincerely thank our supervisor Dr. K. M. A. Salam for continuous guidance and encouragement throughout this research. We also acknowledge the Mushroom Development Institute, Savar, Dhaka, for facilitating image data collection.</w:t>
      </w:r>
    </w:p>
    <w:p>
      <w:pPr>
        <w:pBdr>
          <w:bottom w:val="single" w:color="B0C4DE" w:sz="6" w:space="1"/>
        </w:pBdr>
        <w:spacing w:after="200" w:before="200"/>
      </w:pPr>
      <w:r>
        <w:t xml:space="preserve"/>
      </w:r>
    </w:p>
    <w:p>
      <w:pPr>
        <w:shd w:fill="1B3A5C" w:val="clear"/>
        <w:spacing w:after="0" w:before="320"/>
      </w:pPr>
      <w:r>
        <w:rPr>
          <w:rFonts w:ascii="Arial" w:cs="Arial" w:eastAsia="Arial" w:hAnsi="Arial"/>
          <w:b/>
          <w:bCs/>
          <w:color w:val="FFFFFF"/>
          <w:sz w:val="22"/>
          <w:szCs w:val="22"/>
        </w:rPr>
        <w:t xml:space="preserve">  ▌ RIGHT COLUMN  →  "Contact info"  </w:t>
      </w:r>
    </w:p>
    <w:p>
      <w:pPr>
        <w:pBdr>
          <w:left w:val="single" w:color="2E6DA4" w:sz="8" w:space="6"/>
        </w:pBdr>
        <w:shd w:fill="E8F4FD" w:val="clear"/>
        <w:spacing w:after="120" w:before="0"/>
      </w:pPr>
      <w:r>
        <w:rPr>
          <w:rFonts w:ascii="Arial" w:cs="Arial" w:eastAsia="Arial" w:hAnsi="Arial"/>
          <w:i/>
          <w:iCs/>
          <w:color w:val="4A6080"/>
          <w:sz w:val="18"/>
          <w:szCs w:val="18"/>
        </w:rPr>
        <w:t xml:space="preserve">  Paste into the Contact info box at the bottom of right column</w:t>
      </w:r>
    </w:p>
    <w:p>
      <w:pPr>
        <w:spacing w:after="40" w:before="40" w:line="340" w:lineRule="auto"/>
        <w:jc w:val="both"/>
      </w:pPr>
      <w:r>
        <w:rPr>
          <w:rFonts w:ascii="Arial" w:cs="Arial" w:eastAsia="Arial" w:hAnsi="Arial"/>
          <w:color w:val="1A2A3A"/>
          <w:sz w:val="26"/>
          <w:szCs w:val="26"/>
        </w:rPr>
        <w:t xml:space="preserve">Nafis Karim  ·  2221342642  ·  nafis.karim@northsouth.edu</w:t>
      </w:r>
    </w:p>
    <w:p>
      <w:pPr>
        <w:spacing w:after="40" w:before="40" w:line="340" w:lineRule="auto"/>
        <w:jc w:val="both"/>
      </w:pPr>
      <w:r>
        <w:rPr>
          <w:rFonts w:ascii="Arial" w:cs="Arial" w:eastAsia="Arial" w:hAnsi="Arial"/>
          <w:color w:val="1A2A3A"/>
          <w:sz w:val="26"/>
          <w:szCs w:val="26"/>
        </w:rPr>
        <w:t xml:space="preserve">Susmita Goswami  ·  2221409042  ·  susmita.goswami@northsouth.edu</w:t>
      </w:r>
    </w:p>
    <w:p>
      <w:pPr>
        <w:spacing w:after="40" w:before="40" w:line="340" w:lineRule="auto"/>
        <w:jc w:val="both"/>
      </w:pPr>
      <w:r>
        <w:rPr>
          <w:rFonts w:ascii="Arial" w:cs="Arial" w:eastAsia="Arial" w:hAnsi="Arial"/>
          <w:color w:val="1A2A3A"/>
          <w:sz w:val="26"/>
          <w:szCs w:val="26"/>
        </w:rPr>
        <w:t xml:space="preserve">Ridwan Siddique  ·  2221665043  ·  ridwan.siddique@northsouth.edu</w:t>
      </w:r>
    </w:p>
    <w:p>
      <w:pPr>
        <w:spacing w:after="40" w:before="40" w:line="340" w:lineRule="auto"/>
        <w:jc w:val="both"/>
      </w:pPr>
      <w:r>
        <w:rPr>
          <w:rFonts w:ascii="Arial" w:cs="Arial" w:eastAsia="Arial" w:hAnsi="Arial"/>
          <w:color w:val="1A2A3A"/>
          <w:sz w:val="26"/>
          <w:szCs w:val="26"/>
        </w:rPr>
        <w:t xml:space="preserve">Department of ECE, North South University, Dhaka, Bangladesh</w:t>
      </w:r>
    </w:p>
    <w:p>
      <w:pPr>
        <w:spacing w:after="40" w:before="40" w:line="340" w:lineRule="auto"/>
        <w:jc w:val="both"/>
      </w:pPr>
      <w:r>
        <w:rPr>
          <w:rFonts w:ascii="Arial" w:cs="Arial" w:eastAsia="Arial" w:hAnsi="Arial"/>
          <w:color w:val="1A2A3A"/>
          <w:sz w:val="26"/>
          <w:szCs w:val="26"/>
        </w:rPr>
        <w:t xml:space="preserve">Supervisor: Dr. K. M. A. Salam  ·  CSE 499B</w:t>
      </w:r>
    </w:p>
    <w:p>
      <w:r>
        <w:rPr>
          <w:sz w:val="20"/>
          <w:szCs w:val="20"/>
        </w:rPr>
        <w:t xml:space="preserve"/>
      </w:r>
    </w:p>
    <w:p>
      <w:r>
        <w:rPr>
          <w:sz w:val="20"/>
          <w:szCs w:val="20"/>
        </w:rPr>
        <w:t xml:space="preserve"/>
      </w:r>
    </w:p>
    <w:p>
      <w:pPr>
        <w:shd w:fill="1B3A5C" w:val="clear"/>
        <w:jc w:val="center"/>
      </w:pPr>
      <w:r>
        <w:rPr>
          <w:rFonts w:ascii="Arial" w:cs="Arial" w:eastAsia="Arial" w:hAnsi="Arial"/>
          <w:b/>
          <w:bCs/>
          <w:color w:val="FFFFFF"/>
          <w:sz w:val="26"/>
          <w:szCs w:val="26"/>
        </w:rPr>
        <w:t xml:space="preserve">  ★  QUICK REFERENCE — KEY NUMBERS TO USE ANYWHERE ON POSTER  ★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Borders>
              <w:top w:val="single" w:color="BBCFE0" w:sz="1"/>
              <w:left w:val="single" w:color="BBCFE0" w:sz="1"/>
              <w:bottom w:val="single" w:color="BBCFE0" w:sz="1"/>
              <w:right w:val="single" w:color="BBCFE0" w:sz="1"/>
            </w:tcBorders>
            <w:shd w:fill="E8F8F0" w:val="clear"/>
            <w:tcMar>
              <w:top w:type="dxa" w:w="100"/>
              <w:left w:type="dxa" w:w="80"/>
              <w:bottom w:type="dxa" w:w="100"/>
              <w:right w:type="dxa" w:w="80"/>
            </w:tcMar>
          </w:tcPr>
          <w:p>
            <w:pPr>
              <w:jc w:val="center"/>
            </w:pPr>
            <w:r>
              <w:rPr>
                <w:rFonts w:ascii="Arial" w:cs="Arial" w:eastAsia="Arial" w:hAnsi="Arial"/>
                <w:b/>
                <w:bCs/>
                <w:color w:val="27AE60"/>
                <w:sz w:val="40"/>
                <w:szCs w:val="40"/>
              </w:rPr>
              <w:t xml:space="preserve">88.03%</w:t>
            </w:r>
          </w:p>
          <w:p>
            <w:pPr>
              <w:jc w:val="center"/>
            </w:pPr>
            <w:r>
              <w:rPr>
                <w:rFonts w:ascii="Arial" w:cs="Arial" w:eastAsia="Arial" w:hAnsi="Arial"/>
                <w:color w:val="1A2A3A"/>
                <w:sz w:val="18"/>
                <w:szCs w:val="18"/>
              </w:rPr>
              <w:t xml:space="preserve">Test Accuracy</w:t>
            </w:r>
          </w:p>
        </w:tc>
        <w:tc>
          <w:tcPr>
            <w:tcBorders>
              <w:top w:val="single" w:color="BBCFE0" w:sz="1"/>
              <w:left w:val="single" w:color="BBCFE0" w:sz="1"/>
              <w:bottom w:val="single" w:color="BBCFE0" w:sz="1"/>
              <w:right w:val="single" w:color="BBCFE0" w:sz="1"/>
            </w:tcBorders>
            <w:shd w:fill="EBF0F7" w:val="clear"/>
            <w:tcMar>
              <w:top w:type="dxa" w:w="100"/>
              <w:left w:type="dxa" w:w="80"/>
              <w:bottom w:type="dxa" w:w="100"/>
              <w:right w:type="dxa" w:w="80"/>
            </w:tcMar>
          </w:tcPr>
          <w:p>
            <w:pPr>
              <w:jc w:val="center"/>
            </w:pPr>
            <w:r>
              <w:rPr>
                <w:rFonts w:ascii="Arial" w:cs="Arial" w:eastAsia="Arial" w:hAnsi="Arial"/>
                <w:b/>
                <w:bCs/>
                <w:color w:val="2E6DA4"/>
                <w:sz w:val="40"/>
                <w:szCs w:val="40"/>
              </w:rPr>
              <w:t xml:space="preserve">0.1282</w:t>
            </w:r>
          </w:p>
          <w:p>
            <w:pPr>
              <w:jc w:val="center"/>
            </w:pPr>
            <w:r>
              <w:rPr>
                <w:rFonts w:ascii="Arial" w:cs="Arial" w:eastAsia="Arial" w:hAnsi="Arial"/>
                <w:color w:val="1A2A3A"/>
                <w:sz w:val="18"/>
                <w:szCs w:val="18"/>
              </w:rPr>
              <w:t xml:space="preserve">MAE</w:t>
            </w:r>
          </w:p>
        </w:tc>
        <w:tc>
          <w:tcPr>
            <w:tcBorders>
              <w:top w:val="single" w:color="BBCFE0" w:sz="1"/>
              <w:left w:val="single" w:color="BBCFE0" w:sz="1"/>
              <w:bottom w:val="single" w:color="BBCFE0" w:sz="1"/>
              <w:right w:val="single" w:color="BBCFE0" w:sz="1"/>
            </w:tcBorders>
            <w:shd w:fill="E8F8F0" w:val="clear"/>
            <w:tcMar>
              <w:top w:type="dxa" w:w="100"/>
              <w:left w:type="dxa" w:w="80"/>
              <w:bottom w:type="dxa" w:w="100"/>
              <w:right w:type="dxa" w:w="80"/>
            </w:tcMar>
          </w:tcPr>
          <w:p>
            <w:pPr>
              <w:jc w:val="center"/>
            </w:pPr>
            <w:r>
              <w:rPr>
                <w:rFonts w:ascii="Arial" w:cs="Arial" w:eastAsia="Arial" w:hAnsi="Arial"/>
                <w:b/>
                <w:bCs/>
                <w:color w:val="27AE60"/>
                <w:sz w:val="40"/>
                <w:szCs w:val="40"/>
              </w:rPr>
              <w:t xml:space="preserve">+10.25%</w:t>
            </w:r>
          </w:p>
          <w:p>
            <w:pPr>
              <w:jc w:val="center"/>
            </w:pPr>
            <w:r>
              <w:rPr>
                <w:rFonts w:ascii="Arial" w:cs="Arial" w:eastAsia="Arial" w:hAnsi="Arial"/>
                <w:color w:val="1A2A3A"/>
                <w:sz w:val="18"/>
                <w:szCs w:val="18"/>
              </w:rPr>
              <w:t xml:space="preserve">vs Softmax</w:t>
            </w:r>
          </w:p>
        </w:tc>
        <w:tc>
          <w:tcPr>
            <w:tcBorders>
              <w:top w:val="single" w:color="BBCFE0" w:sz="1"/>
              <w:left w:val="single" w:color="BBCFE0" w:sz="1"/>
              <w:bottom w:val="single" w:color="BBCFE0" w:sz="1"/>
              <w:right w:val="single" w:color="BBCFE0" w:sz="1"/>
            </w:tcBorders>
            <w:shd w:fill="EBF0F7" w:val="clear"/>
            <w:tcMar>
              <w:top w:type="dxa" w:w="100"/>
              <w:left w:type="dxa" w:w="80"/>
              <w:bottom w:type="dxa" w:w="100"/>
              <w:right w:type="dxa" w:w="80"/>
            </w:tcMar>
          </w:tcPr>
          <w:p>
            <w:pPr>
              <w:jc w:val="center"/>
            </w:pPr>
            <w:r>
              <w:rPr>
                <w:rFonts w:ascii="Arial" w:cs="Arial" w:eastAsia="Arial" w:hAnsi="Arial"/>
                <w:b/>
                <w:bCs/>
                <w:color w:val="2E6DA4"/>
                <w:sz w:val="40"/>
                <w:szCs w:val="40"/>
              </w:rPr>
              <w:t xml:space="preserve">761</w:t>
            </w:r>
          </w:p>
          <w:p>
            <w:pPr>
              <w:jc w:val="center"/>
            </w:pPr>
            <w:r>
              <w:rPr>
                <w:rFonts w:ascii="Arial" w:cs="Arial" w:eastAsia="Arial" w:hAnsi="Arial"/>
                <w:color w:val="1A2A3A"/>
                <w:sz w:val="18"/>
                <w:szCs w:val="18"/>
              </w:rPr>
              <w:t xml:space="preserve">Real Images</w:t>
            </w:r>
          </w:p>
        </w:tc>
        <w:tc>
          <w:tcPr>
            <w:tcBorders>
              <w:top w:val="single" w:color="BBCFE0" w:sz="1"/>
              <w:left w:val="single" w:color="BBCFE0" w:sz="1"/>
              <w:bottom w:val="single" w:color="BBCFE0" w:sz="1"/>
              <w:right w:val="single" w:color="BBCFE0" w:sz="1"/>
            </w:tcBorders>
            <w:shd w:fill="E8F8F0" w:val="clear"/>
            <w:tcMar>
              <w:top w:type="dxa" w:w="100"/>
              <w:left w:type="dxa" w:w="80"/>
              <w:bottom w:type="dxa" w:w="100"/>
              <w:right w:type="dxa" w:w="80"/>
            </w:tcMar>
          </w:tcPr>
          <w:p>
            <w:pPr>
              <w:jc w:val="center"/>
            </w:pPr>
            <w:r>
              <w:rPr>
                <w:rFonts w:ascii="Arial" w:cs="Arial" w:eastAsia="Arial" w:hAnsi="Arial"/>
                <w:b/>
                <w:bCs/>
                <w:color w:val="27AE60"/>
                <w:sz w:val="40"/>
                <w:szCs w:val="40"/>
              </w:rPr>
              <w:t xml:space="preserve">3</w:t>
            </w:r>
          </w:p>
          <w:p>
            <w:pPr>
              <w:jc w:val="center"/>
            </w:pPr>
            <w:r>
              <w:rPr>
                <w:rFonts w:ascii="Arial" w:cs="Arial" w:eastAsia="Arial" w:hAnsi="Arial"/>
                <w:color w:val="1A2A3A"/>
                <w:sz w:val="18"/>
                <w:szCs w:val="18"/>
              </w:rPr>
              <w:t xml:space="preserve">Ordinal Grades</w:t>
            </w:r>
          </w:p>
        </w:tc>
        <w:tc>
          <w:tcPr>
            <w:tcBorders>
              <w:top w:val="single" w:color="BBCFE0" w:sz="1"/>
              <w:left w:val="single" w:color="BBCFE0" w:sz="1"/>
              <w:bottom w:val="single" w:color="BBCFE0" w:sz="1"/>
              <w:right w:val="single" w:color="BBCFE0" w:sz="1"/>
            </w:tcBorders>
            <w:shd w:fill="EBF0F7" w:val="clear"/>
            <w:tcMar>
              <w:top w:type="dxa" w:w="100"/>
              <w:left w:type="dxa" w:w="80"/>
              <w:bottom w:type="dxa" w:w="100"/>
              <w:right w:type="dxa" w:w="80"/>
            </w:tcMar>
          </w:tcPr>
          <w:p>
            <w:pPr>
              <w:jc w:val="center"/>
            </w:pPr>
            <w:r>
              <w:rPr>
                <w:rFonts w:ascii="Arial" w:cs="Arial" w:eastAsia="Arial" w:hAnsi="Arial"/>
                <w:b/>
                <w:bCs/>
                <w:color w:val="27AE60"/>
                <w:sz w:val="40"/>
                <w:szCs w:val="40"/>
              </w:rPr>
              <w:t xml:space="preserve">1.00</w:t>
            </w:r>
          </w:p>
          <w:p>
            <w:pPr>
              <w:jc w:val="center"/>
            </w:pPr>
            <w:r>
              <w:rPr>
                <w:rFonts w:ascii="Arial" w:cs="Arial" w:eastAsia="Arial" w:hAnsi="Arial"/>
                <w:color w:val="1A2A3A"/>
                <w:sz w:val="18"/>
                <w:szCs w:val="18"/>
              </w:rPr>
              <w:t xml:space="preserve">Single F1</w:t>
            </w:r>
          </w:p>
        </w:tc>
      </w:tr>
    </w:tbl>
    <w:sectPr>
      <w:headerReference w:type="default" r:id="rId7"/>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6DA4" w:sz="6" w:space="1"/>
      </w:pBdr>
    </w:pPr>
    <w:r>
      <w:rPr>
        <w:rFonts w:ascii="Arial" w:cs="Arial" w:eastAsia="Arial" w:hAnsi="Arial"/>
        <w:b/>
        <w:bCs/>
        <w:color w:val="2E6DA4"/>
        <w:sz w:val="18"/>
        <w:szCs w:val="18"/>
      </w:rPr>
      <w:t xml:space="preserve">POSTER CONTENT — mapped to NSU A0 template sections</w:t>
    </w:r>
    <w:r>
      <w:rPr>
        <w:rFonts w:ascii="Arial" w:cs="Arial" w:eastAsia="Arial" w:hAnsi="Arial"/>
        <w:i/>
        <w:iCs/>
        <w:color w:val="4A6080"/>
        <w:sz w:val="18"/>
        <w:szCs w:val="18"/>
      </w:rPr>
      <w:t xml:space="preserve">   ·   Paste each block into the matching section box</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2A3A"/>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2026-04-28T08:08:06.649Z</dcterms:created>
  <dcterms:modified xsi:type="dcterms:W3CDTF">2026-04-28T08:08:06.650Z</dcterms:modified>
</cp:coreProperties>
</file>

<file path=docProps/custom.xml><?xml version="1.0" encoding="utf-8"?>
<Properties xmlns="http://schemas.openxmlformats.org/officeDocument/2006/custom-properties" xmlns:vt="http://schemas.openxmlformats.org/officeDocument/2006/docPropsVTypes"/>
</file>