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4285f4"/>
          <w:sz w:val="50"/>
          <w:szCs w:val="50"/>
        </w:rPr>
        <w:drawing>
          <wp:inline distB="114300" distT="114300" distL="114300" distR="114300">
            <wp:extent cx="1871775" cy="13666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72.0" w:type="pct"/>
        <w:tblLayout w:type="fixed"/>
        <w:tblLook w:val="0600"/>
      </w:tblPr>
      <w:tblGrid>
        <w:gridCol w:w="4860"/>
        <w:gridCol w:w="4485"/>
        <w:gridCol w:w="300"/>
        <w:tblGridChange w:id="0">
          <w:tblGrid>
            <w:gridCol w:w="4860"/>
            <w:gridCol w:w="4485"/>
            <w:gridCol w:w="300"/>
          </w:tblGrid>
        </w:tblGridChange>
      </w:tblGrid>
      <w:tr>
        <w:trPr>
          <w:trHeight w:val="1335" w:hRule="atLeast"/>
        </w:trPr>
        <w:tc>
          <w:tcPr>
            <w:gridSpan w:val="2"/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color w:val="666666"/>
                <w:sz w:val="50"/>
                <w:szCs w:val="50"/>
              </w:rPr>
            </w:pPr>
            <w:r w:rsidDel="00000000" w:rsidR="00000000" w:rsidRPr="00000000">
              <w:rPr>
                <w:color w:val="666666"/>
                <w:sz w:val="50"/>
                <w:szCs w:val="50"/>
                <w:rtl w:val="0"/>
              </w:rPr>
              <w:t xml:space="preserve">Project Plant Pals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29.6" w:type="dxa"/>
              <w:left w:w="129.6" w:type="dxa"/>
              <w:bottom w:w="129.6" w:type="dxa"/>
              <w:right w:w="129.6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00" w:line="240" w:lineRule="auto"/>
              <w:ind w:right="-4425.472440944882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Author: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Project Manager (Fahim Arsad)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Status: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In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4a853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Created: 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April 4, 2021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Updated:</w:t>
            </w: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 April 4, 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defb" w:space="0" w:sz="8" w:val="single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240" w:before="480" w:lineRule="auto"/>
        <w:rPr>
          <w:color w:val="34a853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color w:val="34a853"/>
          <w:sz w:val="32"/>
          <w:szCs w:val="32"/>
          <w:rtl w:val="0"/>
        </w:rPr>
        <w:t xml:space="preserve">Objective</w:t>
      </w:r>
    </w:p>
    <w:p w:rsidR="00000000" w:rsidDel="00000000" w:rsidP="00000000" w:rsidRDefault="00000000" w:rsidRPr="00000000" w14:paraId="0000000C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objective of this document is to identify potential risks for the Plant Pals operations launch. </w:t>
      </w:r>
    </w:p>
    <w:p w:rsidR="00000000" w:rsidDel="00000000" w:rsidP="00000000" w:rsidRDefault="00000000" w:rsidRPr="00000000" w14:paraId="0000000D">
      <w:pPr>
        <w:widowControl w:val="0"/>
        <w:rPr>
          <w:color w:val="1976d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color w:val="34a853"/>
          <w:sz w:val="32"/>
          <w:szCs w:val="32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Executive Summary</w:t>
      </w:r>
    </w:p>
    <w:p w:rsidR="00000000" w:rsidDel="00000000" w:rsidP="00000000" w:rsidRDefault="00000000" w:rsidRPr="00000000" w14:paraId="0000000F">
      <w:pPr>
        <w:widowControl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project milestone is to establish an efficient delivery system. Another aim is to operate a training program for the employees. The project duration will be 3 months. The following reasons can appear as a risk to the goal of the project.</w:t>
      </w:r>
    </w:p>
    <w:p w:rsidR="00000000" w:rsidDel="00000000" w:rsidP="00000000" w:rsidRDefault="00000000" w:rsidRPr="00000000" w14:paraId="00000010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ONE: Going over the project budget</w:t>
      </w:r>
    </w:p>
    <w:p w:rsidR="00000000" w:rsidDel="00000000" w:rsidP="00000000" w:rsidRDefault="00000000" w:rsidRPr="00000000" w14:paraId="00000013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trHeight w:val="378.0859375" w:hRule="atLeast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Each delivery truck costs $16,000 more than initially quoted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Office Green would pay $32,000 more than expected for their two delivery trucks. 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A vendor charges a higher rate than expected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an alternative vendor at the early stage of the project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A vendor loses a product shipment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up an alternative vendor at the early stage of the project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b w:val="1"/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RISK TYPE TWO: Falling behind the training schedule</w:t>
      </w:r>
    </w:p>
    <w:p w:rsidR="00000000" w:rsidDel="00000000" w:rsidP="00000000" w:rsidRDefault="00000000" w:rsidRPr="00000000" w14:paraId="00000025">
      <w:pPr>
        <w:widowControl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Ind w:w="11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985"/>
        <w:gridCol w:w="1650"/>
        <w:gridCol w:w="4965"/>
        <w:tblGridChange w:id="0">
          <w:tblGrid>
            <w:gridCol w:w="2985"/>
            <w:gridCol w:w="1650"/>
            <w:gridCol w:w="4965"/>
          </w:tblGrid>
        </w:tblGridChange>
      </w:tblGrid>
      <w:tr>
        <w:trPr>
          <w:trHeight w:val="378.0859375" w:hRule="atLeast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Scenario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Risk to project (L/M/H)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Mitigation Plan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Your employee trainer gets sick and misses a week of training.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6aa84f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a buffer week at the end of the project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You cannot hire employees in time to train them before launch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the recruitment decoration at least 2 weeks before the training begins</w:t>
            </w:r>
          </w:p>
        </w:tc>
      </w:tr>
      <w:t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More than 50% of employees quit after a difficult training process, leaving the company short-staffed. 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weekly employee review on the course content, rearrange the course contents on basis of that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4a85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4a853"/>
          <w:sz w:val="28"/>
          <w:szCs w:val="28"/>
        </w:rPr>
      </w:pPr>
      <w:r w:rsidDel="00000000" w:rsidR="00000000" w:rsidRPr="00000000">
        <w:rPr>
          <w:color w:val="34a853"/>
          <w:sz w:val="32"/>
          <w:szCs w:val="32"/>
          <w:rtl w:val="0"/>
        </w:rPr>
        <w:t xml:space="preserve">Appendix: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chart: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975"/>
        <w:gridCol w:w="4110"/>
        <w:tblGridChange w:id="0">
          <w:tblGrid>
            <w:gridCol w:w="1500"/>
            <w:gridCol w:w="3975"/>
            <w:gridCol w:w="4110"/>
          </w:tblGrid>
        </w:tblGridChange>
      </w:tblGrid>
      <w:tr>
        <w:trPr>
          <w:trHeight w:val="315" w:hRule="atLeast"/>
        </w:trPr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Probability</w:t>
            </w:r>
          </w:p>
        </w:tc>
      </w:tr>
      <w:tr>
        <w:trPr>
          <w:trHeight w:val="31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Qualitative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Quantitative (if measurable)</w:t>
            </w:r>
          </w:p>
        </w:tc>
      </w:tr>
      <w:tr>
        <w:trPr>
          <w:trHeight w:val="154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Very low chance of a risk occurring. 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Less than &lt;10% chance of a risk occurring.</w:t>
            </w:r>
          </w:p>
        </w:tc>
      </w:tr>
      <w:t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chance of a risk occurring.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10%-50% chance of a risk occurring.</w:t>
            </w:r>
          </w:p>
        </w:tc>
      </w:tr>
      <w:tr>
        <w:trPr>
          <w:trHeight w:val="142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chance of a risk occurring.</w:t>
            </w:r>
          </w:p>
        </w:tc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50%-100% chance of a risk occurring.</w:t>
            </w:r>
          </w:p>
        </w:tc>
      </w:tr>
      <w:t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chart: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55"/>
        <w:gridCol w:w="2580"/>
        <w:gridCol w:w="2880"/>
        <w:tblGridChange w:id="0">
          <w:tblGrid>
            <w:gridCol w:w="1500"/>
            <w:gridCol w:w="2655"/>
            <w:gridCol w:w="2580"/>
            <w:gridCol w:w="2880"/>
          </w:tblGrid>
        </w:tblGridChange>
      </w:tblGrid>
      <w:tr>
        <w:trPr>
          <w:trHeight w:val="31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 of Impact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trHeight w:val="45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Low financial impact,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$0-$14,000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Medium financial impact,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$15,000-$29,000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High financial impact, 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costing the company $30,000 or more</w:t>
            </w:r>
          </w:p>
        </w:tc>
      </w:tr>
      <w:tr>
        <w:trPr>
          <w:trHeight w:val="450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Operational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Low impact to project operations, causing delays of a few days to a few weeks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Medium impact to project operations,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delay project by a month or more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High impact to project operations,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with potential to cause project failure</w:t>
            </w:r>
          </w:p>
        </w:tc>
      </w:tr>
      <w:tr>
        <w:trPr>
          <w:trHeight w:val="855" w:hRule="atLeast"/>
        </w:trPr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</w:t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Low impact to employee attrition, with 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Medium impact to employee attrition, with 25%+ of employees quitting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High impact to employee attrition, with 50%+ employees quitting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and Impact Matrix: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945"/>
        <w:gridCol w:w="2310"/>
        <w:gridCol w:w="2730"/>
        <w:gridCol w:w="2370"/>
        <w:tblGridChange w:id="0">
          <w:tblGrid>
            <w:gridCol w:w="1245"/>
            <w:gridCol w:w="945"/>
            <w:gridCol w:w="2310"/>
            <w:gridCol w:w="2730"/>
            <w:gridCol w:w="2370"/>
          </w:tblGrid>
        </w:tblGridChange>
      </w:tblGrid>
      <w:tr>
        <w:trPr>
          <w:trHeight w:val="315" w:hRule="atLeast"/>
        </w:trPr>
        <w:tc>
          <w:tcPr>
            <w:gridSpan w:val="5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34a85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Inherent Risk</w:t>
            </w:r>
          </w:p>
        </w:tc>
      </w:tr>
      <w:tr>
        <w:trPr>
          <w:trHeight w:val="315" w:hRule="atLeast"/>
        </w:trPr>
        <w:tc>
          <w:tcPr>
            <w:gridSpan w:val="2"/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</w:tr>
      <w:tr>
        <w:trPr>
          <w:trHeight w:val="315" w:hRule="atLeast"/>
        </w:trPr>
        <w:tc>
          <w:tcPr>
            <w:gridSpan w:val="2"/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Probability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d9d9d9" w:space="0" w:sz="7" w:val="single"/>
              <w:left w:color="d9d9d9" w:space="0" w:sz="7" w:val="single"/>
              <w:bottom w:color="d9d9d9" w:space="0" w:sz="7" w:val="single"/>
              <w:right w:color="d9d9d9" w:space="0" w:sz="7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.3228346456694" w:top="850.3937007874016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