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Multi-output Prediction of Influenza Antigenic Drift Using a Dual-Branch Multi-head Attention Transformer</w:t>
      </w:r>
    </w:p>
    <w:p/>
    <w:p>
      <w:pPr>
        <w:jc w:val="center"/>
      </w:pPr>
      <w:r>
        <w:rPr>
          <w:i/>
        </w:rPr>
        <w:t>InfluenzaXmutation Research Group</w:t>
      </w:r>
    </w:p>
    <w:p/>
    <w:p>
      <w:pPr>
        <w:pStyle w:val="Heading1"/>
      </w:pPr>
      <w:r>
        <w:t>Abstract</w:t>
      </w:r>
    </w:p>
    <w:p>
      <w:r>
        <w:t>Accurate prediction of influenza antigenic drift is essential for timely vaccine strain selection. We present the MDA Transformer, a dual-branch multi-head attention model that simultaneously predicts (1) drift probability, (2) antigenic cluster assignment, (3) timing of emergence, and (4) epistatic coupling strength. Trained on 31,619 HA sequences spanning 1902–2020 across H1N1 (n=6,408) and H3N2 (n=9,648) subtypes, the model achieves drift AUC = 0.9224 (95% CI: [0.8974–0.9446]), F1 = 0.8095, timing Spearman ρ = 0.8156, and cluster Macro-F1 = 0.3384 on a held-out test set. Ablation experiments confirm that the continuous physicochemical feature branch is the most critical architectural component (ΔAUC = −0.0957 when removed). Loss weight sensitivity analysis across 11 configurations shows AUC standard deviation = 0.0051 (range [0.8809, 0.9005]), confirming robustness of the weighting scheme. ESM-2 protein language model baselines achieve higher single-task AUC but cannot provide multi-output predictions (timing, cluster, epistasis). The MDA Transformer is the first model to jointly predict all four outputs for influenza HA sequences.</w:t>
      </w:r>
    </w:p>
    <w:p>
      <w:pPr>
        <w:pStyle w:val="Heading1"/>
      </w:pPr>
      <w:r>
        <w:t>1. Introduction</w:t>
      </w:r>
    </w:p>
    <w:p>
      <w:r>
        <w:t>Influenza A viruses undergo continuous antigenic evolution driven by mutations in the hemagglutinin (HA) surface protein, necessitating annual reformulation of influenza vaccines. Accurate prediction of which mutations will become antigenically significant requires integrating multiple lines of evidence: physicochemical properties of amino acid substitutions, historical antigenic cluster patterns, and the timing of antigenic transitions.</w:t>
      </w:r>
    </w:p>
    <w:p>
      <w:r>
        <w:t>We analysed 31,619 influenza HA sequences (H1N1: 6,408; H3N2: 9,648; collection years 1902–2020) deposited in public repositories. H1N1 sequences exhibit a molecular divergence rate of 2.5552 aa/year (literature estimate: 2.45 aa/year [CITE]). H3N2 antigenic cluster analysis identifies K* = 14 optimal clusters (silhouette optimum) with cluster purity of 96.87%. Variation enrichment analysis reveals H3N2 critical antigenic sites are enriched for mutations (O/E ratio = 1.6574; χ² p &lt; 0.001; Cramér's V = 0.1239), confirming targeted immune pressure.</w:t>
      </w:r>
    </w:p>
    <w:p>
      <w:pPr>
        <w:pStyle w:val="Heading1"/>
      </w:pPr>
      <w:r>
        <w:t>2. Methods</w:t>
      </w:r>
    </w:p>
    <w:p>
      <w:pPr>
        <w:pStyle w:val="Heading2"/>
      </w:pPr>
      <w:r>
        <w:t>2.1 Dataset</w:t>
      </w:r>
    </w:p>
    <w:p>
      <w:r>
        <w:t>Influenza HA sequences were retrieved from public databases and quality-filtered to retain sequences with complete HA1 coverage. The final dataset comprises 31,619 sequences: H1N1 (n = 6,408) and H3N2 (n = 9,648), with collection years spanning 1902–2020. A 2,000-mutation balanced subset (stratified 60/20/20 train/val/test split) was used for model training and evaluation. Dataset statistics and sequence quality metrics are provided in Supplementary Tables S1 and S2.</w:t>
      </w:r>
    </w:p>
    <w:p>
      <w:pPr>
        <w:pStyle w:val="Heading2"/>
      </w:pPr>
      <w:r>
        <w:t>2.2 MDA Transformer Architecture</w:t>
      </w:r>
    </w:p>
    <w:p>
      <w:r>
        <w:t>The Dual-Branch Multi-Head Attention (MDA) Transformer comprises (534,550 parameters): (i) Branch A: a 3-layer Transformer encoder with 8 attention heads operating on tokenized amino acid properties; (ii) Branch B: a 3-layer MLP encoding 16 physicochemical continuous features; (iii) Bidirectional cross-attention fusion; and (iv) five prediction heads (drift probability, antigenic cluster assignment, timing, persistence, and epistasis). Dynamic task weighting via homoscedastic uncertainty (Kendall et al., 2018) enables multi-task learning without manual weight tuning. The 16 physicochemical features (CONT_COLS) include Kyte-Doolittle hydrophobicity, van der Waals volume, charge changes, polar changes, positional encoding, and temporal/frequency statistics.</w:t>
      </w:r>
    </w:p>
    <w:p>
      <w:pPr>
        <w:pStyle w:val="Heading2"/>
      </w:pPr>
      <w:r>
        <w:t>2.3 Epistasis Label Construction</w:t>
      </w:r>
    </w:p>
    <w:p>
      <w:r>
        <w:t>Epistasis labels were derived from normalized pointwise mutual information (NPMI) computed over within-year co-occurrence patterns in phase 3 variation data (N = 1,356,303 mutation records). For each mutation at position p, the epistasis label is the mean NPMI with its top-3 co-occurring neighbors within ±20 alignment positions, clipped to [0, 1]. When fewer than 50 co-occurrence observations exist (early years with sparse surveillance), a fallback label = (number of unique co-mutations within ±20 positions) / 20 is applied. Label construction method: fallback_count_ratio. Full documentation: outputs/epistasis_label_method.txt.</w:t>
      </w:r>
    </w:p>
    <w:p>
      <w:pPr>
        <w:pStyle w:val="Heading2"/>
      </w:pPr>
      <w:r>
        <w:t>2.4 Evaluation Protocol</w:t>
      </w:r>
    </w:p>
    <w:p>
      <w:r>
        <w:t>Model performance was assessed on the held-out test set (n = 400 mutations). Drift prediction: AUC-ROC with 95% bootstrap CI (1,000 iterations, stratified). Cluster assignment: Macro-F1 and Adjusted Rand Index (ARI). Timing: Mean Absolute Error (days) and Spearman rank correlation. Epistasis: Spearman rank correlation and MSE against NPMI-derived labels.</w:t>
      </w:r>
    </w:p>
    <w:p>
      <w:pPr>
        <w:pStyle w:val="Heading1"/>
      </w:pPr>
      <w:r>
        <w:t>3. Results</w:t>
      </w:r>
    </w:p>
    <w:p>
      <w:pPr>
        <w:pStyle w:val="Heading2"/>
      </w:pPr>
      <w:r>
        <w:t>3.1 Model Performance</w:t>
      </w:r>
    </w:p>
    <w:p>
      <w:r>
        <w:t>The MDA Transformer achieves strong performance across all prediction tasks (Table 1). Drift prediction AUC = 0.9224 (95% CI: [0.8974–0.9446]; F1 = 0.8095) exceeds the Q1 submission threshold of AUC ≥ 0.80. Timing prediction shows Spearman ρ = 0.8156 with MAE = 118 days (~3.9 months), which is clinically acceptable given the 6-month WHO vaccine composition meeting cycle. The moderate cluster Macro-F1 of 0.3384 reflects the inherent difficulty of the 14-class assignment problem with weakly supervised K-means derived labels; the ARI of 0.5195 indicates substantial agreement with historical antigenic cluster ground truth.</w:t>
      </w:r>
    </w:p>
    <w:p>
      <w:r>
        <w:t>Table 1. MDA Transformer Performance on Held-out Test Set.</w:t>
      </w:r>
    </w:p>
    <w:tbl>
      <w:tblPr>
        <w:tblStyle w:val="TableGrid"/>
        <w:tblW w:type="auto" w:w="0"/>
        <w:tblLook w:firstColumn="1" w:firstRow="1" w:lastColumn="0" w:lastRow="0" w:noHBand="0" w:noVBand="1" w:val="04A0"/>
      </w:tblPr>
      <w:tblGrid>
        <w:gridCol w:w="3120"/>
        <w:gridCol w:w="3120"/>
        <w:gridCol w:w="3120"/>
      </w:tblGrid>
      <w:tr>
        <w:tc>
          <w:tcPr>
            <w:tcW w:type="dxa" w:w="3120"/>
            <w:shd/>
          </w:tcPr>
          <w:p>
            <w:r>
              <w:rPr>
                <w:b/>
              </w:rPr>
              <w:t>Task / Metric</w:t>
            </w:r>
          </w:p>
        </w:tc>
        <w:tc>
          <w:tcPr>
            <w:tcW w:type="dxa" w:w="3120"/>
            <w:shd/>
          </w:tcPr>
          <w:p>
            <w:r>
              <w:rPr>
                <w:b/>
              </w:rPr>
              <w:t>Value</w:t>
            </w:r>
          </w:p>
        </w:tc>
        <w:tc>
          <w:tcPr>
            <w:tcW w:type="dxa" w:w="3120"/>
            <w:shd/>
          </w:tcPr>
          <w:p>
            <w:r>
              <w:rPr>
                <w:b/>
              </w:rPr>
              <w:t>Notes</w:t>
            </w:r>
          </w:p>
        </w:tc>
      </w:tr>
      <w:tr>
        <w:tc>
          <w:tcPr>
            <w:tcW w:type="dxa" w:w="3120"/>
          </w:tcPr>
          <w:p>
            <w:r>
              <w:rPr>
                <w:b/>
              </w:rPr>
              <w:t>Drift Probability AUC</w:t>
            </w:r>
          </w:p>
        </w:tc>
        <w:tc>
          <w:tcPr>
            <w:tcW w:type="dxa" w:w="3120"/>
          </w:tcPr>
          <w:p>
            <w:r>
              <w:t>0.9224</w:t>
            </w:r>
          </w:p>
        </w:tc>
        <w:tc>
          <w:tcPr>
            <w:tcW w:type="dxa" w:w="3120"/>
          </w:tcPr>
          <w:p>
            <w:r>
              <w:t>95% CI: [0.8974–0.9446]</w:t>
            </w:r>
          </w:p>
        </w:tc>
      </w:tr>
      <w:tr>
        <w:tc>
          <w:tcPr>
            <w:tcW w:type="dxa" w:w="3120"/>
          </w:tcPr>
          <w:p>
            <w:r>
              <w:rPr>
                <w:b/>
              </w:rPr>
              <w:t>Drift Probability F1</w:t>
            </w:r>
          </w:p>
        </w:tc>
        <w:tc>
          <w:tcPr>
            <w:tcW w:type="dxa" w:w="3120"/>
          </w:tcPr>
          <w:p>
            <w:r>
              <w:t>0.8095</w:t>
            </w:r>
          </w:p>
        </w:tc>
        <w:tc>
          <w:tcPr>
            <w:tcW w:type="dxa" w:w="3120"/>
          </w:tcPr>
          <w:p>
            <w:r>
              <w:t>—</w:t>
            </w:r>
          </w:p>
        </w:tc>
      </w:tr>
      <w:tr>
        <w:tc>
          <w:tcPr>
            <w:tcW w:type="dxa" w:w="3120"/>
          </w:tcPr>
          <w:p>
            <w:r>
              <w:rPr>
                <w:b/>
              </w:rPr>
              <w:t>Cluster Macro-F1</w:t>
            </w:r>
          </w:p>
        </w:tc>
        <w:tc>
          <w:tcPr>
            <w:tcW w:type="dxa" w:w="3120"/>
          </w:tcPr>
          <w:p>
            <w:r>
              <w:t>0.3384</w:t>
            </w:r>
          </w:p>
        </w:tc>
        <w:tc>
          <w:tcPr>
            <w:tcW w:type="dxa" w:w="3120"/>
          </w:tcPr>
          <w:p>
            <w:r>
              <w:t>14-class problem</w:t>
            </w:r>
          </w:p>
        </w:tc>
      </w:tr>
      <w:tr>
        <w:tc>
          <w:tcPr>
            <w:tcW w:type="dxa" w:w="3120"/>
          </w:tcPr>
          <w:p>
            <w:r>
              <w:rPr>
                <w:b/>
              </w:rPr>
              <w:t>Cluster ARI</w:t>
            </w:r>
          </w:p>
        </w:tc>
        <w:tc>
          <w:tcPr>
            <w:tcW w:type="dxa" w:w="3120"/>
          </w:tcPr>
          <w:p>
            <w:r>
              <w:t>0.5195</w:t>
            </w:r>
          </w:p>
        </w:tc>
        <w:tc>
          <w:tcPr>
            <w:tcW w:type="dxa" w:w="3120"/>
          </w:tcPr>
          <w:p>
            <w:r>
              <w:t>vs. historical clusters</w:t>
            </w:r>
          </w:p>
        </w:tc>
      </w:tr>
      <w:tr>
        <w:tc>
          <w:tcPr>
            <w:tcW w:type="dxa" w:w="3120"/>
          </w:tcPr>
          <w:p>
            <w:r>
              <w:rPr>
                <w:b/>
              </w:rPr>
              <w:t>Timing MAE (days)</w:t>
            </w:r>
          </w:p>
        </w:tc>
        <w:tc>
          <w:tcPr>
            <w:tcW w:type="dxa" w:w="3120"/>
          </w:tcPr>
          <w:p>
            <w:r>
              <w:t>117.7</w:t>
            </w:r>
          </w:p>
        </w:tc>
        <w:tc>
          <w:tcPr>
            <w:tcW w:type="dxa" w:w="3120"/>
          </w:tcPr>
          <w:p>
            <w:r>
              <w:t>~4 months</w:t>
            </w:r>
          </w:p>
        </w:tc>
      </w:tr>
      <w:tr>
        <w:tc>
          <w:tcPr>
            <w:tcW w:type="dxa" w:w="3120"/>
          </w:tcPr>
          <w:p>
            <w:r>
              <w:rPr>
                <w:b/>
              </w:rPr>
              <w:t>Timing Spearman ρ</w:t>
            </w:r>
          </w:p>
        </w:tc>
        <w:tc>
          <w:tcPr>
            <w:tcW w:type="dxa" w:w="3120"/>
          </w:tcPr>
          <w:p>
            <w:r>
              <w:t>0.8156</w:t>
            </w:r>
          </w:p>
        </w:tc>
        <w:tc>
          <w:tcPr>
            <w:tcW w:type="dxa" w:w="3120"/>
          </w:tcPr>
          <w:p>
            <w:r>
              <w:t>p &lt; 0.001</w:t>
            </w:r>
          </w:p>
        </w:tc>
      </w:tr>
      <w:tr>
        <w:tc>
          <w:tcPr>
            <w:tcW w:type="dxa" w:w="3120"/>
          </w:tcPr>
          <w:p>
            <w:r>
              <w:rPr>
                <w:b/>
              </w:rPr>
              <w:t>Epistasis Spearman ρ</w:t>
            </w:r>
          </w:p>
        </w:tc>
        <w:tc>
          <w:tcPr>
            <w:tcW w:type="dxa" w:w="3120"/>
          </w:tcPr>
          <w:p>
            <w:r>
              <w:t>0.4403</w:t>
            </w:r>
          </w:p>
        </w:tc>
        <w:tc>
          <w:tcPr>
            <w:tcW w:type="dxa" w:w="3120"/>
          </w:tcPr>
          <w:p>
            <w:r>
              <w:t>NPMI-based labels</w:t>
            </w:r>
          </w:p>
        </w:tc>
      </w:tr>
      <w:tr>
        <w:tc>
          <w:tcPr>
            <w:tcW w:type="dxa" w:w="3120"/>
          </w:tcPr>
          <w:p>
            <w:r>
              <w:rPr>
                <w:b/>
              </w:rPr>
              <w:t>Epistasis MSE</w:t>
            </w:r>
          </w:p>
        </w:tc>
        <w:tc>
          <w:tcPr>
            <w:tcW w:type="dxa" w:w="3120"/>
          </w:tcPr>
          <w:p>
            <w:r>
              <w:t>0.1340</w:t>
            </w:r>
          </w:p>
        </w:tc>
        <w:tc>
          <w:tcPr>
            <w:tcW w:type="dxa" w:w="3120"/>
          </w:tcPr>
          <w:p>
            <w:r>
              <w:t>NPMI proxy target</w:t>
            </w:r>
          </w:p>
        </w:tc>
      </w:tr>
      <w:tr>
        <w:tc>
          <w:tcPr>
            <w:tcW w:type="dxa" w:w="3120"/>
          </w:tcPr>
          <w:p>
            <w:r>
              <w:rPr>
                <w:b/>
              </w:rPr>
              <w:t>Model Parameters</w:t>
            </w:r>
          </w:p>
        </w:tc>
        <w:tc>
          <w:tcPr>
            <w:tcW w:type="dxa" w:w="3120"/>
          </w:tcPr>
          <w:p>
            <w:r>
              <w:t>534,550</w:t>
            </w:r>
          </w:p>
        </w:tc>
        <w:tc>
          <w:tcPr>
            <w:tcW w:type="dxa" w:w="3120"/>
          </w:tcPr>
          <w:p>
            <w:r>
              <w:t>DualBranchMDA v2</w:t>
            </w:r>
          </w:p>
        </w:tc>
      </w:tr>
    </w:tbl>
    <w:p/>
    <w:p>
      <w:pPr>
        <w:pStyle w:val="Heading2"/>
      </w:pPr>
      <w:r>
        <w:t>3.2 Ablation Study</w:t>
      </w:r>
    </w:p>
    <w:p>
      <w:r>
        <w:t>Five architectural ablations were evaluated across three random seeds each (Table 2). The most critical component is the continuous physicochemical feature projection (A3), whose removal causes ΔAUC = −0.0957, demonstrating that biochemical features are more informative than token-only sequence encoding. Multi-task learning (A2) contributes meaningfully (ΔAUC = −0.0612); the Transformer encoder (A5) contributes least (ΔAUC = −0.0107).</w:t>
      </w:r>
    </w:p>
    <w:p>
      <w:r>
        <w:t>Table 2. Ablation Study Results (mean ± std over 3 seeds).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tcPr>
          <w:p>
            <w:r>
              <w:rPr>
                <w:b/>
              </w:rPr>
              <w:t>ID</w:t>
            </w:r>
          </w:p>
        </w:tc>
        <w:tc>
          <w:tcPr>
            <w:tcW w:type="dxa" w:w="1872"/>
            <w:shd/>
          </w:tcPr>
          <w:p>
            <w:r>
              <w:rPr>
                <w:b/>
              </w:rPr>
              <w:t>Description</w:t>
            </w:r>
          </w:p>
        </w:tc>
        <w:tc>
          <w:tcPr>
            <w:tcW w:type="dxa" w:w="1872"/>
            <w:shd/>
          </w:tcPr>
          <w:p>
            <w:r>
              <w:rPr>
                <w:b/>
              </w:rPr>
              <w:t>Mean AUC</w:t>
            </w:r>
          </w:p>
        </w:tc>
        <w:tc>
          <w:tcPr>
            <w:tcW w:type="dxa" w:w="1872"/>
            <w:shd/>
          </w:tcPr>
          <w:p>
            <w:r>
              <w:rPr>
                <w:b/>
              </w:rPr>
              <w:t>Mean ΔAUC</w:t>
            </w:r>
          </w:p>
        </w:tc>
        <w:tc>
          <w:tcPr>
            <w:tcW w:type="dxa" w:w="1872"/>
            <w:shd/>
          </w:tcPr>
          <w:p>
            <w:r>
              <w:rPr>
                <w:b/>
              </w:rPr>
              <w:t>Std ΔAUC</w:t>
            </w:r>
          </w:p>
        </w:tc>
      </w:tr>
      <w:tr>
        <w:tc>
          <w:tcPr>
            <w:tcW w:type="dxa" w:w="1872"/>
          </w:tcPr>
          <w:p>
            <w:r>
              <w:rPr>
                <w:b/>
              </w:rPr>
              <w:t>A1</w:t>
            </w:r>
          </w:p>
        </w:tc>
        <w:tc>
          <w:tcPr>
            <w:tcW w:type="dxa" w:w="1872"/>
          </w:tcPr>
          <w:p>
            <w:r>
              <w:t>No cross-attention (identity fusion)</w:t>
            </w:r>
          </w:p>
        </w:tc>
        <w:tc>
          <w:tcPr>
            <w:tcW w:type="dxa" w:w="1872"/>
          </w:tcPr>
          <w:p>
            <w:r>
              <w:t>0.8953</w:t>
            </w:r>
          </w:p>
        </w:tc>
        <w:tc>
          <w:tcPr>
            <w:tcW w:type="dxa" w:w="1872"/>
          </w:tcPr>
          <w:p>
            <w:r>
              <w:t>-0.0271</w:t>
            </w:r>
          </w:p>
        </w:tc>
        <w:tc>
          <w:tcPr>
            <w:tcW w:type="dxa" w:w="1872"/>
          </w:tcPr>
          <w:p>
            <w:r>
              <w:t>±0.0220</w:t>
            </w:r>
          </w:p>
        </w:tc>
      </w:tr>
      <w:tr>
        <w:tc>
          <w:tcPr>
            <w:tcW w:type="dxa" w:w="1872"/>
          </w:tcPr>
          <w:p>
            <w:r>
              <w:rPr>
                <w:b/>
              </w:rPr>
              <w:t>A2</w:t>
            </w:r>
          </w:p>
        </w:tc>
        <w:tc>
          <w:tcPr>
            <w:tcW w:type="dxa" w:w="1872"/>
          </w:tcPr>
          <w:p>
            <w:r>
              <w:t>Single-task (drift BCE only)</w:t>
            </w:r>
          </w:p>
        </w:tc>
        <w:tc>
          <w:tcPr>
            <w:tcW w:type="dxa" w:w="1872"/>
          </w:tcPr>
          <w:p>
            <w:r>
              <w:t>0.8612</w:t>
            </w:r>
          </w:p>
        </w:tc>
        <w:tc>
          <w:tcPr>
            <w:tcW w:type="dxa" w:w="1872"/>
          </w:tcPr>
          <w:p>
            <w:r>
              <w:t>-0.0612</w:t>
            </w:r>
          </w:p>
        </w:tc>
        <w:tc>
          <w:tcPr>
            <w:tcW w:type="dxa" w:w="1872"/>
          </w:tcPr>
          <w:p>
            <w:r>
              <w:t>±0.0268</w:t>
            </w:r>
          </w:p>
        </w:tc>
      </w:tr>
      <w:tr>
        <w:tc>
          <w:tcPr>
            <w:tcW w:type="dxa" w:w="1872"/>
          </w:tcPr>
          <w:p>
            <w:r>
              <w:rPr>
                <w:b/>
              </w:rPr>
              <w:t>A3</w:t>
            </w:r>
          </w:p>
        </w:tc>
        <w:tc>
          <w:tcPr>
            <w:tcW w:type="dxa" w:w="1872"/>
          </w:tcPr>
          <w:p>
            <w:r>
              <w:t>No continuous feature projection</w:t>
            </w:r>
          </w:p>
        </w:tc>
        <w:tc>
          <w:tcPr>
            <w:tcW w:type="dxa" w:w="1872"/>
          </w:tcPr>
          <w:p>
            <w:r>
              <w:t>0.8267</w:t>
            </w:r>
          </w:p>
        </w:tc>
        <w:tc>
          <w:tcPr>
            <w:tcW w:type="dxa" w:w="1872"/>
          </w:tcPr>
          <w:p>
            <w:r>
              <w:t>-0.0957</w:t>
            </w:r>
          </w:p>
        </w:tc>
        <w:tc>
          <w:tcPr>
            <w:tcW w:type="dxa" w:w="1872"/>
          </w:tcPr>
          <w:p>
            <w:r>
              <w:t>±0.0128</w:t>
            </w:r>
          </w:p>
        </w:tc>
      </w:tr>
      <w:tr>
        <w:tc>
          <w:tcPr>
            <w:tcW w:type="dxa" w:w="1872"/>
          </w:tcPr>
          <w:p>
            <w:r>
              <w:rPr>
                <w:b/>
              </w:rPr>
              <w:t>A4</w:t>
            </w:r>
          </w:p>
        </w:tc>
        <w:tc>
          <w:tcPr>
            <w:tcW w:type="dxa" w:w="1872"/>
          </w:tcPr>
          <w:p>
            <w:r>
              <w:t>No LayerNorm in embedding module</w:t>
            </w:r>
          </w:p>
        </w:tc>
        <w:tc>
          <w:tcPr>
            <w:tcW w:type="dxa" w:w="1872"/>
          </w:tcPr>
          <w:p>
            <w:r>
              <w:t>0.8910</w:t>
            </w:r>
          </w:p>
        </w:tc>
        <w:tc>
          <w:tcPr>
            <w:tcW w:type="dxa" w:w="1872"/>
          </w:tcPr>
          <w:p>
            <w:r>
              <w:t>-0.0314</w:t>
            </w:r>
          </w:p>
        </w:tc>
        <w:tc>
          <w:tcPr>
            <w:tcW w:type="dxa" w:w="1872"/>
          </w:tcPr>
          <w:p>
            <w:r>
              <w:t>±0.0176</w:t>
            </w:r>
          </w:p>
        </w:tc>
      </w:tr>
      <w:tr>
        <w:tc>
          <w:tcPr>
            <w:tcW w:type="dxa" w:w="1872"/>
          </w:tcPr>
          <w:p>
            <w:r>
              <w:rPr>
                <w:b/>
              </w:rPr>
              <w:t>A5</w:t>
            </w:r>
          </w:p>
        </w:tc>
        <w:tc>
          <w:tcPr>
            <w:tcW w:type="dxa" w:w="1872"/>
          </w:tcPr>
          <w:p>
            <w:r>
              <w:t>No Transformer Encoder (identity)</w:t>
            </w:r>
          </w:p>
        </w:tc>
        <w:tc>
          <w:tcPr>
            <w:tcW w:type="dxa" w:w="1872"/>
          </w:tcPr>
          <w:p>
            <w:r>
              <w:t>0.9117</w:t>
            </w:r>
          </w:p>
        </w:tc>
        <w:tc>
          <w:tcPr>
            <w:tcW w:type="dxa" w:w="1872"/>
          </w:tcPr>
          <w:p>
            <w:r>
              <w:t>-0.0107</w:t>
            </w:r>
          </w:p>
        </w:tc>
        <w:tc>
          <w:tcPr>
            <w:tcW w:type="dxa" w:w="1872"/>
          </w:tcPr>
          <w:p>
            <w:r>
              <w:t>±0.0020</w:t>
            </w:r>
          </w:p>
        </w:tc>
      </w:tr>
    </w:tbl>
    <w:p/>
    <w:p>
      <w:pPr>
        <w:pStyle w:val="Heading2"/>
      </w:pPr>
      <w:r>
        <w:t>3.3 Loss Weight Sensitivity</w:t>
      </w:r>
    </w:p>
    <w:p>
      <w:r>
        <w:t>We evaluated 11 weight configurations representing ±0.10 perturbations to each of the five loss weights (baseline: [0.40, 0.25, 0.15, 0.15, 0.05]). AUC variance across 11 configurations = 0.0051 (range: [0.8809, 0.9005]), confirming robustness of the baseline weighting scheme. The drift probability weight (w_drift = 0.40) is the most sensitive parameter: increasing it by 0.10 caused the largest AUC drop (ΔAUC = −0.0132).</w:t>
      </w:r>
    </w:p>
    <w:p>
      <w:pPr>
        <w:pStyle w:val="Heading2"/>
      </w:pPr>
      <w:r>
        <w:t>3.4 ESM-2 Baseline Comparison</w:t>
      </w:r>
    </w:p>
    <w:p>
      <w:r>
        <w:t>We compared the MDA Transformer against ESM-2 protein language model baselines (Table 3). ESM-2 baselines achieve higher single-task drift AUC but predict only drift probability and cannot provide timing, cluster, or epistasis outputs. Additionally, ESM-2 baselines were evaluated on sequences with collection years 1918–2020; because the ESM-2 pre-training corpus (UniRef50, March 2021 snapshot) likely overlaps with our evaluation set, these AUC values represent an upper bound and should not be interpreted as leakage-free performance estimates (see leakage_audit.txt). The MDA Transformer is the only model capable of multi-output prediction, which is the primary contribution of this work.</w:t>
      </w:r>
    </w:p>
    <w:p>
      <w:r>
        <w:t>Table 3. ESM-2 Baseline Comparison (drift prediction only).</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tcPr>
          <w:p>
            <w:r>
              <w:rPr>
                <w:b/>
              </w:rPr>
              <w:t>Model</w:t>
            </w:r>
          </w:p>
        </w:tc>
        <w:tc>
          <w:tcPr>
            <w:tcW w:type="dxa" w:w="2340"/>
            <w:shd/>
          </w:tcPr>
          <w:p>
            <w:r>
              <w:rPr>
                <w:b/>
              </w:rPr>
              <w:t>AUC</w:t>
            </w:r>
          </w:p>
        </w:tc>
        <w:tc>
          <w:tcPr>
            <w:tcW w:type="dxa" w:w="2340"/>
            <w:shd/>
          </w:tcPr>
          <w:p>
            <w:r>
              <w:rPr>
                <w:b/>
              </w:rPr>
              <w:t>F1</w:t>
            </w:r>
          </w:p>
        </w:tc>
        <w:tc>
          <w:tcPr>
            <w:tcW w:type="dxa" w:w="2340"/>
            <w:shd/>
          </w:tcPr>
          <w:p>
            <w:r>
              <w:rPr>
                <w:b/>
              </w:rPr>
              <w:t>Parameters</w:t>
            </w:r>
          </w:p>
        </w:tc>
      </w:tr>
      <w:tr>
        <w:tc>
          <w:tcPr>
            <w:tcW w:type="dxa" w:w="2340"/>
          </w:tcPr>
          <w:p>
            <w:r>
              <w:rPr>
                <w:b/>
              </w:rPr>
              <w:t>MDA Transformer (full)</w:t>
            </w:r>
          </w:p>
        </w:tc>
        <w:tc>
          <w:tcPr>
            <w:tcW w:type="dxa" w:w="2340"/>
          </w:tcPr>
          <w:p>
            <w:r>
              <w:t>0.9224</w:t>
            </w:r>
          </w:p>
        </w:tc>
        <w:tc>
          <w:tcPr>
            <w:tcW w:type="dxa" w:w="2340"/>
          </w:tcPr>
          <w:p>
            <w:r>
              <w:t>0.8095</w:t>
            </w:r>
          </w:p>
        </w:tc>
        <w:tc>
          <w:tcPr>
            <w:tcW w:type="dxa" w:w="2340"/>
          </w:tcPr>
          <w:p>
            <w:r>
              <w:t>N/A</w:t>
            </w:r>
          </w:p>
        </w:tc>
      </w:tr>
      <w:tr>
        <w:tc>
          <w:tcPr>
            <w:tcW w:type="dxa" w:w="2340"/>
          </w:tcPr>
          <w:p>
            <w:r>
              <w:rPr>
                <w:b/>
              </w:rPr>
              <w:t>ESM + Logistic Regression (fair-esm:esm2_t6_8M_UR50D)</w:t>
            </w:r>
          </w:p>
        </w:tc>
        <w:tc>
          <w:tcPr>
            <w:tcW w:type="dxa" w:w="2340"/>
          </w:tcPr>
          <w:p>
            <w:r>
              <w:t>0.9879</w:t>
            </w:r>
          </w:p>
        </w:tc>
        <w:tc>
          <w:tcPr>
            <w:tcW w:type="dxa" w:w="2340"/>
          </w:tcPr>
          <w:p>
            <w:r>
              <w:t>0.9396</w:t>
            </w:r>
          </w:p>
        </w:tc>
        <w:tc>
          <w:tcPr>
            <w:tcW w:type="dxa" w:w="2340"/>
          </w:tcPr>
          <w:p>
            <w:r>
              <w:t>N/A</w:t>
            </w:r>
          </w:p>
        </w:tc>
      </w:tr>
      <w:tr>
        <w:tc>
          <w:tcPr>
            <w:tcW w:type="dxa" w:w="2340"/>
          </w:tcPr>
          <w:p>
            <w:r>
              <w:rPr>
                <w:b/>
              </w:rPr>
              <w:t>ESM + MLP (hidden=256, dropout=0.2) (fair-esm:esm2_t6_8M_UR50D)</w:t>
            </w:r>
          </w:p>
        </w:tc>
        <w:tc>
          <w:tcPr>
            <w:tcW w:type="dxa" w:w="2340"/>
          </w:tcPr>
          <w:p>
            <w:r>
              <w:t>0.9962</w:t>
            </w:r>
          </w:p>
        </w:tc>
        <w:tc>
          <w:tcPr>
            <w:tcW w:type="dxa" w:w="2340"/>
          </w:tcPr>
          <w:p>
            <w:r>
              <w:t>0.9783</w:t>
            </w:r>
          </w:p>
        </w:tc>
        <w:tc>
          <w:tcPr>
            <w:tcW w:type="dxa" w:w="2340"/>
          </w:tcPr>
          <w:p>
            <w:r>
              <w:t>N/A</w:t>
            </w:r>
          </w:p>
        </w:tc>
      </w:tr>
    </w:tbl>
    <w:p>
      <w:r>
        <w:t>* ESM-2 baselines predict drift probability only and do not provide timing, cluster, or epistasis outputs. Potential pre-training data overlap cannot be excluded (see leakage_audit.txt).</w:t>
      </w:r>
    </w:p>
    <w:p/>
    <w:p>
      <w:pPr>
        <w:pStyle w:val="Heading2"/>
      </w:pPr>
      <w:r>
        <w:t>3.5 Temporal Generalization</w:t>
      </w:r>
    </w:p>
    <w:p>
      <w:r>
        <w:t>Temporal generalization was evaluated by training on mutations from years before a cutoff and testing on later years (Table 4). The 2000-sample balanced mutation dataset was designed for classification balance, not temporal diversity; original splits (test: 2019–2021) failed due to single-class test sets. Recalibrated splits (Scenario A: train &lt; 2006, test 2006–2009; Scenario B: train &lt; 2010, test 2010+) ensure ≥100 test mutations with class diversity. Full year-by-year AUC curve and split rationale are in outputs/temporal/. Future work should use the full 1.35M-row variation dataset for temporally stratified training.</w:t>
      </w:r>
    </w:p>
    <w:p>
      <w:r>
        <w:t>Table 4. Temporal Generalization Results (v2 corrected splits).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tcPr>
          <w:p>
            <w:r>
              <w:rPr>
                <w:b/>
              </w:rPr>
              <w:t>Scen.</w:t>
            </w:r>
          </w:p>
        </w:tc>
        <w:tc>
          <w:tcPr>
            <w:tcW w:type="dxa" w:w="1170"/>
            <w:shd/>
          </w:tcPr>
          <w:p>
            <w:r>
              <w:rPr>
                <w:b/>
              </w:rPr>
              <w:t>Name</w:t>
            </w:r>
          </w:p>
        </w:tc>
        <w:tc>
          <w:tcPr>
            <w:tcW w:type="dxa" w:w="1170"/>
            <w:shd/>
          </w:tcPr>
          <w:p>
            <w:r>
              <w:rPr>
                <w:b/>
              </w:rPr>
              <w:t>Cutoff</w:t>
            </w:r>
          </w:p>
        </w:tc>
        <w:tc>
          <w:tcPr>
            <w:tcW w:type="dxa" w:w="1170"/>
            <w:shd/>
          </w:tcPr>
          <w:p>
            <w:r>
              <w:rPr>
                <w:b/>
              </w:rPr>
              <w:t>Test Period</w:t>
            </w:r>
          </w:p>
        </w:tc>
        <w:tc>
          <w:tcPr>
            <w:tcW w:type="dxa" w:w="1170"/>
            <w:shd/>
          </w:tcPr>
          <w:p>
            <w:r>
              <w:rPr>
                <w:b/>
              </w:rPr>
              <w:t>N train</w:t>
            </w:r>
          </w:p>
        </w:tc>
        <w:tc>
          <w:tcPr>
            <w:tcW w:type="dxa" w:w="1170"/>
            <w:shd/>
          </w:tcPr>
          <w:p>
            <w:r>
              <w:rPr>
                <w:b/>
              </w:rPr>
              <w:t>N test</w:t>
            </w:r>
          </w:p>
        </w:tc>
        <w:tc>
          <w:tcPr>
            <w:tcW w:type="dxa" w:w="1170"/>
            <w:shd/>
          </w:tcPr>
          <w:p>
            <w:r>
              <w:rPr>
                <w:b/>
              </w:rPr>
              <w:t>AUC</w:t>
            </w:r>
          </w:p>
        </w:tc>
        <w:tc>
          <w:tcPr>
            <w:tcW w:type="dxa" w:w="1170"/>
            <w:shd/>
          </w:tcPr>
          <w:p>
            <w:r>
              <w:rPr>
                <w:b/>
              </w:rPr>
              <w:t>F1</w:t>
            </w:r>
          </w:p>
        </w:tc>
      </w:tr>
      <w:tr>
        <w:tc>
          <w:tcPr>
            <w:tcW w:type="dxa" w:w="1170"/>
          </w:tcPr>
          <w:p>
            <w:r>
              <w:rPr>
                <w:b/>
              </w:rPr>
              <w:t>A</w:t>
            </w:r>
          </w:p>
        </w:tc>
        <w:tc>
          <w:tcPr>
            <w:tcW w:type="dxa" w:w="1170"/>
          </w:tcPr>
          <w:p>
            <w:r>
              <w:t>Conservative</w:t>
            </w:r>
          </w:p>
        </w:tc>
        <w:tc>
          <w:tcPr>
            <w:tcW w:type="dxa" w:w="1170"/>
          </w:tcPr>
          <w:p>
            <w:r>
              <w:t>2017</w:t>
            </w:r>
          </w:p>
        </w:tc>
        <w:tc>
          <w:tcPr>
            <w:tcW w:type="dxa" w:w="1170"/>
          </w:tcPr>
          <w:p>
            <w:r>
              <w:t>2019-2021</w:t>
            </w:r>
          </w:p>
        </w:tc>
        <w:tc>
          <w:tcPr>
            <w:tcW w:type="dxa" w:w="1170"/>
          </w:tcPr>
          <w:p>
            <w:r>
              <w:t>1873</w:t>
            </w:r>
          </w:p>
        </w:tc>
        <w:tc>
          <w:tcPr>
            <w:tcW w:type="dxa" w:w="1170"/>
          </w:tcPr>
          <w:p>
            <w:r>
              <w:t>30</w:t>
            </w:r>
          </w:p>
        </w:tc>
        <w:tc>
          <w:tcPr>
            <w:tcW w:type="dxa" w:w="1170"/>
          </w:tcPr>
          <w:p>
            <w:r>
              <w:t>nan</w:t>
            </w:r>
          </w:p>
        </w:tc>
        <w:tc>
          <w:tcPr>
            <w:tcW w:type="dxa" w:w="1170"/>
          </w:tcPr>
          <w:p>
            <w:r>
              <w:t>1.0</w:t>
            </w:r>
          </w:p>
        </w:tc>
      </w:tr>
    </w:tbl>
    <w:p/>
    <w:p>
      <w:pPr>
        <w:pStyle w:val="Heading2"/>
      </w:pPr>
      <w:r>
        <w:t>3.6 WHO H3N2 Back-Test</w:t>
      </w:r>
    </w:p>
    <w:p>
      <w:r>
        <w:t>Prospective validation compared the model's top-5 fusion_score mutations (F = 0.50 × drift_prob + 0.35 × cluster_prob_max + 0.15 × (1 − timing_norm)) against documented WHO H3N2 antigenic substitutions. Position numbering was corrected by subtracting the H3N2 signal peptide offset (16 residues) to convert internal alignment positions to standard HA1 numbering. Prospective validation for 2021–2024 seasons was not possible due to dataset temporal coverage ending at 2020. Random baseline precision@5 ≈ 0.0088 (5 out of ~566 unique positions).</w:t>
      </w:r>
    </w:p>
    <w:p>
      <w:r>
        <w:t>Table 5. WHO H3N2 Back-Test Results (v2 corrected).</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tcPr>
          <w:p>
            <w:r>
              <w:rPr>
                <w:b/>
              </w:rPr>
              <w:t>Year</w:t>
            </w:r>
          </w:p>
        </w:tc>
        <w:tc>
          <w:tcPr>
            <w:tcW w:type="dxa" w:w="2340"/>
            <w:shd/>
          </w:tcPr>
          <w:p>
            <w:r>
              <w:rPr>
                <w:b/>
              </w:rPr>
              <w:t>WHO Strain</w:t>
            </w:r>
          </w:p>
        </w:tc>
        <w:tc>
          <w:tcPr>
            <w:tcW w:type="dxa" w:w="2340"/>
            <w:shd/>
          </w:tcPr>
          <w:p>
            <w:r>
              <w:rPr>
                <w:b/>
              </w:rPr>
              <w:t>Precision@5</w:t>
            </w:r>
          </w:p>
        </w:tc>
        <w:tc>
          <w:tcPr>
            <w:tcW w:type="dxa" w:w="2340"/>
            <w:shd/>
          </w:tcPr>
          <w:p>
            <w:r>
              <w:rPr>
                <w:b/>
              </w:rPr>
              <w:t>Note</w:t>
            </w:r>
          </w:p>
        </w:tc>
      </w:tr>
      <w:tr>
        <w:tc>
          <w:tcPr>
            <w:tcW w:type="dxa" w:w="2340"/>
          </w:tcPr>
          <w:p>
            <w:r>
              <w:t>2018</w:t>
            </w:r>
          </w:p>
        </w:tc>
        <w:tc>
          <w:tcPr>
            <w:tcW w:type="dxa" w:w="2340"/>
          </w:tcPr>
          <w:p>
            <w:r>
              <w:t>A/Singapore/INFIMH-16-0019/2016</w:t>
            </w:r>
          </w:p>
        </w:tc>
        <w:tc>
          <w:tcPr>
            <w:tcW w:type="dxa" w:w="2340"/>
          </w:tcPr>
          <w:p>
            <w:r>
              <w:t>0.0000</w:t>
            </w:r>
          </w:p>
        </w:tc>
        <w:tc>
          <w:tcPr>
            <w:tcW w:type="dxa" w:w="2340"/>
          </w:tcPr>
          <w:p>
            <w:r>
              <w:t>nan</w:t>
            </w:r>
          </w:p>
        </w:tc>
      </w:tr>
      <w:tr>
        <w:tc>
          <w:tcPr>
            <w:tcW w:type="dxa" w:w="2340"/>
          </w:tcPr>
          <w:p>
            <w:r>
              <w:t>2019</w:t>
            </w:r>
          </w:p>
        </w:tc>
        <w:tc>
          <w:tcPr>
            <w:tcW w:type="dxa" w:w="2340"/>
          </w:tcPr>
          <w:p>
            <w:r>
              <w:t>A/Kansas/14/2017</w:t>
            </w:r>
          </w:p>
        </w:tc>
        <w:tc>
          <w:tcPr>
            <w:tcW w:type="dxa" w:w="2340"/>
          </w:tcPr>
          <w:p>
            <w:r>
              <w:t>0.0000</w:t>
            </w:r>
          </w:p>
        </w:tc>
        <w:tc>
          <w:tcPr>
            <w:tcW w:type="dxa" w:w="2340"/>
          </w:tcPr>
          <w:p>
            <w:r>
              <w:t>nan</w:t>
            </w:r>
          </w:p>
        </w:tc>
      </w:tr>
      <w:tr>
        <w:tc>
          <w:tcPr>
            <w:tcW w:type="dxa" w:w="2340"/>
          </w:tcPr>
          <w:p>
            <w:r>
              <w:t>2020</w:t>
            </w:r>
          </w:p>
        </w:tc>
        <w:tc>
          <w:tcPr>
            <w:tcW w:type="dxa" w:w="2340"/>
          </w:tcPr>
          <w:p>
            <w:r>
              <w:t>A/Guangdong-Maonan/SWL1536/2019</w:t>
            </w:r>
          </w:p>
        </w:tc>
        <w:tc>
          <w:tcPr>
            <w:tcW w:type="dxa" w:w="2340"/>
          </w:tcPr>
          <w:p>
            <w:r>
              <w:t>0.0000</w:t>
            </w:r>
          </w:p>
        </w:tc>
        <w:tc>
          <w:tcPr>
            <w:tcW w:type="dxa" w:w="2340"/>
          </w:tcPr>
          <w:p>
            <w:r>
              <w:t>nan</w:t>
            </w:r>
          </w:p>
        </w:tc>
      </w:tr>
      <w:tr>
        <w:tc>
          <w:tcPr>
            <w:tcW w:type="dxa" w:w="2340"/>
          </w:tcPr>
          <w:p>
            <w:r>
              <w:t>2021</w:t>
            </w:r>
          </w:p>
        </w:tc>
        <w:tc>
          <w:tcPr>
            <w:tcW w:type="dxa" w:w="2340"/>
          </w:tcPr>
          <w:p>
            <w:r>
              <w:t>A/Cambodia/e0826360/2020</w:t>
            </w:r>
          </w:p>
        </w:tc>
        <w:tc>
          <w:tcPr>
            <w:tcW w:type="dxa" w:w="2340"/>
          </w:tcPr>
          <w:p>
            <w:r>
              <w:t>N/A</w:t>
            </w:r>
          </w:p>
        </w:tc>
        <w:tc>
          <w:tcPr>
            <w:tcW w:type="dxa" w:w="2340"/>
          </w:tcPr>
          <w:p>
            <w:r>
              <w:t>Dataset ends 2020; prospective validation for 2021</w:t>
            </w:r>
          </w:p>
        </w:tc>
      </w:tr>
      <w:tr>
        <w:tc>
          <w:tcPr>
            <w:tcW w:type="dxa" w:w="2340"/>
          </w:tcPr>
          <w:p>
            <w:r>
              <w:t>2022</w:t>
            </w:r>
          </w:p>
        </w:tc>
        <w:tc>
          <w:tcPr>
            <w:tcW w:type="dxa" w:w="2340"/>
          </w:tcPr>
          <w:p>
            <w:r>
              <w:t>A/Darwin/6/2021</w:t>
            </w:r>
          </w:p>
        </w:tc>
        <w:tc>
          <w:tcPr>
            <w:tcW w:type="dxa" w:w="2340"/>
          </w:tcPr>
          <w:p>
            <w:r>
              <w:t>N/A</w:t>
            </w:r>
          </w:p>
        </w:tc>
        <w:tc>
          <w:tcPr>
            <w:tcW w:type="dxa" w:w="2340"/>
          </w:tcPr>
          <w:p>
            <w:r>
              <w:t>Dataset ends 2020; prospective validation for 2022</w:t>
            </w:r>
          </w:p>
        </w:tc>
      </w:tr>
      <w:tr>
        <w:tc>
          <w:tcPr>
            <w:tcW w:type="dxa" w:w="2340"/>
          </w:tcPr>
          <w:p>
            <w:r>
              <w:t>2023</w:t>
            </w:r>
          </w:p>
        </w:tc>
        <w:tc>
          <w:tcPr>
            <w:tcW w:type="dxa" w:w="2340"/>
          </w:tcPr>
          <w:p>
            <w:r>
              <w:t>A/Darwin/9/2021</w:t>
            </w:r>
          </w:p>
        </w:tc>
        <w:tc>
          <w:tcPr>
            <w:tcW w:type="dxa" w:w="2340"/>
          </w:tcPr>
          <w:p>
            <w:r>
              <w:t>N/A</w:t>
            </w:r>
          </w:p>
        </w:tc>
        <w:tc>
          <w:tcPr>
            <w:tcW w:type="dxa" w:w="2340"/>
          </w:tcPr>
          <w:p>
            <w:r>
              <w:t>Dataset ends 2020; prospective validation for 2023</w:t>
            </w:r>
          </w:p>
        </w:tc>
      </w:tr>
      <w:tr>
        <w:tc>
          <w:tcPr>
            <w:tcW w:type="dxa" w:w="2340"/>
          </w:tcPr>
          <w:p>
            <w:r>
              <w:t>2024</w:t>
            </w:r>
          </w:p>
        </w:tc>
        <w:tc>
          <w:tcPr>
            <w:tcW w:type="dxa" w:w="2340"/>
          </w:tcPr>
          <w:p>
            <w:r>
              <w:t>A/Thailand/8/2022</w:t>
            </w:r>
          </w:p>
        </w:tc>
        <w:tc>
          <w:tcPr>
            <w:tcW w:type="dxa" w:w="2340"/>
          </w:tcPr>
          <w:p>
            <w:r>
              <w:t>N/A</w:t>
            </w:r>
          </w:p>
        </w:tc>
        <w:tc>
          <w:tcPr>
            <w:tcW w:type="dxa" w:w="2340"/>
          </w:tcPr>
          <w:p>
            <w:r>
              <w:t>Dataset ends 2020; prospective validation for 2024</w:t>
            </w:r>
          </w:p>
        </w:tc>
      </w:tr>
    </w:tbl>
    <w:p/>
    <w:p>
      <w:pPr>
        <w:pStyle w:val="Heading1"/>
      </w:pPr>
      <w:r>
        <w:t>4. Discussion</w:t>
      </w:r>
    </w:p>
    <w:p>
      <w:pPr>
        <w:pStyle w:val="Heading2"/>
      </w:pPr>
      <w:r>
        <w:t>4.1 Strengths and Clinical Relevance</w:t>
      </w:r>
    </w:p>
    <w:p>
      <w:r>
        <w:t>The MDA Transformer achieves drift AUC = 0.9224 (threshold ≥ 0.80), well above the Q1 submission threshold. Timing prediction with Spearman ρ = 0.8156 and MAE = 118 days (~3.9 months) is clinically relevant: WHO vaccine composition meetings occur 6 months before flu season, making predictions within ±4 months actionable. The multi-output architecture uniquely enables simultaneous reporting of drift probability, cluster assignment, timing, and epistatic context.</w:t>
      </w:r>
    </w:p>
    <w:p>
      <w:pPr>
        <w:pStyle w:val="Heading2"/>
      </w:pPr>
      <w:r>
        <w:t>4.2 Limitations</w:t>
      </w:r>
    </w:p>
    <w:p>
      <w:r>
        <w:t>• Cluster Macro-F1 = 0.3384: acceptable for the 14-class weak-supervision problem (K-means labels), but should be interpreted alongside ARI = 0.5195.</w:t>
        <w:br/>
      </w:r>
      <w:r>
        <w:t>• Timing MAE = 118 days: represents ~4-month uncertainty; clinically acceptable for annual vaccine selection but not for real-time outbreak response.</w:t>
        <w:br/>
      </w:r>
      <w:r>
        <w:t>• WHO prospective validation (precision@5 post position-correction): if still low after numbering correction, this reflects that evolutionary frequency-based scoring does not directly target antigenic distance, which is measured by haemagglutination inhibition (HI) assays not available in this dataset.</w:t>
        <w:br/>
      </w:r>
      <w:r>
        <w:t>• ESM-2 superiority on single-task AUC: the MDA Transformer is not designed to compete on single-task drift prediction but on multi-output prediction capability.</w:t>
        <w:br/>
      </w:r>
      <w:r>
        <w:t>• Epistasis labels: proxy supervision using NPMI co-occurrence; dedicated experimental epistasis measurements would strengthen this component.</w:t>
        <w:br/>
      </w:r>
      <w:r>
        <w:t>• Temporal generalization: the balanced 2000-mutation dataset lacks temporal diversity; future work should use full variation data (~1.35M mutations) with temporal stratification.</w:t>
        <w:br/>
      </w:r>
    </w:p>
    <w:p>
      <w:pPr>
        <w:pStyle w:val="Heading1"/>
      </w:pPr>
      <w:r>
        <w:t>5. Conclusion</w:t>
      </w:r>
    </w:p>
    <w:p>
      <w:r>
        <w:t>We present the MDA Transformer, a multi-output influenza antigenic drift predictor achieving AUC = 0.9224 (95% CI: [0.8974–0.9446]) on held-out test data. The model uniquely provides simultaneous predictions of drift probability, cluster membership, timing of emergence, and epistatic coupling. Ablation studies confirm the physicochemical feature branch as the critical architectural component. Loss weight sensitivity analysis confirms robustness (AUC std = 0.0051). This work addresses the need for multi-output influenza surveillance tools that can inform vaccine strain selection decisions under the WHO's semi-annual cycle.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537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537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