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0"/>
        </w:rPr>
        <w:t>Manuscript Draft Sections</w:t>
      </w:r>
    </w:p>
    <w:p>
      <w:pPr>
        <w:spacing w:after="240"/>
      </w:pPr>
      <w:r>
        <w:rPr>
          <w:rFonts w:ascii="Calibri" w:hAnsi="Calibri"/>
          <w:i/>
          <w:color w:val="555555"/>
          <w:sz w:val="24"/>
        </w:rPr>
        <w:t>Missingness-aware imputation and adaptive forecasting for PM2.5 air-quality prediction</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360"/>
            <w:shd w:fill="F4F6F9"/>
            <w:tcMar>
              <w:top w:w="80" w:type="dxa"/>
              <w:bottom w:w="80" w:type="dxa"/>
              <w:start w:w="120" w:type="dxa"/>
              <w:end w:w="120" w:type="dxa"/>
            </w:tcMar>
            <w:vAlign w:val="center"/>
          </w:tcPr>
          <w:p>
            <w:pPr>
              <w:spacing w:before="0" w:after="80" w:line="280" w:lineRule="auto"/>
              <w:jc w:val="left"/>
            </w:pPr>
            <w:r>
              <w:rPr>
                <w:rFonts w:ascii="Calibri" w:hAnsi="Calibri"/>
                <w:b/>
                <w:color w:val="0B2545"/>
                <w:sz w:val="21"/>
              </w:rPr>
              <w:t>Honest claim used in this draft: the adaptive portfolio improves RMSE in all 9 dataset-horizon comparisons, and the global same-direction pattern is statistically supported. The current evidence does not support claiming independent statistical significance for every individual cell.</w:t>
            </w:r>
          </w:p>
        </w:tc>
      </w:tr>
    </w:tbl>
    <w:p/>
    <w:p>
      <w:pPr>
        <w:pStyle w:val="Heading1"/>
      </w:pPr>
      <w:r>
        <w:t>Abstract</w:t>
      </w:r>
    </w:p>
    <w:p>
      <w:r>
        <w:rPr>
          <w:rFonts w:ascii="Calibri" w:hAnsi="Calibri"/>
        </w:rPr>
        <w:t>Air-quality forecasting is complicated by irregular and often non-random missingness, especially in PM2.5 monitoring data from dense urban environments. This study evaluates whether a merged hybrid_top8 imputation strategy, combined with missingness-aware model selection, improves multi-horizon PM2.5 forecasting across three city-level datasets: Dhaka, Delhi, and Beijing. The forecasting task was evaluated at 6, 24, and 72 hour horizons using chronological train-validation-test splits and paired test-set comparisons. The model pool included statistical baselines, ARIMA/SARIMA, recurrent neural networks, DLinear, Transformer/MAT variants, tabular tree ensembles, and validation-selected ensembles. Rather than claiming that one imputation method improves every standalone backbone, the proposed final system uses validation evidence to select or blend the strongest model configuration for each dataset-horizon setting.</w:t>
      </w:r>
    </w:p>
    <w:p>
      <w:r>
        <w:rPr>
          <w:rFonts w:ascii="Calibri" w:hAnsi="Calibri"/>
        </w:rPr>
        <w:t>The resulting adaptive portfolio reduced RMSE relative to the previous best result in all 9 dataset-horizon comparisons, with relative gains ranging from 0.90% to 11.64% and a mean gain of 4.08%. The universal directional pattern was statistically supported by an exact one-sided sign test (p = 0.001953), a one-sided Wilcoxon signed-rank test (p = 0.001953), Fisher-combined one-sided Diebold-Mariano evidence (p = 1.52841e-05), and weighted Stouffer-combined evidence (p = 3.85672e-05). However, under a conservative cell-level criterion requiring a negative RMSE difference, a paired-bootstrap confidence interval below zero, and DM p &lt; 0.05, only 2 of 9 individual cells were independently significant. The findings therefore support a defensible global superiority claim for the adaptive missingness-aware forecasting portfolio on the tested benchmarks, while showing that direct imputation benefits are model- and horizon-dependent.</w:t>
      </w:r>
    </w:p>
    <w:p>
      <w:pPr>
        <w:pStyle w:val="Heading1"/>
      </w:pPr>
      <w:r>
        <w:t>Introduction</w:t>
      </w:r>
    </w:p>
    <w:p>
      <w:r>
        <w:rPr>
          <w:rFonts w:ascii="Calibri" w:hAnsi="Calibri"/>
        </w:rPr>
        <w:t>Fine-grained PM2.5 forecasting is a core requirement for air-quality early warning, public-health planning, and pollution exposure assessment. In practice, forecasting systems must operate on monitoring streams that contain sensor outages, maintenance gaps, communication failures, calibration anomalies, and weather-dependent observation patterns. Missing values are therefore not a peripheral preprocessing inconvenience; they are part of the data-generating environment that the forecaster must learn to handle.</w:t>
      </w:r>
    </w:p>
    <w:p>
      <w:r>
        <w:rPr>
          <w:rFonts w:ascii="Calibri" w:hAnsi="Calibri"/>
        </w:rPr>
        <w:t>A common response is to impute missing observations before training a forecasting model. Simple imputers such as forward fill, interpolation, mean replacement, or KNN imputation can stabilize the input matrix, but they may also remove information carried by the missingness pattern itself. Deep forecasting models face a related problem: once values are filled, the model may treat observed and reconstructed values as equally reliable unless explicit masks or missingness-aware features are supplied. This is especially important for air-quality data, where long gaps and seasonally structured missingness can alter the apparent dynamics of PM2.5 concentration.</w:t>
      </w:r>
    </w:p>
    <w:p>
      <w:r>
        <w:rPr>
          <w:rFonts w:ascii="Calibri" w:hAnsi="Calibri"/>
        </w:rPr>
        <w:t>The present work addresses this issue by treating imputation and forecasting as a linked model-selection problem rather than as a fixed preprocessing step. The study first constructs a merged hybrid_top8 imputation representation from the strongest imputation candidates available in the experimental benchmark. It then evaluates a broad model pool that includes statistical models, recurrent networks, linear sequence models, and Transformer-style missingness-aware architectures. Finally, an adaptive portfolio selects or blends models using validation performance, and the selected configuration is assessed on held-out test periods.</w:t>
      </w:r>
    </w:p>
    <w:p>
      <w:r>
        <w:rPr>
          <w:rFonts w:ascii="Calibri" w:hAnsi="Calibri"/>
        </w:rPr>
        <w:t>The central contribution is not the assertion that hybrid imputation universally improves every individual model. The experiments show that such a statement would be inaccurate: some backbones improve, while others degrade after direct imputation. The contribution is instead an empirically validated adaptive framework that uses imputation, masks, model diversity, and validation-based selection to obtain consistent test-set gains across all evaluated city-horizon combinations. This framing is important for a Q1 journal submission because it distinguishes a robust global result from an overgeneralized preprocessing claim.</w:t>
      </w:r>
    </w:p>
    <w:p>
      <w:pPr>
        <w:pStyle w:val="Heading1"/>
      </w:pPr>
      <w:r>
        <w:t>Methodology</w:t>
      </w:r>
    </w:p>
    <w:p>
      <w:pPr>
        <w:pStyle w:val="Heading2"/>
      </w:pPr>
      <w:r>
        <w:t>Data and Forecasting Task</w:t>
      </w:r>
    </w:p>
    <w:p>
      <w:r>
        <w:rPr>
          <w:rFonts w:ascii="Calibri" w:hAnsi="Calibri"/>
        </w:rPr>
        <w:t>The experiments used PM2.5 time-series datasets for Dhaka, Delhi, and Beijing. Each dataset was evaluated under a chronological forecasting protocol to avoid temporal leakage. Models were trained on historical observations, tuned or selected using a validation period, and finally evaluated on a held-out test period. Forecasting performance was measured at 6, 24, and 72 hour horizons, which represent short-, medium-, and longer-range operational use cases.</w:t>
      </w:r>
    </w:p>
    <w:p>
      <w:r>
        <w:rPr>
          <w:rFonts w:ascii="Calibri" w:hAnsi="Calibri"/>
        </w:rPr>
        <w:t>The primary metric reported in the comparative results is RMSE, because it penalizes large forecasting errors and is widely used in PM2.5 forecasting benchmarks. MAE and R2 were also tracked where available, but the final cross-model claims are based on RMSE to maintain a single, consistent ranking criterion.</w:t>
      </w:r>
    </w:p>
    <w:p>
      <w:pPr>
        <w:pStyle w:val="Heading2"/>
      </w:pPr>
      <w:r>
        <w:t>Merged hybrid_top8 Imputation</w:t>
      </w:r>
    </w:p>
    <w:p>
      <w:r>
        <w:rPr>
          <w:rFonts w:ascii="Calibri" w:hAnsi="Calibri"/>
        </w:rPr>
        <w:t>The imputation stage used the merged hybrid_top8 representation derived from the strongest imputation candidates in the benchmark outputs. The objective was to recover a complete forecasting input while retaining the information that values were originally missing. For models able to use missingness indicators, imputed values were paired with masks or missingness-aware features so that reconstructed observations were not treated identically to directly observed measurements.</w:t>
      </w:r>
    </w:p>
    <w:p>
      <w:r>
        <w:rPr>
          <w:rFonts w:ascii="Calibri" w:hAnsi="Calibri"/>
        </w:rPr>
        <w:t>The imputed representation was evaluated in two ways. First, direct before-after comparisons were performed for all model families with available paired artifacts. Second, hybrid_top8 was included in the broader adaptive forecasting portfolio, where its value was judged by validation-selected downstream forecast accuracy rather than by imputation error alone.</w:t>
      </w:r>
    </w:p>
    <w:p>
      <w:pPr>
        <w:pStyle w:val="Heading2"/>
      </w:pPr>
      <w:r>
        <w:t>Forecasting Model Pool</w:t>
      </w:r>
    </w:p>
    <w:p>
      <w:r>
        <w:rPr>
          <w:rFonts w:ascii="Calibri" w:hAnsi="Calibri"/>
        </w:rPr>
        <w:t>The implemented model pool covered both classical and neural forecasting families: persistence and seasonal baselines, ARIMA/SARIMA, LSTM, GRU, GRU-D, DLinear, PatchTST when available, Transformer/MAT variants, missingness-dropout variants, tabular ExtraTrees models, and ensemble configurations. This breadth was included to test whether missingness handling transfers across modeling assumptions rather than only within a single neural architecture.</w:t>
      </w:r>
    </w:p>
    <w:p>
      <w:r>
        <w:rPr>
          <w:rFonts w:ascii="Calibri" w:hAnsi="Calibri"/>
        </w:rPr>
        <w:t>For the final reported system, validation performance determined the selected portfolio member for each dataset-horizon pair. Several final winners were tabular ExtraTrees models refit on train plus validation data, while other cells were best served by validation-selected ensembles or a linear-tabular blend. This adaptive design reflects the empirical observation that no single standalone backbone dominated all datasets and horizons.</w:t>
      </w:r>
    </w:p>
    <w:p>
      <w:pPr>
        <w:pStyle w:val="Heading2"/>
      </w:pPr>
      <w:r>
        <w:t>Evaluation and Statistical Testing</w:t>
      </w:r>
    </w:p>
    <w:p>
      <w:r>
        <w:rPr>
          <w:rFonts w:ascii="Calibri" w:hAnsi="Calibri"/>
        </w:rPr>
        <w:t>The final comparison was made against the previous best RMSE available for each dataset and horizon. Paired test-set errors were used where prediction bundles were available. For each cell, the analysis computed the RMSE difference between the adaptive portfolio and the previous best model, paired-bootstrap confidence intervals, and Diebold-Mariano statistics. A strict individual-cell win required three conditions: the RMSE difference had to be below zero, the 95% paired-bootstrap confidence interval had to remain below zero, and the Diebold-Mariano p-value had to be below 0.05.</w:t>
      </w:r>
    </w:p>
    <w:p>
      <w:r>
        <w:rPr>
          <w:rFonts w:ascii="Calibri" w:hAnsi="Calibri"/>
        </w:rPr>
        <w:t>Because the paper's strongest claim concerns the repeated direction of improvement across datasets and horizons, the study also tested the global pattern. The exact one-sided sign test and one-sided Wilcoxon signed-rank test were applied to the nine RMSE deltas. In addition, one-sided Diebold-Mariano p-values were combined using Fisher's method and a weighted Stouffer method. This two-layer statistical design separates cell-level evidence from global evidence and prevents overstating the certainty of small-margin individual cells.</w:t>
      </w:r>
    </w:p>
    <w:p>
      <w:pPr>
        <w:pStyle w:val="Heading1"/>
      </w:pPr>
      <w:r>
        <w:t>Results</w:t>
      </w:r>
    </w:p>
    <w:p>
      <w:pPr>
        <w:pStyle w:val="Heading2"/>
      </w:pPr>
      <w:r>
        <w:t>Overall Adaptive Portfolio Performance</w:t>
      </w:r>
    </w:p>
    <w:p>
      <w:r>
        <w:rPr>
          <w:rFonts w:ascii="Calibri" w:hAnsi="Calibri"/>
        </w:rPr>
        <w:t>The adaptive portfolio improved upon the previous best RMSE in every evaluated dataset-horizon combination (9/9). Relative RMSE improvement ranged from 0.90% for Beijing at the 72 hour horizon to 11.64% for Delhi at the 24 hour horizon, with an average improvement of 4.08% across the nine comparisons. The results are summarized in Table 1.</w:t>
      </w:r>
    </w:p>
    <w:p>
      <w:pPr>
        <w:spacing w:before="80" w:after="80"/>
      </w:pPr>
      <w:r>
        <w:rPr>
          <w:rFonts w:ascii="Calibri" w:hAnsi="Calibri"/>
          <w:i/>
          <w:color w:val="555555"/>
          <w:sz w:val="18"/>
        </w:rPr>
        <w:t>Table 1. Adaptive portfolio RMSE against the previous best result.</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20"/>
        <w:gridCol w:w="820"/>
        <w:gridCol w:w="3140"/>
        <w:gridCol w:w="1450"/>
        <w:gridCol w:w="1450"/>
        <w:gridCol w:w="1580"/>
      </w:tblGrid>
      <w:tr>
        <w:tc>
          <w:tcPr>
            <w:tcW w:type="dxa" w:w="92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Dataset</w:t>
            </w:r>
          </w:p>
        </w:tc>
        <w:tc>
          <w:tcPr>
            <w:tcW w:type="dxa" w:w="82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Horizon</w:t>
            </w:r>
          </w:p>
        </w:tc>
        <w:tc>
          <w:tcPr>
            <w:tcW w:type="dxa" w:w="314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Selected portfolio member</w:t>
            </w:r>
          </w:p>
        </w:tc>
        <w:tc>
          <w:tcPr>
            <w:tcW w:type="dxa" w:w="145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Previous best RMSE</w:t>
            </w:r>
          </w:p>
        </w:tc>
        <w:tc>
          <w:tcPr>
            <w:tcW w:type="dxa" w:w="145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Portfolio RMSE</w:t>
            </w:r>
          </w:p>
        </w:tc>
        <w:tc>
          <w:tcPr>
            <w:tcW w:type="dxa" w:w="158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Improvement (%)</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Dhaka</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6</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tabular extra lean200 trainval</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66.95</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65.00</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2.92</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Dhaka</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24</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tabular extra lean200 trainval</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76.00</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74.03</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2.59</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Dhaka</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72</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ensemble seed member</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79.58</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77.74</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2.31</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Delhi</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6</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tabular extra leaf8 trainval</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21.28</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19.90</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6.50</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Delhi</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24</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tabular extra leaf12 trainval</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25.55</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22.58</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11.64</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Delhi</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72</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linear tabular blend</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27.43</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25.94</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5.43</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Beijing</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6</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ensemble weighted</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49.38</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48.00</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2.79</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Beijing</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24</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ensemble val selected pm25 metrics</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75.87</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74.63</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1.64</w:t>
            </w:r>
          </w:p>
        </w:tc>
      </w:tr>
      <w:tr>
        <w:tc>
          <w:tcPr>
            <w:tcW w:type="dxa" w:w="920"/>
            <w:tcMar>
              <w:top w:w="80" w:type="dxa"/>
              <w:bottom w:w="80" w:type="dxa"/>
              <w:start w:w="120" w:type="dxa"/>
              <w:end w:w="120" w:type="dxa"/>
            </w:tcMar>
            <w:vAlign w:val="center"/>
          </w:tcPr>
          <w:p>
            <w:pPr>
              <w:spacing w:before="0" w:after="80" w:line="280" w:lineRule="auto"/>
              <w:jc w:val="left"/>
            </w:pPr>
            <w:r>
              <w:rPr>
                <w:rFonts w:ascii="Calibri" w:hAnsi="Calibri"/>
                <w:sz w:val="17"/>
              </w:rPr>
              <w:t>Beijing</w:t>
            </w:r>
          </w:p>
        </w:tc>
        <w:tc>
          <w:tcPr>
            <w:tcW w:type="dxa" w:w="820"/>
            <w:tcMar>
              <w:top w:w="80" w:type="dxa"/>
              <w:bottom w:w="80" w:type="dxa"/>
              <w:start w:w="120" w:type="dxa"/>
              <w:end w:w="120" w:type="dxa"/>
            </w:tcMar>
            <w:vAlign w:val="center"/>
          </w:tcPr>
          <w:p>
            <w:pPr>
              <w:spacing w:before="0" w:after="80" w:line="280" w:lineRule="auto"/>
              <w:jc w:val="left"/>
            </w:pPr>
            <w:r>
              <w:rPr>
                <w:rFonts w:ascii="Calibri" w:hAnsi="Calibri"/>
                <w:sz w:val="17"/>
              </w:rPr>
              <w:t>72</w:t>
            </w:r>
          </w:p>
        </w:tc>
        <w:tc>
          <w:tcPr>
            <w:tcW w:type="dxa" w:w="3140"/>
            <w:tcMar>
              <w:top w:w="80" w:type="dxa"/>
              <w:bottom w:w="80" w:type="dxa"/>
              <w:start w:w="120" w:type="dxa"/>
              <w:end w:w="120" w:type="dxa"/>
            </w:tcMar>
            <w:vAlign w:val="center"/>
          </w:tcPr>
          <w:p>
            <w:pPr>
              <w:spacing w:before="0" w:after="80" w:line="280" w:lineRule="auto"/>
              <w:jc w:val="left"/>
            </w:pPr>
            <w:r>
              <w:rPr>
                <w:rFonts w:ascii="Calibri" w:hAnsi="Calibri"/>
                <w:sz w:val="17"/>
              </w:rPr>
              <w:t>ensemble seed member</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84.77</w:t>
            </w:r>
          </w:p>
        </w:tc>
        <w:tc>
          <w:tcPr>
            <w:tcW w:type="dxa" w:w="1450"/>
            <w:tcMar>
              <w:top w:w="80" w:type="dxa"/>
              <w:bottom w:w="80" w:type="dxa"/>
              <w:start w:w="120" w:type="dxa"/>
              <w:end w:w="120" w:type="dxa"/>
            </w:tcMar>
            <w:vAlign w:val="center"/>
          </w:tcPr>
          <w:p>
            <w:pPr>
              <w:spacing w:before="0" w:after="80" w:line="280" w:lineRule="auto"/>
              <w:jc w:val="left"/>
            </w:pPr>
            <w:r>
              <w:rPr>
                <w:rFonts w:ascii="Calibri" w:hAnsi="Calibri"/>
                <w:sz w:val="17"/>
              </w:rPr>
              <w:t>84.01</w:t>
            </w:r>
          </w:p>
        </w:tc>
        <w:tc>
          <w:tcPr>
            <w:tcW w:type="dxa" w:w="1580"/>
            <w:tcMar>
              <w:top w:w="80" w:type="dxa"/>
              <w:bottom w:w="80" w:type="dxa"/>
              <w:start w:w="120" w:type="dxa"/>
              <w:end w:w="120" w:type="dxa"/>
            </w:tcMar>
            <w:vAlign w:val="center"/>
          </w:tcPr>
          <w:p>
            <w:pPr>
              <w:spacing w:before="0" w:after="80" w:line="280" w:lineRule="auto"/>
              <w:jc w:val="left"/>
            </w:pPr>
            <w:r>
              <w:rPr>
                <w:rFonts w:ascii="Calibri" w:hAnsi="Calibri"/>
                <w:sz w:val="17"/>
              </w:rPr>
              <w:t>0.90</w:t>
            </w:r>
          </w:p>
        </w:tc>
      </w:tr>
    </w:tbl>
    <w:p>
      <w:pPr>
        <w:pStyle w:val="Heading2"/>
      </w:pPr>
      <w:r>
        <w:t>Statistical Evidence</w:t>
      </w:r>
    </w:p>
    <w:p>
      <w:r>
        <w:rPr>
          <w:rFonts w:ascii="Calibri" w:hAnsi="Calibri"/>
        </w:rPr>
        <w:t>The cell-level and global statistical tests lead to a nuanced but strong conclusion. At the cell level, all nine RMSE differences were in the favorable direction, but only two met the strict individual-cell significance rule. At the global level, the repeated 9/9 improvement pattern was unlikely under a no-improvement null, and the combined paired evidence also rejected the global null. These results support a universal directional superiority claim for the adaptive portfolio on the tested benchmark suite, but they do not support the claim that every individual cell is independently significant.</w:t>
      </w:r>
    </w:p>
    <w:p>
      <w:pPr>
        <w:spacing w:before="80" w:after="80"/>
      </w:pPr>
      <w:r>
        <w:rPr>
          <w:rFonts w:ascii="Calibri" w:hAnsi="Calibri"/>
          <w:i/>
          <w:color w:val="555555"/>
          <w:sz w:val="18"/>
        </w:rPr>
        <w:t>Table 2. Statistical support for the final adaptive portfolio claim.</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2300"/>
        <w:gridCol w:w="2200"/>
        <w:gridCol w:w="4860"/>
      </w:tblGrid>
      <w:tr>
        <w:tc>
          <w:tcPr>
            <w:tcW w:type="dxa" w:w="230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Evidence</w:t>
            </w:r>
          </w:p>
        </w:tc>
        <w:tc>
          <w:tcPr>
            <w:tcW w:type="dxa" w:w="220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Result</w:t>
            </w:r>
          </w:p>
        </w:tc>
        <w:tc>
          <w:tcPr>
            <w:tcW w:type="dxa" w:w="486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Publication interpretation</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Directional wins</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9/9</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Every dataset-horizon cell improved in RMSE.</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Strict cell-level wins</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2/9</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Only two cells satisfy the conservative individual-cell rule.</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Exact one-sided sign test</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p = 0.001953</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The 9/9 same-direction pattern is globally significant.</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One-sided Wilcoxon signed-rank</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p = 0.001953</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Magnitude-ranked paired deltas support a global improvement.</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Fisher combined one-sided DM</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p = 1.52841e-05</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Combined paired forecast-error evidence rejects the global null.</w:t>
            </w:r>
          </w:p>
        </w:tc>
      </w:tr>
      <w:tr>
        <w:tc>
          <w:tcPr>
            <w:tcW w:type="dxa" w:w="2300"/>
            <w:tcMar>
              <w:top w:w="80" w:type="dxa"/>
              <w:bottom w:w="80" w:type="dxa"/>
              <w:start w:w="120" w:type="dxa"/>
              <w:end w:w="120" w:type="dxa"/>
            </w:tcMar>
            <w:vAlign w:val="center"/>
          </w:tcPr>
          <w:p>
            <w:pPr>
              <w:spacing w:before="0" w:after="80" w:line="280" w:lineRule="auto"/>
              <w:jc w:val="left"/>
            </w:pPr>
            <w:r>
              <w:rPr>
                <w:rFonts w:ascii="Calibri" w:hAnsi="Calibri"/>
                <w:sz w:val="17"/>
              </w:rPr>
              <w:t>Weighted Stouffer one-sided DM</w:t>
            </w:r>
          </w:p>
        </w:tc>
        <w:tc>
          <w:tcPr>
            <w:tcW w:type="dxa" w:w="2200"/>
            <w:tcMar>
              <w:top w:w="80" w:type="dxa"/>
              <w:bottom w:w="80" w:type="dxa"/>
              <w:start w:w="120" w:type="dxa"/>
              <w:end w:w="120" w:type="dxa"/>
            </w:tcMar>
            <w:vAlign w:val="center"/>
          </w:tcPr>
          <w:p>
            <w:pPr>
              <w:spacing w:before="0" w:after="80" w:line="280" w:lineRule="auto"/>
              <w:jc w:val="left"/>
            </w:pPr>
            <w:r>
              <w:rPr>
                <w:rFonts w:ascii="Calibri" w:hAnsi="Calibri"/>
                <w:sz w:val="17"/>
              </w:rPr>
              <w:t>p = 3.85672e-05</w:t>
            </w:r>
          </w:p>
        </w:tc>
        <w:tc>
          <w:tcPr>
            <w:tcW w:type="dxa" w:w="4860"/>
            <w:tcMar>
              <w:top w:w="80" w:type="dxa"/>
              <w:bottom w:w="80" w:type="dxa"/>
              <w:start w:w="120" w:type="dxa"/>
              <w:end w:w="120" w:type="dxa"/>
            </w:tcMar>
            <w:vAlign w:val="center"/>
          </w:tcPr>
          <w:p>
            <w:pPr>
              <w:spacing w:before="0" w:after="80" w:line="280" w:lineRule="auto"/>
              <w:jc w:val="left"/>
            </w:pPr>
            <w:r>
              <w:rPr>
                <w:rFonts w:ascii="Calibri" w:hAnsi="Calibri"/>
                <w:sz w:val="17"/>
              </w:rPr>
              <w:t>Weighted combined evidence also supports global superiority.</w:t>
            </w:r>
          </w:p>
        </w:tc>
      </w:tr>
    </w:tbl>
    <w:p>
      <w:pPr>
        <w:pStyle w:val="Heading2"/>
      </w:pPr>
      <w:r>
        <w:t>Effect of Imputation Across Implemented Models</w:t>
      </w:r>
    </w:p>
    <w:p>
      <w:r>
        <w:rPr>
          <w:rFonts w:ascii="Calibri" w:hAnsi="Calibri"/>
        </w:rPr>
        <w:t>The direct before-after imputation analysis shows that hybrid_top8 imputation is not a uniformly beneficial preprocessing step for every implemented model. This is an important negative result and should be retained in the manuscript. In Dhaka, SARIMA improved across all three horizons after hybrid_top8 imputation (3/3), whereas DLinear and standard GRU degraded across all three available horizons (3/3 and 3/3, respectively). GRU-D improved at the 6 hour horizon but degraded at 24 and 72 hours. The Transformer/MAT family showed mixed effects across datasets: for example, Delhi MAT improved at 72 hours but worsened at 6 and 24 hours, while Beijing missingness-dropout MAT improved at 6 hours but worsened at longer horizons.</w:t>
      </w:r>
    </w:p>
    <w:p>
      <w:r>
        <w:rPr>
          <w:rFonts w:ascii="Calibri" w:hAnsi="Calibri"/>
        </w:rPr>
        <w:t>Before-after paired artifacts were available for Dhaka across ARIMA/SARIMA, LSTM, GRU, GRU-D, DLinear, and MAT-family models, and for Delhi and Beijing within the MAT-family experiments. They were not available for 13 listed dataset-model combinations, including several non-MAT families in Delhi and Beijing and PatchTST in the current saved outputs. The manuscript should therefore avoid implying that every implemented family has complete before-after coverage across all three cities.</w:t>
      </w:r>
    </w:p>
    <w:p>
      <w:pPr>
        <w:spacing w:before="80" w:after="80"/>
      </w:pPr>
      <w:r>
        <w:rPr>
          <w:rFonts w:ascii="Calibri" w:hAnsi="Calibri"/>
          <w:i/>
          <w:color w:val="555555"/>
          <w:sz w:val="18"/>
        </w:rPr>
        <w:t>Table 3. Honest interpretation of direct hybrid_top8 imputation effects.</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1900"/>
        <w:gridCol w:w="3600"/>
        <w:gridCol w:w="3860"/>
      </w:tblGrid>
      <w:tr>
        <w:tc>
          <w:tcPr>
            <w:tcW w:type="dxa" w:w="190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Finding</w:t>
            </w:r>
          </w:p>
        </w:tc>
        <w:tc>
          <w:tcPr>
            <w:tcW w:type="dxa" w:w="360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Evidence from saved artifacts</w:t>
            </w:r>
          </w:p>
        </w:tc>
        <w:tc>
          <w:tcPr>
            <w:tcW w:type="dxa" w:w="3860"/>
            <w:tcMar>
              <w:top w:w="80" w:type="dxa"/>
              <w:bottom w:w="80" w:type="dxa"/>
              <w:start w:w="120" w:type="dxa"/>
              <w:end w:w="120" w:type="dxa"/>
            </w:tcMar>
            <w:vAlign w:val="center"/>
            <w:shd w:fill="F4F6F9"/>
          </w:tcPr>
          <w:p>
            <w:pPr>
              <w:spacing w:before="0" w:after="80" w:line="280" w:lineRule="auto"/>
              <w:jc w:val="left"/>
            </w:pPr>
            <w:r>
              <w:rPr>
                <w:rFonts w:ascii="Calibri" w:hAnsi="Calibri"/>
                <w:b/>
                <w:color w:val="0B2545"/>
                <w:sz w:val="17"/>
              </w:rPr>
              <w:t>Interpretation</w:t>
            </w:r>
          </w:p>
        </w:tc>
      </w:tr>
      <w:tr>
        <w:tc>
          <w:tcPr>
            <w:tcW w:type="dxa" w:w="1900"/>
            <w:tcMar>
              <w:top w:w="80" w:type="dxa"/>
              <w:bottom w:w="80" w:type="dxa"/>
              <w:start w:w="120" w:type="dxa"/>
              <w:end w:w="120" w:type="dxa"/>
            </w:tcMar>
            <w:vAlign w:val="center"/>
          </w:tcPr>
          <w:p>
            <w:pPr>
              <w:spacing w:before="0" w:after="80" w:line="280" w:lineRule="auto"/>
              <w:jc w:val="left"/>
            </w:pPr>
            <w:r>
              <w:rPr>
                <w:rFonts w:ascii="Calibri" w:hAnsi="Calibri"/>
                <w:sz w:val="17"/>
              </w:rPr>
              <w:t>SARIMA benefits on Dhaka</w:t>
            </w:r>
          </w:p>
        </w:tc>
        <w:tc>
          <w:tcPr>
            <w:tcW w:type="dxa" w:w="3600"/>
            <w:tcMar>
              <w:top w:w="80" w:type="dxa"/>
              <w:bottom w:w="80" w:type="dxa"/>
              <w:start w:w="120" w:type="dxa"/>
              <w:end w:w="120" w:type="dxa"/>
            </w:tcMar>
            <w:vAlign w:val="center"/>
          </w:tcPr>
          <w:p>
            <w:pPr>
              <w:spacing w:before="0" w:after="80" w:line="280" w:lineRule="auto"/>
              <w:jc w:val="left"/>
            </w:pPr>
            <w:r>
              <w:rPr>
                <w:rFonts w:ascii="Calibri" w:hAnsi="Calibri"/>
                <w:sz w:val="17"/>
              </w:rPr>
              <w:t>RMSE improves at 6, 24, and 72 hour horizons.</w:t>
            </w:r>
          </w:p>
        </w:tc>
        <w:tc>
          <w:tcPr>
            <w:tcW w:type="dxa" w:w="3860"/>
            <w:tcMar>
              <w:top w:w="80" w:type="dxa"/>
              <w:bottom w:w="80" w:type="dxa"/>
              <w:start w:w="120" w:type="dxa"/>
              <w:end w:w="120" w:type="dxa"/>
            </w:tcMar>
            <w:vAlign w:val="center"/>
          </w:tcPr>
          <w:p>
            <w:pPr>
              <w:spacing w:before="0" w:after="80" w:line="280" w:lineRule="auto"/>
              <w:jc w:val="left"/>
            </w:pPr>
            <w:r>
              <w:rPr>
                <w:rFonts w:ascii="Calibri" w:hAnsi="Calibri"/>
                <w:sz w:val="17"/>
              </w:rPr>
              <w:t>Classical seasonal modeling can benefit from the merged imputed representation in this dataset.</w:t>
            </w:r>
          </w:p>
        </w:tc>
      </w:tr>
      <w:tr>
        <w:tc>
          <w:tcPr>
            <w:tcW w:type="dxa" w:w="1900"/>
            <w:tcMar>
              <w:top w:w="80" w:type="dxa"/>
              <w:bottom w:w="80" w:type="dxa"/>
              <w:start w:w="120" w:type="dxa"/>
              <w:end w:w="120" w:type="dxa"/>
            </w:tcMar>
            <w:vAlign w:val="center"/>
          </w:tcPr>
          <w:p>
            <w:pPr>
              <w:spacing w:before="0" w:after="80" w:line="280" w:lineRule="auto"/>
              <w:jc w:val="left"/>
            </w:pPr>
            <w:r>
              <w:rPr>
                <w:rFonts w:ascii="Calibri" w:hAnsi="Calibri"/>
                <w:sz w:val="17"/>
              </w:rPr>
              <w:t>Some neural and linear backbones degrade</w:t>
            </w:r>
          </w:p>
        </w:tc>
        <w:tc>
          <w:tcPr>
            <w:tcW w:type="dxa" w:w="3600"/>
            <w:tcMar>
              <w:top w:w="80" w:type="dxa"/>
              <w:bottom w:w="80" w:type="dxa"/>
              <w:start w:w="120" w:type="dxa"/>
              <w:end w:w="120" w:type="dxa"/>
            </w:tcMar>
            <w:vAlign w:val="center"/>
          </w:tcPr>
          <w:p>
            <w:pPr>
              <w:spacing w:before="0" w:after="80" w:line="280" w:lineRule="auto"/>
              <w:jc w:val="left"/>
            </w:pPr>
            <w:r>
              <w:rPr>
                <w:rFonts w:ascii="Calibri" w:hAnsi="Calibri"/>
                <w:sz w:val="17"/>
              </w:rPr>
              <w:t>Dhaka DLinear and GRU worsen at all three available horizons.</w:t>
            </w:r>
          </w:p>
        </w:tc>
        <w:tc>
          <w:tcPr>
            <w:tcW w:type="dxa" w:w="3860"/>
            <w:tcMar>
              <w:top w:w="80" w:type="dxa"/>
              <w:bottom w:w="80" w:type="dxa"/>
              <w:start w:w="120" w:type="dxa"/>
              <w:end w:w="120" w:type="dxa"/>
            </w:tcMar>
            <w:vAlign w:val="center"/>
          </w:tcPr>
          <w:p>
            <w:pPr>
              <w:spacing w:before="0" w:after="80" w:line="280" w:lineRule="auto"/>
              <w:jc w:val="left"/>
            </w:pPr>
            <w:r>
              <w:rPr>
                <w:rFonts w:ascii="Calibri" w:hAnsi="Calibri"/>
                <w:sz w:val="17"/>
              </w:rPr>
              <w:t>Imputation alone is not sufficient for a universal model-level claim.</w:t>
            </w:r>
          </w:p>
        </w:tc>
      </w:tr>
      <w:tr>
        <w:tc>
          <w:tcPr>
            <w:tcW w:type="dxa" w:w="1900"/>
            <w:tcMar>
              <w:top w:w="80" w:type="dxa"/>
              <w:bottom w:w="80" w:type="dxa"/>
              <w:start w:w="120" w:type="dxa"/>
              <w:end w:w="120" w:type="dxa"/>
            </w:tcMar>
            <w:vAlign w:val="center"/>
          </w:tcPr>
          <w:p>
            <w:pPr>
              <w:spacing w:before="0" w:after="80" w:line="280" w:lineRule="auto"/>
              <w:jc w:val="left"/>
            </w:pPr>
            <w:r>
              <w:rPr>
                <w:rFonts w:ascii="Calibri" w:hAnsi="Calibri"/>
                <w:sz w:val="17"/>
              </w:rPr>
              <w:t>MAT-family behavior is mixed</w:t>
            </w:r>
          </w:p>
        </w:tc>
        <w:tc>
          <w:tcPr>
            <w:tcW w:type="dxa" w:w="3600"/>
            <w:tcMar>
              <w:top w:w="80" w:type="dxa"/>
              <w:bottom w:w="80" w:type="dxa"/>
              <w:start w:w="120" w:type="dxa"/>
              <w:end w:w="120" w:type="dxa"/>
            </w:tcMar>
            <w:vAlign w:val="center"/>
          </w:tcPr>
          <w:p>
            <w:pPr>
              <w:spacing w:before="0" w:after="80" w:line="280" w:lineRule="auto"/>
              <w:jc w:val="left"/>
            </w:pPr>
            <w:r>
              <w:rPr>
                <w:rFonts w:ascii="Calibri" w:hAnsi="Calibri"/>
                <w:sz w:val="17"/>
              </w:rPr>
              <w:t>Delhi improves at 72 hours but not at 6 or 24 hours; Beijing gains are horizon-dependent.</w:t>
            </w:r>
          </w:p>
        </w:tc>
        <w:tc>
          <w:tcPr>
            <w:tcW w:type="dxa" w:w="3860"/>
            <w:tcMar>
              <w:top w:w="80" w:type="dxa"/>
              <w:bottom w:w="80" w:type="dxa"/>
              <w:start w:w="120" w:type="dxa"/>
              <w:end w:w="120" w:type="dxa"/>
            </w:tcMar>
            <w:vAlign w:val="center"/>
          </w:tcPr>
          <w:p>
            <w:pPr>
              <w:spacing w:before="0" w:after="80" w:line="280" w:lineRule="auto"/>
              <w:jc w:val="left"/>
            </w:pPr>
            <w:r>
              <w:rPr>
                <w:rFonts w:ascii="Calibri" w:hAnsi="Calibri"/>
                <w:sz w:val="17"/>
              </w:rPr>
              <w:t>Masks and missingness-aware features help in some regimes but require validation selection.</w:t>
            </w:r>
          </w:p>
        </w:tc>
      </w:tr>
      <w:tr>
        <w:tc>
          <w:tcPr>
            <w:tcW w:type="dxa" w:w="1900"/>
            <w:tcMar>
              <w:top w:w="80" w:type="dxa"/>
              <w:bottom w:w="80" w:type="dxa"/>
              <w:start w:w="120" w:type="dxa"/>
              <w:end w:w="120" w:type="dxa"/>
            </w:tcMar>
            <w:vAlign w:val="center"/>
          </w:tcPr>
          <w:p>
            <w:pPr>
              <w:spacing w:before="0" w:after="80" w:line="280" w:lineRule="auto"/>
              <w:jc w:val="left"/>
            </w:pPr>
            <w:r>
              <w:rPr>
                <w:rFonts w:ascii="Calibri" w:hAnsi="Calibri"/>
                <w:sz w:val="17"/>
              </w:rPr>
              <w:t>Adaptive portfolio is the defensible final claim</w:t>
            </w:r>
          </w:p>
        </w:tc>
        <w:tc>
          <w:tcPr>
            <w:tcW w:type="dxa" w:w="3600"/>
            <w:tcMar>
              <w:top w:w="80" w:type="dxa"/>
              <w:bottom w:w="80" w:type="dxa"/>
              <w:start w:w="120" w:type="dxa"/>
              <w:end w:w="120" w:type="dxa"/>
            </w:tcMar>
            <w:vAlign w:val="center"/>
          </w:tcPr>
          <w:p>
            <w:pPr>
              <w:spacing w:before="0" w:after="80" w:line="280" w:lineRule="auto"/>
              <w:jc w:val="left"/>
            </w:pPr>
            <w:r>
              <w:rPr>
                <w:rFonts w:ascii="Calibri" w:hAnsi="Calibri"/>
                <w:sz w:val="17"/>
              </w:rPr>
              <w:t>Final selected system beats the previous best in all 9 city-horizon cells.</w:t>
            </w:r>
          </w:p>
        </w:tc>
        <w:tc>
          <w:tcPr>
            <w:tcW w:type="dxa" w:w="3860"/>
            <w:tcMar>
              <w:top w:w="80" w:type="dxa"/>
              <w:bottom w:w="80" w:type="dxa"/>
              <w:start w:w="120" w:type="dxa"/>
              <w:end w:w="120" w:type="dxa"/>
            </w:tcMar>
            <w:vAlign w:val="center"/>
          </w:tcPr>
          <w:p>
            <w:pPr>
              <w:spacing w:before="0" w:after="80" w:line="280" w:lineRule="auto"/>
              <w:jc w:val="left"/>
            </w:pPr>
            <w:r>
              <w:rPr>
                <w:rFonts w:ascii="Calibri" w:hAnsi="Calibri"/>
                <w:sz w:val="17"/>
              </w:rPr>
              <w:t>The Q1-ready claim should be portfolio-level, not blanket imputation-level superiority.</w:t>
            </w:r>
          </w:p>
        </w:tc>
      </w:tr>
    </w:tbl>
    <w:p>
      <w:pPr>
        <w:pStyle w:val="Heading2"/>
      </w:pPr>
      <w:r>
        <w:t>Recommended Manuscript Claim</w:t>
      </w:r>
    </w:p>
    <w:p>
      <w:r>
        <w:rPr>
          <w:rFonts w:ascii="Calibri" w:hAnsi="Calibri"/>
        </w:rPr>
        <w:t>A defensible wording for the Results section is: The adaptive missingness-aware forecasting portfolio achieved lower RMSE than the previous best result in all nine dataset-horizon comparisons across Dhaka, Delhi, and Beijing. The 9/9 same-direction pattern was significant under exact sign and Wilcoxon signed-rank testing, and combined paired Diebold-Mariano evidence also rejected the global no-improvement null. However, only two individual cells met the strict cell-level significance criterion, so the evidence supports global benchmark-suite superiority rather than independent significance in every individual dataset-horizon cell.</w:t>
      </w:r>
    </w:p>
    <w:p>
      <w:r>
        <w:rPr>
          <w:rFonts w:ascii="Calibri" w:hAnsi="Calibri"/>
        </w:rPr>
        <w:t>For publication, the figures that best support this narrative are the universal RMSE comparison, relative improvement heatmap, paired delta forest plot, universal statistical support panel, and the all-model before-after imputation figures already saved in the outputs/figures directory. Together, these figures show both the strength of the final portfolio result and the necessary honesty about mixed direct imputation effects.</w:t>
      </w:r>
    </w:p>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Manuscript draft sections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