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Calibrating</w:t>
      </w:r>
      <w:r>
        <w:t xml:space="preserve"> </w:t>
      </w:r>
      <w:r>
        <w:t xml:space="preserve">the</w:t>
      </w:r>
      <w:r>
        <w:t xml:space="preserve"> </w:t>
      </w:r>
      <w:r>
        <w:t xml:space="preserve">alarm,</w:t>
      </w:r>
      <w:r>
        <w:t xml:space="preserve"> </w:t>
      </w:r>
      <w:r>
        <w:t xml:space="preserve">not</w:t>
      </w:r>
      <w:r>
        <w:t xml:space="preserve"> </w:t>
      </w:r>
      <w:r>
        <w:t xml:space="preserve">the</w:t>
      </w:r>
      <w:r>
        <w:t xml:space="preserve"> </w:t>
      </w:r>
      <w:r>
        <w:t xml:space="preserve">interval:</w:t>
      </w:r>
      <w:r>
        <w:t xml:space="preserve"> </w:t>
      </w:r>
      <w:r>
        <w:t xml:space="preserve">distribution-free</w:t>
      </w:r>
      <w:r>
        <w:t xml:space="preserve"> </w:t>
      </w:r>
      <w:r>
        <w:t xml:space="preserve">notice</w:t>
      </w:r>
      <w:r>
        <w:t xml:space="preserve"> </w:t>
      </w:r>
      <w:r>
        <w:t xml:space="preserve">guarantees</w:t>
      </w:r>
      <w:r>
        <w:t xml:space="preserve"> </w:t>
      </w:r>
      <w:r>
        <w:t xml:space="preserve">for</w:t>
      </w:r>
      <w:r>
        <w:t xml:space="preserve"> </w:t>
      </w:r>
      <w:r>
        <w:t xml:space="preserve">end-of-life</w:t>
      </w:r>
      <w:r>
        <w:t xml:space="preserve"> </w:t>
      </w:r>
      <w:r>
        <w:t xml:space="preserve">alarms</w:t>
      </w:r>
    </w:p>
    <w:p>
      <w:pPr>
        <w:pStyle w:val="Author"/>
      </w:pPr>
      <w:r>
        <w:t xml:space="preserve">Anonymised</w:t>
      </w:r>
      <w:r>
        <w:t xml:space="preserve"> </w:t>
      </w:r>
      <w:r>
        <w:t xml:space="preserve">for</w:t>
      </w:r>
      <w:r>
        <w:t xml:space="preserve"> </w:t>
      </w:r>
      <w:r>
        <w:t xml:space="preserve">review</w:t>
      </w:r>
    </w:p>
    <w:p>
      <w:pPr>
        <w:pStyle w:val="FirstParagraph"/>
      </w:pPr>
      <w:r>
        <w:rPr>
          <w:bCs/>
          <w:b/>
        </w:rPr>
        <w:t xml:space="preserve">Abstract.</w:t>
      </w:r>
      <w:r>
        <w:t xml:space="preserve"> </w:t>
      </w:r>
      <w:r>
        <w:t xml:space="preserve">End-of-life alarms schedule replacements, so their first reliability requirement is that the unit does not fail before the replacement the alarm scheduled. Conformal prediction has been used to give remaining-useful-life intervals with distribution-free coverage, but an alarm acts at the data-dependent cycle at which an estimate first crosses a level, where per-cycle coverage does not apply. We calibrate the alarm itself. For a debounced threshold trigger on any causal signal, the notice left by the alarm is monotone in the warning level, so each run-to-failure calibration unit has a single critical level, and the split-conformal quantile of these levels gives a warning level with a finite-sample guarantee: a new exchangeable unit is replaced before it fails with probability at least 1 − α. A decision-aware choice of the level keeps the guarantee, and the calibration-set size n sets a floor of 1/(n+1) on the failure probability that can be certified. A supporting bound shows that the window score of such an alarm depends on its estimate only through units near the window edges. Under a protocol hashed before the experiments, on PHM08, C-MAPSS FD001–FD004, N-CMAPSS and 123 lithium-ion cells, failure rates were 3.8, 9.3 and 19.4 % at nominal 5, 10 and 20 %, whereas per-cycle conformal lower bounds on the same signal failed on 18–70 % of units at nominal 10 %. The guarantee was not free: a one-standard-error cost-tuned alarm and a capacity trend were often cheaper, without a guarantee. Calibrated on other battery batches, the alarm failed on 61–74 % of two held-out batches; ten pilot cells of the new batch restored the nominal rate. An equivalence test did not confirm that window scores of estimate and constant differ by less than five points.</w:t>
      </w:r>
    </w:p>
    <w:p>
      <w:pPr>
        <w:pStyle w:val="BodyText"/>
      </w:pPr>
      <w:r>
        <w:rPr>
          <w:bCs/>
          <w:b/>
        </w:rPr>
        <w:t xml:space="preserve">Keywords:</w:t>
      </w:r>
      <w:r>
        <w:t xml:space="preserve"> </w:t>
      </w:r>
      <w:r>
        <w:t xml:space="preserve">predictive maintenance; remaining useful life; end-of-life alarm; conformal prediction; lead time; distribution shift; lithium-ion battery</w:t>
      </w:r>
    </w:p>
    <w:bookmarkStart w:id="20" w:name="introduction"/>
    <w:p>
      <w:pPr>
        <w:pStyle w:val="Heading1"/>
      </w:pPr>
      <w:r>
        <w:t xml:space="preserve">1. Introduction</w:t>
      </w:r>
    </w:p>
    <w:p>
      <w:pPr>
        <w:pStyle w:val="FirstParagraph"/>
      </w:pPr>
      <w:r>
        <w:t xml:space="preserve">A prognostic model creates value through the maintenance actions it triggers. For a component that is replaced once, near the end of its life, the action is usually triggered by an</w:t>
      </w:r>
      <w:r>
        <w:t xml:space="preserve"> </w:t>
      </w:r>
      <w:r>
        <w:rPr>
          <w:iCs/>
          <w:i/>
        </w:rPr>
        <w:t xml:space="preserve">end-of-life alarm</w:t>
      </w:r>
      <w:r>
        <w:t xml:space="preserve">: a policy watches the unit cycle by cycle and raises one alarm, which schedules a replacement after a lead time for parts, crew and access. The first reliability requirement on such an alarm is therefore not the accuracy of a remaining useful life (RUL) estimate at some cycle chosen by the evaluator, but the probability that the unit fails before the replacement the alarm scheduled. That probability is the subject of this paper.</w:t>
      </w:r>
    </w:p>
    <w:p>
      <w:pPr>
        <w:pStyle w:val="BodyText"/>
      </w:pPr>
      <w:r>
        <w:t xml:space="preserve">The common ways of evaluating and calibrating prognostics do not control it. Accuracy metrics and asymmetric acceptance windows score an estimate at a time; a window score at the alarm mixes the estimate with the alarm time [1, 2]. In an earlier evaluation study [3] we showed on eight run-to-failure datasets that the asymmetric window score of a threshold-crossing alarm was driven mainly by the alarm time, that optimising it was not the same as optimising maintenance cost, and that accuracy validated within familiar conditions did not hold on a held-out battery batch. That study proposed no method. Conformal prediction gives RUL intervals with distribution-free coverage [4–6], but the coverage holds at a cycle chosen independently of the data, whereas an alarm acts at the first cycle at which the estimate, or its lower bound, crosses a level: a stopping time at which the estimate is, by selection, at its most optimistic. Decision-oriented metrics, such as the metric</w:t>
      </w:r>
      <w:r>
        <w:t xml:space="preserve"> </w:t>
      </w:r>
      <m:oMath>
        <m:r>
          <m:t>M</m:t>
        </m:r>
      </m:oMath>
      <w:r>
        <w:t xml:space="preserve"> </w:t>
      </w:r>
      <w:r>
        <w:t xml:space="preserve">of Kamariotis et al. [7], score and tune policies by long-run cost, but give no guarantee for a new unit.</w:t>
      </w:r>
    </w:p>
    <w:p>
      <w:pPr>
        <w:pStyle w:val="BodyText"/>
      </w:pPr>
      <w:r>
        <w:t xml:space="preserve">This paper calibrates the alarm itself. For a threshold trigger on any causal signal, the notice left by the alarm is monotone in the warning level, so each run-to-failure calibration unit has a single</w:t>
      </w:r>
      <w:r>
        <w:t xml:space="preserve"> </w:t>
      </w:r>
      <w:r>
        <w:rPr>
          <w:iCs/>
          <w:i/>
        </w:rPr>
        <w:t xml:space="preserve">critical level</w:t>
      </w:r>
      <w:r>
        <w:t xml:space="preserve">: the lowest warning level at which its alarm would still have left more than the lead time. The split-conformal quantile of these critical levels gives a warning level with a finite-sample, distribution-free guarantee that a new exchangeable unit is replaced before it fails with probability at least</w:t>
      </w:r>
      <w:r>
        <w:t xml:space="preserve"> </w:t>
      </w:r>
      <m:oMath>
        <m:r>
          <m:t>1</m:t>
        </m:r>
        <m:r>
          <m:rPr>
            <m:sty m:val="p"/>
          </m:rPr>
          <m:t>−</m:t>
        </m:r>
        <m:r>
          <m:t>α</m:t>
        </m:r>
      </m:oMath>
      <w:r>
        <w:t xml:space="preserve">. The contributions are:</w:t>
      </w:r>
    </w:p>
    <w:p>
      <w:pPr>
        <w:numPr>
          <w:ilvl w:val="0"/>
          <w:numId w:val="1001"/>
        </w:numPr>
        <w:pStyle w:val="Compact"/>
      </w:pPr>
      <w:r>
        <w:rPr>
          <w:bCs/>
          <w:b/>
        </w:rPr>
        <w:t xml:space="preserve">Theory.</w:t>
      </w:r>
      <w:r>
        <w:t xml:space="preserve"> </w:t>
      </w:r>
      <w:r>
        <w:t xml:space="preserve">A closed-form critical level for debounced threshold triggers (Lemma 2), the notice guarantee (Theorem 2) with a matching upper bound, a decision-aware choice of the level that keeps the guarantee (Corollary 1), and a cost bound and a floor that show what a calibration set of</w:t>
      </w:r>
      <w:r>
        <w:t xml:space="preserve"> </w:t>
      </w:r>
      <m:oMath>
        <m:r>
          <m:t>n</m:t>
        </m:r>
      </m:oMath>
      <w:r>
        <w:t xml:space="preserve"> </w:t>
      </w:r>
      <w:r>
        <w:t xml:space="preserve">units can certify (Propositions 1 and 2). A supporting result (Theorem 1) bounds how far the window score of a threshold alarm’s estimate can differ from that of a constant, which explains why such scores measure timing rather than the estimate and why they cannot certify notice.</w:t>
      </w:r>
    </w:p>
    <w:p>
      <w:pPr>
        <w:numPr>
          <w:ilvl w:val="0"/>
          <w:numId w:val="1001"/>
        </w:numPr>
        <w:pStyle w:val="Compact"/>
      </w:pPr>
      <w:r>
        <w:rPr>
          <w:bCs/>
          <w:b/>
        </w:rPr>
        <w:t xml:space="preserve">Method.</w:t>
      </w:r>
      <w:r>
        <w:t xml:space="preserve"> </w:t>
      </w:r>
      <w:r>
        <w:t xml:space="preserve">The conformal notice alarm (CNA) and its decision-aware variant (CNA-DA), which wrap any signal, including a learned regressor or a physically motivated capacity trend.</w:t>
      </w:r>
    </w:p>
    <w:p>
      <w:pPr>
        <w:numPr>
          <w:ilvl w:val="0"/>
          <w:numId w:val="1001"/>
        </w:numPr>
        <w:pStyle w:val="Compact"/>
      </w:pPr>
      <w:r>
        <w:rPr>
          <w:bCs/>
          <w:b/>
        </w:rPr>
        <w:t xml:space="preserve">Evidence.</w:t>
      </w:r>
      <w:r>
        <w:t xml:space="preserve"> </w:t>
      </w:r>
      <w:r>
        <w:t xml:space="preserve">A protocol fixed and hashed before the runs, seven datasets (PHM08, C-MAPSS FD001–FD004, N-CMAPSS, 123 lithium-ion cells in three batches), comparisons with interval-calibrated alarms, window- and cost-tuned alarms, the probability-threshold policy of Kamariotis et al., age replacement and a capacity-trend baseline, and transfer to held-out battery batches and N-CMAPSS subsets.</w:t>
      </w:r>
    </w:p>
    <w:p>
      <w:pPr>
        <w:pStyle w:val="FirstParagraph"/>
      </w:pPr>
      <w:r>
        <w:t xml:space="preserve">The main findings are four. (i) Under exchangeable splits the guarantee held on all seven datasets (pooled failure rates 3.8, 9.3 and 19.4 % at nominal 5, 10 and 20 %), whereas a per-cycle conformal lower bound on the same signal and trigger failed on 18–70 % of units at nominal 10 %. (ii) The guarantee is a certificate, not a saving: a decision-aware choice kept failures below the stated ceiling at every cost ratio, but a one-standard-error cost-tuned alarm and, on the batteries, a capacity trend were cheaper on several datasets; Proposition 2 explains why, through the</w:t>
      </w:r>
      <w:r>
        <w:t xml:space="preserve"> </w:t>
      </w:r>
      <m:oMath>
        <m:r>
          <m:t>1</m:t>
        </m:r>
        <m:r>
          <m:rPr>
            <m:sty m:val="p"/>
          </m:rPr>
          <m:t>/</m:t>
        </m:r>
        <m:d>
          <m:dPr>
            <m:begChr m:val="("/>
            <m:endChr m:val=")"/>
            <m:sepChr m:val=""/>
            <m:grow/>
          </m:dPr>
          <m:e>
            <m:r>
              <m:t>n</m:t>
            </m:r>
            <m:r>
              <m:rPr>
                <m:sty m:val="p"/>
              </m:rPr>
              <m:t>+</m:t>
            </m:r>
            <m:r>
              <m:t>1</m:t>
            </m:r>
          </m:e>
        </m:d>
      </m:oMath>
      <w:r>
        <w:t xml:space="preserve"> </w:t>
      </w:r>
      <w:r>
        <w:t xml:space="preserve">floor. (iii) The guarantee did not transfer: calibrated on other battery batches, the alarm failed on 61–74 % of the cells of two held-out batches, and ten run-to-failure pilot cells of the new batch restored the nominal rate. (iv) The earlier finding that a constant estimate scores like the model’s estimate was not confirmed by an equivalence test; the window score depended on the estimate by up to 10 points, in the direction and at the scale that Theorem 1 allows. Negative results are reported with the same weight as positive ones.</w:t>
      </w:r>
    </w:p>
    <w:p>
      <w:pPr>
        <w:pStyle w:val="BodyText"/>
      </w:pPr>
      <w:r>
        <w:t xml:space="preserve">Section 2 reviews related work, Section 3 states the problem, Section 4 gives the theory, Section 5 the method and Section 6 the design. Section 7 reports the results, Section 8 discusses them and their limits, and Section 9 concludes.</w:t>
      </w:r>
    </w:p>
    <w:bookmarkEnd w:id="20"/>
    <w:bookmarkStart w:id="21" w:name="related-work"/>
    <w:p>
      <w:pPr>
        <w:pStyle w:val="Heading1"/>
      </w:pPr>
      <w:r>
        <w:t xml:space="preserve">2. Related work</w:t>
      </w:r>
    </w:p>
    <w:p>
      <w:pPr>
        <w:pStyle w:val="FirstParagraph"/>
      </w:pPr>
      <w:r>
        <w:rPr>
          <w:bCs/>
          <w:b/>
        </w:rPr>
        <w:t xml:space="preserve">Evaluating prognostics through decisions.</w:t>
      </w:r>
      <w:r>
        <w:t xml:space="preserve"> </w:t>
      </w:r>
      <w:r>
        <w:t xml:space="preserve">Remaining useful life (RUL) estimates are usually scored at times chosen by the evaluator, with accuracy metrics or asymmetric scores that penalise late predictions [1, 2, 8]. A line of work in this journal evaluates prognostics through the maintenance decisions they trigger. de Pater et al. [9] schedule aircraft maintenance from alarms raised on RUL prognostics and protect against prognostic error with a safety factor; Kamariotis et al. [7] propose a metric</w:t>
      </w:r>
      <w:r>
        <w:t xml:space="preserve"> </w:t>
      </w:r>
      <m:oMath>
        <m:r>
          <m:t>M</m:t>
        </m:r>
      </m:oMath>
      <w:r>
        <w:t xml:space="preserve">, the relative excess long-run cost of a policy over perfect prognostics, and tune probability-threshold policies with it; dynamic predictive-maintenance policies act on predicted failure probabilities [10, 11]. Classical replacement theory supplies the benchmark that any condition-based policy must beat, age replacement [12, 13]. None of these studies gives a finite-sample guarantee on the notice an alarm leaves.</w:t>
      </w:r>
    </w:p>
    <w:p>
      <w:pPr>
        <w:pStyle w:val="BodyText"/>
      </w:pPr>
      <w:r>
        <w:rPr>
          <w:bCs/>
          <w:b/>
        </w:rPr>
        <w:t xml:space="preserve">Conformal prediction for RUL.</w:t>
      </w:r>
      <w:r>
        <w:t xml:space="preserve"> </w:t>
      </w:r>
      <w:r>
        <w:t xml:space="preserve">Conformal prediction converts any point predictor into prediction sets with finite-sample, distribution-free coverage under exchangeability [14–16]. Javanmardi and Hüllermeier [4] conformalised gradient boosting and convolutional networks to obtain RUL intervals on C-MAPSS; Robinson [5] used asymmetric conformalised quantile regression [17] to make the lower RUL bound conservative; Wang et al. [6] combined conformal prediction with imputation of missing sensor data, and note that exchangeability is a concern for degradation data. In all of these the calibrated object is the interval at a given cycle, and coverage is averaged over cycles (or units at a fixed time). Candès et al. [18] give conformal lower predictive bounds on survival times under censoring, again at a fixed covariate value. An alarm, however, is a stopping rule: it is evaluated at the cycle at which the bound first crosses a level, a time that depends on the data. Per-cycle coverage does not imply coverage at a data-dependent time, and our experiments show that the difference is large (Section 7.1).</w:t>
      </w:r>
    </w:p>
    <w:p>
      <w:pPr>
        <w:pStyle w:val="BodyText"/>
      </w:pPr>
      <w:r>
        <w:rPr>
          <w:bCs/>
          <w:b/>
        </w:rPr>
        <w:t xml:space="preserve">Risk control and non-exchangeable data.</w:t>
      </w:r>
      <w:r>
        <w:t xml:space="preserve"> </w:t>
      </w:r>
      <w:r>
        <w:t xml:space="preserve">Conformal risk control [19] calibrates a scalar parameter so that the expected value of a monotone loss is bounded; nested conformal prediction [20] expresses conformal procedures through nested families of sets. Our construction is an instance of this nested view, with the warning level as the nesting parameter and failure before the planned replacement as the loss; what is specific is the closed-form critical level of a debounced threshold trigger (Lemma 2), which makes the calibration exact and cheap, and the decision-aware selection that keeps the guarantee (Corollary 1). When calibration and test units are not exchangeable, as across battery batches, the guarantee can fail; weighted and non-exchangeable conformal methods bound the resulting coverage gap [21, 22]. We do not use them, because they need a weight model for the shift; we instead measure the failure of exchangeability and the cost of restoring it with a few run-to-failure pilot units from the new population.</w:t>
      </w:r>
    </w:p>
    <w:p>
      <w:pPr>
        <w:pStyle w:val="BodyText"/>
      </w:pPr>
      <w:r>
        <w:rPr>
          <w:bCs/>
          <w:b/>
        </w:rPr>
        <w:t xml:space="preserve">What this paper adds.</w:t>
      </w:r>
      <w:r>
        <w:t xml:space="preserve"> </w:t>
      </w:r>
      <w:r>
        <w:t xml:space="preserve">(i) A conformal calibration of the alarm time itself, with a finite-sample guarantee on the probability that the remaining life at the alarm exceeds the lead time, a decision-aware variant that keeps the guarantee, and a cost bound. (ii) A bound on the difference between the window score of a threshold-crossing alarm’s estimate and that of a constant, with an equivalence test, which explains why such scores measure timing. (iii) A controlled evaluation on seven datasets, against interval-calibrated alarms, window- and cost-tuned alarms, the probability-threshold policy of Kamariotis et al., age replacement and a capacity-trend baseline, with whole battery batches and N-CMAPSS subsets held out. We do not claim a new RUL model.</w:t>
      </w:r>
    </w:p>
    <w:bookmarkEnd w:id="21"/>
    <w:bookmarkStart w:id="22" w:name="problem-formulation"/>
    <w:p>
      <w:pPr>
        <w:pStyle w:val="Heading1"/>
      </w:pPr>
      <w:r>
        <w:t xml:space="preserve">3. Problem formulation</w:t>
      </w:r>
    </w:p>
    <w:p>
      <w:pPr>
        <w:pStyle w:val="FirstParagraph"/>
      </w:pPr>
      <w:r>
        <w:rPr>
          <w:bCs/>
          <w:b/>
        </w:rPr>
        <w:t xml:space="preserve">Units, alarms and notice.</w:t>
      </w:r>
      <w:r>
        <w:t xml:space="preserve"> </w:t>
      </w:r>
      <w:r>
        <w:t xml:space="preserve">A unit observed at rows</w:t>
      </w:r>
      <w:r>
        <w:t xml:space="preserve"> </w:t>
      </w:r>
      <m:oMath>
        <m:r>
          <m:t>j</m:t>
        </m:r>
        <m:r>
          <m:rPr>
            <m:sty m:val="p"/>
          </m:rPr>
          <m:t>=</m:t>
        </m:r>
        <m:r>
          <m:t>1</m:t>
        </m:r>
        <m:r>
          <m:rPr>
            <m:sty m:val="p"/>
          </m:rPr>
          <m:t>,</m:t>
        </m:r>
        <m:r>
          <m:rPr>
            <m:sty m:val="p"/>
          </m:rPr>
          <m:t>…</m:t>
        </m:r>
        <m:r>
          <m:rPr>
            <m:sty m:val="p"/>
          </m:rPr>
          <m:t>,</m:t>
        </m:r>
        <m:r>
          <m:t>n</m:t>
        </m:r>
      </m:oMath>
      <w:r>
        <w:t xml:space="preserve"> </w:t>
      </w:r>
      <w:r>
        <w:t xml:space="preserve">(cycles</w:t>
      </w:r>
      <w:r>
        <w:t xml:space="preserve"> </w:t>
      </w:r>
      <m:oMath>
        <m:sSub>
          <m:e>
            <m:r>
              <m:t>t</m:t>
            </m:r>
          </m:e>
          <m:sub>
            <m:r>
              <m:t>1</m:t>
            </m:r>
          </m:sub>
        </m:sSub>
        <m:r>
          <m:rPr>
            <m:sty m:val="p"/>
          </m:rPr>
          <m:t>&lt;</m:t>
        </m:r>
        <m:r>
          <m:rPr>
            <m:sty m:val="p"/>
          </m:rPr>
          <m:t>…</m:t>
        </m:r>
        <m:r>
          <m:rPr>
            <m:sty m:val="p"/>
          </m:rPr>
          <m:t>&lt;</m:t>
        </m:r>
        <m:sSub>
          <m:e>
            <m:r>
              <m:t>t</m:t>
            </m:r>
          </m:e>
          <m:sub>
            <m:r>
              <m:t>n</m:t>
            </m:r>
          </m:sub>
        </m:sSub>
      </m:oMath>
      <w:r>
        <w:t xml:space="preserve">) has life</w:t>
      </w:r>
      <w:r>
        <w:t xml:space="preserve"> </w:t>
      </w:r>
      <m:oMath>
        <m:r>
          <m:t>L</m:t>
        </m:r>
      </m:oMath>
      <w:r>
        <w:t xml:space="preserve"> </w:t>
      </w:r>
      <w:r>
        <w:t xml:space="preserve">and remaining life</w:t>
      </w:r>
      <w:r>
        <w:t xml:space="preserve"> </w:t>
      </w:r>
      <m:oMath>
        <m:sSub>
          <m:e>
            <m:r>
              <m:t>r</m:t>
            </m:r>
          </m:e>
          <m:sub>
            <m:r>
              <m:t>j</m:t>
            </m:r>
          </m:sub>
        </m:sSub>
        <m:r>
          <m:rPr>
            <m:sty m:val="p"/>
          </m:rPr>
          <m:t>=</m:t>
        </m:r>
        <m:r>
          <m:t>L</m:t>
        </m:r>
        <m:r>
          <m:rPr>
            <m:sty m:val="p"/>
          </m:rPr>
          <m:t>−</m:t>
        </m:r>
        <m:sSub>
          <m:e>
            <m:r>
              <m:t>t</m:t>
            </m:r>
          </m:e>
          <m:sub>
            <m:r>
              <m:t>j</m:t>
            </m:r>
          </m:sub>
        </m:sSub>
        <m:r>
          <m:rPr>
            <m:sty m:val="p"/>
          </m:rPr>
          <m:t>≥</m:t>
        </m:r>
        <m:r>
          <m:t>1</m:t>
        </m:r>
      </m:oMath>
      <w:r>
        <w:t xml:space="preserve">, decreasing in</w:t>
      </w:r>
      <w:r>
        <w:t xml:space="preserve"> </w:t>
      </w:r>
      <m:oMath>
        <m:r>
          <m:t>j</m:t>
        </m:r>
      </m:oMath>
      <w:r>
        <w:t xml:space="preserve">. A causal signal</w:t>
      </w:r>
      <w:r>
        <w:t xml:space="preserve"> </w:t>
      </w:r>
      <m:oMath>
        <m:sSub>
          <m:e>
            <m:r>
              <m:t>s</m:t>
            </m:r>
          </m:e>
          <m:sub>
            <m:r>
              <m:t>j</m:t>
            </m:r>
          </m:sub>
        </m:sSub>
      </m:oMath>
      <w:r>
        <w:t xml:space="preserve">, here a smoothed RUL estimate, is computed from rows</w:t>
      </w:r>
      <w:r>
        <w:t xml:space="preserve"> </w:t>
      </w:r>
      <m:oMath>
        <m:r>
          <m:t>1</m:t>
        </m:r>
        <m:r>
          <m:rPr>
            <m:sty m:val="p"/>
          </m:rPr>
          <m:t>,</m:t>
        </m:r>
        <m:r>
          <m:rPr>
            <m:sty m:val="p"/>
          </m:rPr>
          <m:t>…</m:t>
        </m:r>
        <m:r>
          <m:rPr>
            <m:sty m:val="p"/>
          </m:rPr>
          <m:t>,</m:t>
        </m:r>
        <m:r>
          <m:t>j</m:t>
        </m:r>
      </m:oMath>
      <w:r>
        <w:t xml:space="preserve">. A</w:t>
      </w:r>
      <w:r>
        <w:t xml:space="preserve"> </w:t>
      </w:r>
      <w:r>
        <w:rPr>
          <w:iCs/>
          <w:i/>
        </w:rPr>
        <w:t xml:space="preserve">threshold trigger</w:t>
      </w:r>
      <w:r>
        <w:t xml:space="preserve"> </w:t>
      </w:r>
      <w:r>
        <w:t xml:space="preserve">with debounce</w:t>
      </w:r>
      <w:r>
        <w:t xml:space="preserve"> </w:t>
      </w:r>
      <m:oMath>
        <m:r>
          <m:t>k</m:t>
        </m:r>
      </m:oMath>
      <w:r>
        <w:t xml:space="preserve"> </w:t>
      </w:r>
      <w:r>
        <w:t xml:space="preserve">and warning level</w:t>
      </w:r>
      <w:r>
        <w:t xml:space="preserve"> </w:t>
      </w:r>
      <m:oMath>
        <m:r>
          <m:t>H</m:t>
        </m:r>
      </m:oMath>
      <w:r>
        <w:t xml:space="preserve"> </w:t>
      </w:r>
      <w:r>
        <w:t xml:space="preserve">raises an alarm at the first row at which the signal has been at or below</w:t>
      </w:r>
      <w:r>
        <w:t xml:space="preserve"> </w:t>
      </w:r>
      <m:oMath>
        <m:r>
          <m:t>H</m:t>
        </m:r>
      </m:oMath>
      <w:r>
        <w:t xml:space="preserve"> </w:t>
      </w:r>
      <w:r>
        <w:t xml:space="preserve">for</w:t>
      </w:r>
      <w:r>
        <w:t xml:space="preserve"> </w:t>
      </w:r>
      <m:oMath>
        <m:r>
          <m:t>k</m:t>
        </m:r>
      </m:oMath>
      <w:r>
        <w:t xml:space="preserve"> </w:t>
      </w:r>
      <w:r>
        <w:t xml:space="preserve">consecutive rows. Writing</w:t>
      </w:r>
      <w:r>
        <w:t xml:space="preserve"> </w:t>
      </w:r>
      <m:oMath>
        <m:sSub>
          <m:e>
            <m:r>
              <m:t>m</m:t>
            </m:r>
          </m:e>
          <m:sub>
            <m:r>
              <m:t>j</m:t>
            </m:r>
          </m:sub>
        </m:sSub>
        <m:r>
          <m:rPr>
            <m:sty m:val="p"/>
          </m:rPr>
          <m:t>=</m:t>
        </m:r>
        <m:r>
          <m:rPr>
            <m:sty m:val="p"/>
          </m:rPr>
          <m:t>max</m:t>
        </m:r>
        <m:d>
          <m:dPr>
            <m:begChr m:val="("/>
            <m:endChr m:val=")"/>
            <m:sepChr m:val=""/>
            <m:grow/>
          </m:dPr>
          <m:e>
            <m:sSub>
              <m:e>
                <m:r>
                  <m:t>s</m:t>
                </m:r>
              </m:e>
              <m:sub>
                <m:r>
                  <m:t>j</m:t>
                </m:r>
                <m:r>
                  <m:rPr>
                    <m:sty m:val="p"/>
                  </m:rPr>
                  <m:t>−</m:t>
                </m:r>
                <m:r>
                  <m:t>k</m:t>
                </m:r>
                <m:r>
                  <m:rPr>
                    <m:sty m:val="p"/>
                  </m:rPr>
                  <m:t>+</m:t>
                </m:r>
                <m:r>
                  <m:t>1</m:t>
                </m:r>
              </m:sub>
            </m:sSub>
            <m:r>
              <m:rPr>
                <m:sty m:val="p"/>
              </m:rPr>
              <m:t>,</m:t>
            </m:r>
            <m:r>
              <m:rPr>
                <m:sty m:val="p"/>
              </m:rPr>
              <m:t>…</m:t>
            </m:r>
            <m:r>
              <m:rPr>
                <m:sty m:val="p"/>
              </m:rPr>
              <m:t>,</m:t>
            </m:r>
            <m:sSub>
              <m:e>
                <m:r>
                  <m:t>s</m:t>
                </m:r>
              </m:e>
              <m:sub>
                <m:r>
                  <m:t>j</m:t>
                </m:r>
              </m:sub>
            </m:sSub>
          </m:e>
        </m:d>
      </m:oMath>
      <w:r>
        <w:t xml:space="preserve"> </w:t>
      </w:r>
      <w:r>
        <w:t xml:space="preserve">for</w:t>
      </w:r>
      <w:r>
        <w:t xml:space="preserve"> </w:t>
      </w:r>
      <m:oMath>
        <m:r>
          <m:t>j</m:t>
        </m:r>
        <m:r>
          <m:rPr>
            <m:sty m:val="p"/>
          </m:rPr>
          <m:t>≥</m:t>
        </m:r>
        <m:r>
          <m:t>k</m:t>
        </m:r>
      </m:oMath>
      <w:r>
        <w:t xml:space="preserve"> </w:t>
      </w:r>
      <w:r>
        <w:t xml:space="preserve">(</w:t>
      </w:r>
      <m:oMath>
        <m:sSub>
          <m:e>
            <m:r>
              <m:t>m</m:t>
            </m:r>
          </m:e>
          <m:sub>
            <m:r>
              <m:t>j</m:t>
            </m:r>
          </m:sub>
        </m:sSub>
        <m:r>
          <m:rPr>
            <m:sty m:val="p"/>
          </m:rPr>
          <m:t>=</m:t>
        </m:r>
        <m:r>
          <m:rPr>
            <m:sty m:val="p"/>
          </m:rPr>
          <m:t>+</m:t>
        </m:r>
        <m:r>
          <m:rPr>
            <m:sty m:val="p"/>
          </m:rPr>
          <m:t>∞</m:t>
        </m:r>
      </m:oMath>
      <w:r>
        <w:t xml:space="preserve"> </w:t>
      </w:r>
      <w:r>
        <w:t xml:space="preserve">otherwise) and</w:t>
      </w:r>
      <w:r>
        <w:t xml:space="preserve"> </w:t>
      </w:r>
      <m:oMath>
        <m:sSub>
          <m:e>
            <m:r>
              <m:t>ρ</m:t>
            </m:r>
          </m:e>
          <m:sub>
            <m:r>
              <m:t>j</m:t>
            </m:r>
          </m:sub>
        </m:sSub>
        <m:r>
          <m:rPr>
            <m:sty m:val="p"/>
          </m:rPr>
          <m:t>=</m:t>
        </m:r>
        <m:sSub>
          <m:e>
            <m:r>
              <m:rPr>
                <m:sty m:val="p"/>
              </m:rPr>
              <m:t>min</m:t>
            </m:r>
          </m:e>
          <m:sub>
            <m:r>
              <m:t>i</m:t>
            </m:r>
            <m:r>
              <m:rPr>
                <m:sty m:val="p"/>
              </m:rPr>
              <m:t>≤</m:t>
            </m:r>
            <m:r>
              <m:t>j</m:t>
            </m:r>
          </m:sub>
        </m:sSub>
        <m:sSub>
          <m:e>
            <m:r>
              <m:t>m</m:t>
            </m:r>
          </m:e>
          <m:sub>
            <m:r>
              <m:t>i</m:t>
            </m:r>
          </m:sub>
        </m:sSub>
      </m:oMath>
      <w:r>
        <w:t xml:space="preserve"> </w:t>
      </w:r>
      <w:r>
        <w:t xml:space="preserve">(the</w:t>
      </w:r>
      <w:r>
        <w:t xml:space="preserve"> </w:t>
      </w:r>
      <w:r>
        <w:rPr>
          <w:iCs/>
          <w:i/>
        </w:rPr>
        <w:t xml:space="preserve">debounced running minimum</w:t>
      </w:r>
      <w:r>
        <w:t xml:space="preserve">), the alarm row is</w:t>
      </w:r>
    </w:p>
    <w:p>
      <w:pPr>
        <w:pStyle w:val="BodyText"/>
      </w:pPr>
      <m:oMathPara>
        <m:oMathParaPr>
          <m:jc m:val="center"/>
        </m:oMathParaPr>
        <m:oMath>
          <m:r>
            <m:t>τ</m:t>
          </m:r>
          <m:d>
            <m:dPr>
              <m:begChr m:val="("/>
              <m:endChr m:val=")"/>
              <m:sepChr m:val=""/>
              <m:grow/>
            </m:dPr>
            <m:e>
              <m:r>
                <m:t>H</m:t>
              </m:r>
            </m:e>
          </m:d>
          <m:r>
            <m:rPr>
              <m:sty m:val="p"/>
            </m:rPr>
            <m:t>=</m:t>
          </m:r>
          <m:r>
            <m:rPr>
              <m:sty m:val="p"/>
            </m:rPr>
            <m:t>min</m:t>
          </m:r>
          <m:r>
            <m:rPr>
              <m:sty m:val="p"/>
            </m:rPr>
            <m:t>{</m:t>
          </m:r>
          <m:r>
            <m:t>j</m:t>
          </m:r>
          <m:r>
            <m:rPr>
              <m:sty m:val="p"/>
            </m:rPr>
            <m:t>:</m:t>
          </m:r>
          <m:sSub>
            <m:e>
              <m:r>
                <m:t>ρ</m:t>
              </m:r>
            </m:e>
            <m:sub>
              <m:r>
                <m:t>j</m:t>
              </m:r>
            </m:sub>
          </m:sSub>
          <m:r>
            <m:rPr>
              <m:sty m:val="p"/>
            </m:rPr>
            <m:t>≤</m:t>
          </m:r>
          <m:r>
            <m:t>H</m:t>
          </m:r>
          <m:r>
            <m:rPr>
              <m:sty m:val="p"/>
            </m:rPr>
            <m:t>}</m:t>
          </m:r>
          <m:r>
            <m:rPr>
              <m:sty m:val="p"/>
            </m:rPr>
            <m:t>,</m:t>
          </m:r>
          <m:r>
            <m:t>  </m:t>
          </m:r>
          <m:d>
            <m:dPr>
              <m:begChr m:val="("/>
              <m:endChr m:val=")"/>
              <m:sepChr m:val=""/>
              <m:grow/>
            </m:dPr>
            <m:e>
              <m:r>
                <m:t>τ</m:t>
              </m:r>
              <m:d>
                <m:dPr>
                  <m:begChr m:val="("/>
                  <m:endChr m:val=")"/>
                  <m:sepChr m:val=""/>
                  <m:grow/>
                </m:dPr>
                <m:e>
                  <m:r>
                    <m:t>H</m:t>
                  </m:r>
                </m:e>
              </m:d>
              <m:r>
                <m:rPr>
                  <m:sty m:val="p"/>
                </m:rPr>
                <m:t>=</m:t>
              </m:r>
              <m:r>
                <m:rPr>
                  <m:sty m:val="p"/>
                </m:rPr>
                <m:t>∞</m:t>
              </m:r>
              <m:r>
                <m:rPr>
                  <m:nor/>
                  <m:sty m:val="p"/>
                </m:rPr>
                <m:t> if no such row</m:t>
              </m:r>
            </m:e>
          </m:d>
          <m:r>
            <m:rPr>
              <m:sty m:val="p"/>
            </m:rPr>
            <m:t>,</m:t>
          </m:r>
        </m:oMath>
      </m:oMathPara>
    </w:p>
    <w:p>
      <w:pPr>
        <w:pStyle w:val="FirstParagraph"/>
      </w:pPr>
      <w:r>
        <w:t xml:space="preserve">and the</w:t>
      </w:r>
      <w:r>
        <w:t xml:space="preserve"> </w:t>
      </w:r>
      <w:r>
        <w:rPr>
          <w:iCs/>
          <w:i/>
        </w:rPr>
        <w:t xml:space="preserve">notice</w:t>
      </w:r>
      <w:r>
        <w:t xml:space="preserve"> </w:t>
      </w:r>
      <w:r>
        <w:t xml:space="preserve">is</w:t>
      </w:r>
      <w:r>
        <w:t xml:space="preserve"> </w:t>
      </w:r>
      <m:oMath>
        <m:r>
          <m:t>N</m:t>
        </m:r>
        <m:d>
          <m:dPr>
            <m:begChr m:val="("/>
            <m:endChr m:val=")"/>
            <m:sepChr m:val=""/>
            <m:grow/>
          </m:dPr>
          <m:e>
            <m:r>
              <m:t>H</m:t>
            </m:r>
          </m:e>
        </m:d>
        <m:r>
          <m:rPr>
            <m:sty m:val="p"/>
          </m:rPr>
          <m:t>=</m:t>
        </m:r>
        <m:sSub>
          <m:e>
            <m:r>
              <m:t>r</m:t>
            </m:r>
          </m:e>
          <m:sub>
            <m:r>
              <m:t>τ</m:t>
            </m:r>
            <m:d>
              <m:dPr>
                <m:begChr m:val="("/>
                <m:endChr m:val=")"/>
                <m:sepChr m:val=""/>
                <m:grow/>
              </m:dPr>
              <m:e>
                <m:r>
                  <m:t>H</m:t>
                </m:r>
              </m:e>
            </m:d>
          </m:sub>
        </m:sSub>
      </m:oMath>
      <w:r>
        <w:t xml:space="preserve"> </w:t>
      </w:r>
      <w:r>
        <w:t xml:space="preserve">(</w:t>
      </w:r>
      <m:oMath>
        <m:r>
          <m:t>N</m:t>
        </m:r>
        <m:r>
          <m:rPr>
            <m:sty m:val="p"/>
          </m:rPr>
          <m:t>=</m:t>
        </m:r>
        <m:r>
          <m:t>0</m:t>
        </m:r>
      </m:oMath>
      <w:r>
        <w:t xml:space="preserve"> </w:t>
      </w:r>
      <w:r>
        <w:t xml:space="preserve">if no alarm).</w:t>
      </w:r>
    </w:p>
    <w:p>
      <w:pPr>
        <w:pStyle w:val="BodyText"/>
      </w:pPr>
      <w:r>
        <w:rPr>
          <w:bCs/>
          <w:b/>
        </w:rPr>
        <w:t xml:space="preserve">Maintenance consequence.</w:t>
      </w:r>
      <w:r>
        <w:t xml:space="preserve"> </w:t>
      </w:r>
      <w:r>
        <w:t xml:space="preserve">An alarm schedules a replacement</w:t>
      </w:r>
      <w:r>
        <w:t xml:space="preserve"> </w:t>
      </w:r>
      <m:oMath>
        <m:r>
          <m:rPr>
            <m:sty m:val="p"/>
          </m:rPr>
          <m:t>ℓ</m:t>
        </m:r>
      </m:oMath>
      <w:r>
        <w:t xml:space="preserve"> </w:t>
      </w:r>
      <w:r>
        <w:t xml:space="preserve">cycles later (the</w:t>
      </w:r>
      <w:r>
        <w:t xml:space="preserve"> </w:t>
      </w:r>
      <w:r>
        <w:rPr>
          <w:iCs/>
          <w:i/>
        </w:rPr>
        <w:t xml:space="preserve">lead time</w:t>
      </w:r>
      <w:r>
        <w:t xml:space="preserve">). If</w:t>
      </w:r>
      <w:r>
        <w:t xml:space="preserve"> </w:t>
      </w:r>
      <m:oMath>
        <m:r>
          <m:t>N</m:t>
        </m:r>
        <m:d>
          <m:dPr>
            <m:begChr m:val="("/>
            <m:endChr m:val=")"/>
            <m:sepChr m:val=""/>
            <m:grow/>
          </m:dPr>
          <m:e>
            <m:r>
              <m:t>H</m:t>
            </m:r>
          </m:e>
        </m:d>
        <m:r>
          <m:rPr>
            <m:sty m:val="p"/>
          </m:rPr>
          <m:t>&gt;</m:t>
        </m:r>
        <m:r>
          <m:rPr>
            <m:sty m:val="p"/>
          </m:rPr>
          <m:t>ℓ</m:t>
        </m:r>
      </m:oMath>
      <w:r>
        <w:t xml:space="preserve"> </w:t>
      </w:r>
      <w:r>
        <w:t xml:space="preserve">the planned replacement happens at</w:t>
      </w:r>
      <w:r>
        <w:t xml:space="preserve"> </w:t>
      </w:r>
      <m:oMath>
        <m:sSub>
          <m:e>
            <m:r>
              <m:t>t</m:t>
            </m:r>
          </m:e>
          <m:sub>
            <m:r>
              <m:t>τ</m:t>
            </m:r>
            <m:d>
              <m:dPr>
                <m:begChr m:val="("/>
                <m:endChr m:val=")"/>
                <m:sepChr m:val=""/>
                <m:grow/>
              </m:dPr>
              <m:e>
                <m:r>
                  <m:t>H</m:t>
                </m:r>
              </m:e>
            </m:d>
          </m:sub>
        </m:sSub>
        <m:r>
          <m:rPr>
            <m:sty m:val="p"/>
          </m:rPr>
          <m:t>+</m:t>
        </m:r>
        <m:r>
          <m:rPr>
            <m:sty m:val="p"/>
          </m:rPr>
          <m:t>ℓ</m:t>
        </m:r>
      </m:oMath>
      <w:r>
        <w:t xml:space="preserve"> </w:t>
      </w:r>
      <w:r>
        <w:t xml:space="preserve">at cost 1; otherwise, or without an alarm, the unit fails at</w:t>
      </w:r>
      <w:r>
        <w:t xml:space="preserve"> </w:t>
      </w:r>
      <m:oMath>
        <m:r>
          <m:t>L</m:t>
        </m:r>
      </m:oMath>
      <w:r>
        <w:t xml:space="preserve"> </w:t>
      </w:r>
      <w:r>
        <w:t xml:space="preserve">at cost</w:t>
      </w:r>
      <w:r>
        <w:t xml:space="preserve"> </w:t>
      </w:r>
      <m:oMath>
        <m:r>
          <m:t>ρ</m:t>
        </m:r>
        <m:r>
          <m:rPr>
            <m:sty m:val="p"/>
          </m:rPr>
          <m:t>&gt;</m:t>
        </m:r>
        <m:r>
          <m:t>1</m:t>
        </m:r>
      </m:oMath>
      <w:r>
        <w:t xml:space="preserve">. Units are renewed, so by the renewal–reward theorem the long-run cost per cycle is</w:t>
      </w:r>
      <w:r>
        <w:t xml:space="preserve"> </w:t>
      </w:r>
      <m:oMath>
        <m:r>
          <m:t>E</m:t>
        </m:r>
        <m:d>
          <m:dPr>
            <m:begChr m:val="["/>
            <m:endChr m:val="]"/>
            <m:sepChr m:val=""/>
            <m:grow/>
          </m:dPr>
          <m:e>
            <m:r>
              <m:rPr>
                <m:nor/>
                <m:sty m:val="p"/>
              </m:rPr>
              <m:t>cost</m:t>
            </m:r>
          </m:e>
        </m:d>
        <m:r>
          <m:rPr>
            <m:sty m:val="p"/>
          </m:rPr>
          <m:t>/</m:t>
        </m:r>
        <m:r>
          <m:t>E</m:t>
        </m:r>
        <m:d>
          <m:dPr>
            <m:begChr m:val="["/>
            <m:endChr m:val="]"/>
            <m:sepChr m:val=""/>
            <m:grow/>
          </m:dPr>
          <m:e>
            <m:r>
              <m:rPr>
                <m:nor/>
                <m:sty m:val="p"/>
              </m:rPr>
              <m:t>use</m:t>
            </m:r>
          </m:e>
        </m:d>
      </m:oMath>
      <w:r>
        <w:t xml:space="preserve">, estimated by total cost over total cycles of use; we report it relative to perfect foresight (replacement at</w:t>
      </w:r>
      <w:r>
        <w:t xml:space="preserve"> </w:t>
      </w:r>
      <m:oMath>
        <m:r>
          <m:t>L</m:t>
        </m:r>
        <m:r>
          <m:rPr>
            <m:sty m:val="p"/>
          </m:rPr>
          <m:t>−</m:t>
        </m:r>
        <m:r>
          <m:t>1</m:t>
        </m:r>
      </m:oMath>
      <w:r>
        <w:t xml:space="preserve">, cost 1) [12]. The engineering requirement we target is reliability of the alarm: the probability of failure before the planned replacement,</w:t>
      </w:r>
      <w:r>
        <w:t xml:space="preserve"> </w:t>
      </w:r>
      <m:oMath>
        <m:r>
          <m:t>P</m:t>
        </m:r>
        <m:d>
          <m:dPr>
            <m:begChr m:val="("/>
            <m:endChr m:val=")"/>
            <m:sepChr m:val=""/>
            <m:grow/>
          </m:dPr>
          <m:e>
            <m:r>
              <m:t>N</m:t>
            </m:r>
            <m:d>
              <m:dPr>
                <m:begChr m:val="("/>
                <m:endChr m:val=")"/>
                <m:sepChr m:val=""/>
                <m:grow/>
              </m:dPr>
              <m:e>
                <m:r>
                  <m:t>H</m:t>
                </m:r>
              </m:e>
            </m:d>
            <m:r>
              <m:rPr>
                <m:sty m:val="p"/>
              </m:rPr>
              <m:t>≤</m:t>
            </m:r>
            <m:r>
              <m:rPr>
                <m:sty m:val="p"/>
              </m:rPr>
              <m:t>ℓ</m:t>
            </m:r>
          </m:e>
        </m:d>
      </m:oMath>
      <w:r>
        <w:t xml:space="preserve">, should not exceed a stated</w:t>
      </w:r>
      <w:r>
        <w:t xml:space="preserve"> </w:t>
      </w:r>
      <m:oMath>
        <m:r>
          <m:t>α</m:t>
        </m:r>
      </m:oMath>
      <w:r>
        <w:t xml:space="preserve">.</w:t>
      </w:r>
    </w:p>
    <w:p>
      <w:pPr>
        <w:pStyle w:val="BodyText"/>
      </w:pPr>
      <w:r>
        <w:rPr>
          <w:bCs/>
          <w:b/>
        </w:rPr>
        <w:t xml:space="preserve">The window score.</w:t>
      </w:r>
      <w:r>
        <w:t xml:space="preserve"> </w:t>
      </w:r>
      <w:r>
        <w:t xml:space="preserve">The original study scored the first alarm by the asymmetric window: with reported estimate</w:t>
      </w:r>
      <w:r>
        <w:t xml:space="preserve"> </w:t>
      </w:r>
      <m:oMath>
        <m:acc>
          <m:accPr>
            <m:chr m:val="̂"/>
          </m:accPr>
          <m:e>
            <m:r>
              <m:t>Y</m:t>
            </m:r>
          </m:e>
        </m:acc>
      </m:oMath>
      <w:r>
        <w:t xml:space="preserve"> </w:t>
      </w:r>
      <w:r>
        <w:t xml:space="preserve">and error</w:t>
      </w:r>
      <w:r>
        <w:t xml:space="preserve"> </w:t>
      </w:r>
      <m:oMath>
        <m:r>
          <m:t>e</m:t>
        </m:r>
        <m:r>
          <m:rPr>
            <m:sty m:val="p"/>
          </m:rPr>
          <m:t>=</m:t>
        </m:r>
        <m:acc>
          <m:accPr>
            <m:chr m:val="̂"/>
          </m:accPr>
          <m:e>
            <m:r>
              <m:t>Y</m:t>
            </m:r>
          </m:e>
        </m:acc>
        <m:r>
          <m:rPr>
            <m:sty m:val="p"/>
          </m:rPr>
          <m:t>−</m:t>
        </m:r>
        <m:r>
          <m:t>R</m:t>
        </m:r>
      </m:oMath>
      <w:r>
        <w:t xml:space="preserve">,</w:t>
      </w:r>
      <w:r>
        <w:t xml:space="preserve"> </w:t>
      </w:r>
      <m:oMath>
        <m:r>
          <m:t>R</m:t>
        </m:r>
        <m:r>
          <m:rPr>
            <m:sty m:val="p"/>
          </m:rPr>
          <m:t>=</m:t>
        </m:r>
        <m:r>
          <m:t>N</m:t>
        </m:r>
        <m:d>
          <m:dPr>
            <m:begChr m:val="("/>
            <m:endChr m:val=")"/>
            <m:sepChr m:val=""/>
            <m:grow/>
          </m:dPr>
          <m:e>
            <m:r>
              <m:t>H</m:t>
            </m:r>
          </m:e>
        </m:d>
      </m:oMath>
      <w:r>
        <w:t xml:space="preserve">, the alarm is correct if</w:t>
      </w:r>
      <w:r>
        <w:t xml:space="preserve"> </w:t>
      </w:r>
      <m:oMath>
        <m:r>
          <m:t>a</m:t>
        </m:r>
        <m:r>
          <m:rPr>
            <m:sty m:val="p"/>
          </m:rPr>
          <m:t>≤</m:t>
        </m:r>
        <m:r>
          <m:t>e</m:t>
        </m:r>
        <m:r>
          <m:rPr>
            <m:sty m:val="p"/>
          </m:rPr>
          <m:t>≤</m:t>
        </m:r>
        <m:r>
          <m:t>b</m:t>
        </m:r>
      </m:oMath>
      <w:r>
        <w:t xml:space="preserve">,</w:t>
      </w:r>
      <w:r>
        <w:t xml:space="preserve"> </w:t>
      </w:r>
      <m:oMath>
        <m:d>
          <m:dPr>
            <m:begChr m:val="["/>
            <m:endChr m:val="]"/>
            <m:sepChr m:val=""/>
            <m:grow/>
          </m:dPr>
          <m:e>
            <m:r>
              <m:t>a</m:t>
            </m:r>
            <m:r>
              <m:rPr>
                <m:sty m:val="p"/>
              </m:rPr>
              <m:t>,</m:t>
            </m:r>
            <m:r>
              <m:t>b</m:t>
            </m:r>
          </m:e>
        </m:d>
        <m:r>
          <m:rPr>
            <m:sty m:val="p"/>
          </m:rPr>
          <m:t>=</m:t>
        </m:r>
        <m:d>
          <m:dPr>
            <m:begChr m:val="["/>
            <m:endChr m:val="]"/>
            <m:sepChr m:val=""/>
            <m:grow/>
          </m:dPr>
          <m:e>
            <m:r>
              <m:rPr>
                <m:sty m:val="p"/>
              </m:rPr>
              <m:t>−</m:t>
            </m:r>
            <m:r>
              <m:t>13</m:t>
            </m:r>
            <m:r>
              <m:rPr>
                <m:sty m:val="p"/>
              </m:rPr>
              <m:t>,</m:t>
            </m:r>
            <m:r>
              <m:rPr>
                <m:sty m:val="p"/>
              </m:rPr>
              <m:t>+</m:t>
            </m:r>
            <m:r>
              <m:t>2</m:t>
            </m:r>
          </m:e>
        </m:d>
      </m:oMath>
      <w:r>
        <w:t xml:space="preserve"> </w:t>
      </w:r>
      <w:r>
        <w:t xml:space="preserve">cycles for the engines and</w:t>
      </w:r>
      <w:r>
        <w:t xml:space="preserve"> </w:t>
      </w:r>
      <m:oMath>
        <m:d>
          <m:dPr>
            <m:begChr m:val="["/>
            <m:endChr m:val="]"/>
            <m:sepChr m:val=""/>
            <m:grow/>
          </m:dPr>
          <m:e>
            <m:r>
              <m:rPr>
                <m:sty m:val="p"/>
              </m:rPr>
              <m:t>−</m:t>
            </m:r>
            <m:r>
              <m:t>39</m:t>
            </m:r>
            <m:r>
              <m:rPr>
                <m:sty m:val="p"/>
              </m:rPr>
              <m:t>,</m:t>
            </m:r>
            <m:r>
              <m:rPr>
                <m:sty m:val="p"/>
              </m:rPr>
              <m:t>+</m:t>
            </m:r>
            <m:r>
              <m:t>6</m:t>
            </m:r>
          </m:e>
        </m:d>
      </m:oMath>
      <w:r>
        <w:t xml:space="preserve"> </w:t>
      </w:r>
      <w:r>
        <w:t xml:space="preserve">for the battery cells. The window score is the share of correct first alarms.</w:t>
      </w:r>
    </w:p>
    <w:bookmarkEnd w:id="22"/>
    <w:bookmarkStart w:id="25" w:name="theory"/>
    <w:p>
      <w:pPr>
        <w:pStyle w:val="Heading1"/>
      </w:pPr>
      <w:r>
        <w:t xml:space="preserve">4. Theory</w:t>
      </w:r>
    </w:p>
    <w:bookmarkStart w:id="23" w:name="Xed7deff9cc44e69ccccf1bb50a87ba2d4a3d618"/>
    <w:p>
      <w:pPr>
        <w:pStyle w:val="Heading2"/>
      </w:pPr>
      <w:r>
        <w:t xml:space="preserve">4.1 What the window score of a threshold alarm measures</w:t>
      </w:r>
    </w:p>
    <w:p>
      <w:pPr>
        <w:pStyle w:val="FirstParagraph"/>
      </w:pPr>
      <w:r>
        <w:rPr>
          <w:bCs/>
          <w:b/>
        </w:rPr>
        <w:t xml:space="preserve">Theorem 1 (window score of an estimate versus a constant).</w:t>
      </w:r>
      <w:r>
        <w:t xml:space="preserve"> </w:t>
      </w:r>
      <w:r>
        <w:t xml:space="preserve">Let</w:t>
      </w:r>
      <w:r>
        <w:t xml:space="preserve"> </w:t>
      </w:r>
      <m:oMath>
        <m:r>
          <m:t>R</m:t>
        </m:r>
        <m:r>
          <m:rPr>
            <m:sty m:val="p"/>
          </m:rPr>
          <m:t>∈</m:t>
        </m:r>
        <m:r>
          <m:rPr>
            <m:sty m:val="p"/>
            <m:scr m:val="double-struck"/>
          </m:rPr>
          <m:t>Z</m:t>
        </m:r>
      </m:oMath>
      <w:r>
        <w:t xml:space="preserve"> </w:t>
      </w:r>
      <w:r>
        <w:t xml:space="preserve">be the notice at the alarm,</w:t>
      </w:r>
      <w:r>
        <w:t xml:space="preserve"> </w:t>
      </w:r>
      <m:oMath>
        <m:acc>
          <m:accPr>
            <m:chr m:val="̂"/>
          </m:accPr>
          <m:e>
            <m:r>
              <m:t>Y</m:t>
            </m:r>
          </m:e>
        </m:acc>
      </m:oMath>
      <w:r>
        <w:t xml:space="preserve"> </w:t>
      </w:r>
      <w:r>
        <w:t xml:space="preserve">the reported estimate,</w:t>
      </w:r>
      <w:r>
        <w:t xml:space="preserve"> </w:t>
      </w:r>
      <m:oMath>
        <m:r>
          <m:t>c</m:t>
        </m:r>
      </m:oMath>
      <w:r>
        <w:t xml:space="preserve"> </w:t>
      </w:r>
      <w:r>
        <w:t xml:space="preserve">any constant and</w:t>
      </w:r>
      <w:r>
        <w:t xml:space="preserve"> </w:t>
      </w:r>
      <m:oMath>
        <m:r>
          <m:t>D</m:t>
        </m:r>
        <m:r>
          <m:rPr>
            <m:sty m:val="p"/>
          </m:rPr>
          <m:t>=</m:t>
        </m:r>
        <m:acc>
          <m:accPr>
            <m:chr m:val="̂"/>
          </m:accPr>
          <m:e>
            <m:r>
              <m:t>Y</m:t>
            </m:r>
          </m:e>
        </m:acc>
        <m:r>
          <m:rPr>
            <m:sty m:val="p"/>
          </m:rPr>
          <m:t>−</m:t>
        </m:r>
        <m:r>
          <m:t>c</m:t>
        </m:r>
      </m:oMath>
      <w:r>
        <w:t xml:space="preserve">. Define the half-open intervals</w:t>
      </w:r>
    </w:p>
    <w:p>
      <w:pPr>
        <w:pStyle w:val="BodyText"/>
      </w:pPr>
      <m:oMathPara>
        <m:oMathParaPr>
          <m:jc m:val="center"/>
        </m:oMathParaPr>
        <m:oMath>
          <m:sSub>
            <m:e>
              <m:r>
                <m:t>I</m:t>
              </m:r>
            </m:e>
            <m:sub>
              <m:r>
                <m:t>b</m:t>
              </m:r>
            </m:sub>
          </m:sSub>
          <m:r>
            <m:rPr>
              <m:sty m:val="p"/>
            </m:rPr>
            <m:t>=</m:t>
          </m:r>
          <m:d>
            <m:dPr>
              <m:begChr m:val="["/>
              <m:endChr m:val="]"/>
              <m:sepChr m:val=""/>
              <m:grow/>
            </m:dPr>
            <m:e>
              <m:r>
                <m:t> </m:t>
              </m:r>
              <m:r>
                <m:t>c</m:t>
              </m:r>
              <m:r>
                <m:rPr>
                  <m:sty m:val="p"/>
                </m:rPr>
                <m:t>−</m:t>
              </m:r>
              <m:r>
                <m:t>b</m:t>
              </m:r>
              <m:r>
                <m:rPr>
                  <m:sty m:val="p"/>
                </m:rPr>
                <m:t>,</m:t>
              </m:r>
              <m:r>
                <m:t> </m:t>
              </m:r>
              <m:r>
                <m:t>c</m:t>
              </m:r>
              <m:r>
                <m:rPr>
                  <m:sty m:val="p"/>
                </m:rPr>
                <m:t>−</m:t>
              </m:r>
              <m:r>
                <m:t>b</m:t>
              </m:r>
              <m:r>
                <m:rPr>
                  <m:sty m:val="p"/>
                </m:rPr>
                <m:t>+</m:t>
              </m:r>
              <m:r>
                <m:t>D</m:t>
              </m:r>
              <m:r>
                <m:t> </m:t>
              </m:r>
              <m:r>
                <m:rPr>
                  <m:sty m:val="p"/>
                </m:rPr>
                <m:t>)</m:t>
              </m:r>
              <m:r>
                <m:rPr>
                  <m:sty m:val="p"/>
                </m:rPr>
                <m:t>,</m:t>
              </m:r>
              <m:r>
                <m:t>  </m:t>
              </m:r>
              <m:sSub>
                <m:e>
                  <m:r>
                    <m:t>I</m:t>
                  </m:r>
                </m:e>
                <m:sub>
                  <m:r>
                    <m:t>a</m:t>
                  </m:r>
                </m:sub>
              </m:sSub>
              <m:r>
                <m:rPr>
                  <m:sty m:val="p"/>
                </m:rPr>
                <m:t>=</m:t>
              </m:r>
              <m:r>
                <m:rPr>
                  <m:sty m:val="p"/>
                </m:rPr>
                <m:t>(</m:t>
              </m:r>
              <m:r>
                <m:t> </m:t>
              </m:r>
              <m:r>
                <m:t>c</m:t>
              </m:r>
              <m:r>
                <m:rPr>
                  <m:sty m:val="p"/>
                </m:rPr>
                <m:t>−</m:t>
              </m:r>
              <m:r>
                <m:t>a</m:t>
              </m:r>
              <m:r>
                <m:rPr>
                  <m:sty m:val="p"/>
                </m:rPr>
                <m:t>,</m:t>
              </m:r>
              <m:r>
                <m:t> </m:t>
              </m:r>
              <m:r>
                <m:t>c</m:t>
              </m:r>
              <m:r>
                <m:rPr>
                  <m:sty m:val="p"/>
                </m:rPr>
                <m:t>−</m:t>
              </m:r>
              <m:r>
                <m:t>a</m:t>
              </m:r>
              <m:r>
                <m:rPr>
                  <m:sty m:val="p"/>
                </m:rPr>
                <m:t>+</m:t>
              </m:r>
              <m:r>
                <m:t>D</m:t>
              </m:r>
              <m:r>
                <m:t> </m:t>
              </m:r>
            </m:e>
          </m:d>
          <m:r>
            <m:t>  </m:t>
          </m:r>
          <m:d>
            <m:dPr>
              <m:begChr m:val="("/>
              <m:endChr m:val=")"/>
              <m:sepChr m:val=""/>
              <m:grow/>
            </m:dPr>
            <m:e>
              <m:r>
                <m:t>D</m:t>
              </m:r>
              <m:r>
                <m:rPr>
                  <m:sty m:val="p"/>
                </m:rPr>
                <m:t>≥</m:t>
              </m:r>
              <m:r>
                <m:t>0</m:t>
              </m:r>
            </m:e>
          </m:d>
          <m:r>
            <m:rPr>
              <m:sty m:val="p"/>
            </m:rPr>
            <m:t>,</m:t>
          </m:r>
        </m:oMath>
      </m:oMathPara>
    </w:p>
    <w:p>
      <w:pPr>
        <w:pStyle w:val="FirstParagraph"/>
      </w:pPr>
      <w:r>
        <w:t xml:space="preserve">and their mirror images</w:t>
      </w:r>
      <w:r>
        <w:t xml:space="preserve"> </w:t>
      </w:r>
      <m:oMath>
        <m:sSub>
          <m:e>
            <m:r>
              <m:t>I</m:t>
            </m:r>
          </m:e>
          <m:sub>
            <m:r>
              <m:t>b</m:t>
            </m:r>
          </m:sub>
        </m:sSub>
        <m:r>
          <m:rPr>
            <m:sty m:val="p"/>
          </m:rPr>
          <m:t>=</m:t>
        </m:r>
        <m:r>
          <m:rPr>
            <m:sty m:val="p"/>
          </m:rPr>
          <m:t>[</m:t>
        </m:r>
        <m:r>
          <m:t>c</m:t>
        </m:r>
        <m:r>
          <m:rPr>
            <m:sty m:val="p"/>
          </m:rPr>
          <m:t>−</m:t>
        </m:r>
        <m:r>
          <m:t>b</m:t>
        </m:r>
        <m:r>
          <m:rPr>
            <m:sty m:val="p"/>
          </m:rPr>
          <m:t>+</m:t>
        </m:r>
        <m:r>
          <m:t>D</m:t>
        </m:r>
        <m:r>
          <m:rPr>
            <m:sty m:val="p"/>
          </m:rPr>
          <m:t>,</m:t>
        </m:r>
        <m:r>
          <m:t>c</m:t>
        </m:r>
        <m:r>
          <m:rPr>
            <m:sty m:val="p"/>
          </m:rPr>
          <m:t>−</m:t>
        </m:r>
        <m:r>
          <m:t>b</m:t>
        </m:r>
        <m:r>
          <m:rPr>
            <m:sty m:val="p"/>
          </m:rPr>
          <m:t>)</m:t>
        </m:r>
      </m:oMath>
      <w:r>
        <w:t xml:space="preserve">,</w:t>
      </w:r>
      <w:r>
        <w:t xml:space="preserve"> </w:t>
      </w:r>
      <m:oMath>
        <m:sSub>
          <m:e>
            <m:r>
              <m:t>I</m:t>
            </m:r>
          </m:e>
          <m:sub>
            <m:r>
              <m:t>a</m:t>
            </m:r>
          </m:sub>
        </m:sSub>
        <m:r>
          <m:rPr>
            <m:sty m:val="p"/>
          </m:rPr>
          <m:t>=</m:t>
        </m:r>
        <m:r>
          <m:rPr>
            <m:sty m:val="p"/>
          </m:rPr>
          <m:t>(</m:t>
        </m:r>
        <m:r>
          <m:t>c</m:t>
        </m:r>
        <m:r>
          <m:rPr>
            <m:sty m:val="p"/>
          </m:rPr>
          <m:t>−</m:t>
        </m:r>
        <m:r>
          <m:t>a</m:t>
        </m:r>
        <m:r>
          <m:rPr>
            <m:sty m:val="p"/>
          </m:rPr>
          <m:t>+</m:t>
        </m:r>
        <m:r>
          <m:t>D</m:t>
        </m:r>
        <m:r>
          <m:rPr>
            <m:sty m:val="p"/>
          </m:rPr>
          <m:t>,</m:t>
        </m:r>
        <m:r>
          <m:t>c</m:t>
        </m:r>
        <m:r>
          <m:rPr>
            <m:sty m:val="p"/>
          </m:rPr>
          <m:t>−</m:t>
        </m:r>
        <m:r>
          <m:t>a</m:t>
        </m:r>
        <m:r>
          <m:rPr>
            <m:sty m:val="p"/>
          </m:rPr>
          <m:t>]</m:t>
        </m:r>
      </m:oMath>
      <w:r>
        <w:t xml:space="preserve"> </w:t>
      </w:r>
      <w:r>
        <w:t xml:space="preserve">for</w:t>
      </w:r>
      <w:r>
        <w:t xml:space="preserve"> </w:t>
      </w:r>
      <m:oMath>
        <m:r>
          <m:t>D</m:t>
        </m:r>
        <m:r>
          <m:rPr>
            <m:sty m:val="p"/>
          </m:rPr>
          <m:t>&lt;</m:t>
        </m:r>
        <m:r>
          <m:t>0</m:t>
        </m:r>
      </m:oMath>
      <w:r>
        <w:t xml:space="preserve">. Then:</w:t>
      </w:r>
    </w:p>
    <w:p>
      <w:pPr>
        <w:numPr>
          <w:ilvl w:val="0"/>
          <w:numId w:val="1002"/>
        </w:numPr>
      </w:pPr>
      <m:oMath>
        <m:r>
          <m:rPr>
            <m:sty m:val="p"/>
          </m:rPr>
          <m:t>|</m:t>
        </m:r>
        <m:r>
          <m:t> </m:t>
        </m:r>
        <m:r>
          <m:rPr>
            <m:sty m:val="b"/>
          </m:rPr>
          <m:t>1</m:t>
        </m:r>
        <m:r>
          <m:rPr>
            <m:sty m:val="p"/>
          </m:rPr>
          <m:t>{</m:t>
        </m:r>
        <m:r>
          <m:t>a</m:t>
        </m:r>
        <m:r>
          <m:rPr>
            <m:sty m:val="p"/>
          </m:rPr>
          <m:t>≤</m:t>
        </m:r>
        <m:acc>
          <m:accPr>
            <m:chr m:val="̂"/>
          </m:accPr>
          <m:e>
            <m:r>
              <m:t>Y</m:t>
            </m:r>
          </m:e>
        </m:acc>
        <m:r>
          <m:rPr>
            <m:sty m:val="p"/>
          </m:rPr>
          <m:t>−</m:t>
        </m:r>
        <m:r>
          <m:t>R</m:t>
        </m:r>
        <m:r>
          <m:rPr>
            <m:sty m:val="p"/>
          </m:rPr>
          <m:t>≤</m:t>
        </m:r>
        <m:r>
          <m:t>b</m:t>
        </m:r>
        <m:r>
          <m:rPr>
            <m:sty m:val="p"/>
          </m:rPr>
          <m:t>}</m:t>
        </m:r>
        <m:r>
          <m:rPr>
            <m:sty m:val="p"/>
          </m:rPr>
          <m:t>−</m:t>
        </m:r>
        <m:r>
          <m:rPr>
            <m:sty m:val="b"/>
          </m:rPr>
          <m:t>1</m:t>
        </m:r>
        <m:r>
          <m:rPr>
            <m:sty m:val="p"/>
          </m:rPr>
          <m:t>{</m:t>
        </m:r>
        <m:r>
          <m:t>a</m:t>
        </m:r>
        <m:r>
          <m:rPr>
            <m:sty m:val="p"/>
          </m:rPr>
          <m:t>≤</m:t>
        </m:r>
        <m:r>
          <m:t>c</m:t>
        </m:r>
        <m:r>
          <m:rPr>
            <m:sty m:val="p"/>
          </m:rPr>
          <m:t>−</m:t>
        </m:r>
        <m:r>
          <m:t>R</m:t>
        </m:r>
        <m:r>
          <m:rPr>
            <m:sty m:val="p"/>
          </m:rPr>
          <m:t>≤</m:t>
        </m:r>
        <m:r>
          <m:t>b</m:t>
        </m:r>
        <m:r>
          <m:rPr>
            <m:sty m:val="p"/>
          </m:rPr>
          <m:t>}</m:t>
        </m:r>
        <m:r>
          <m:t> </m:t>
        </m:r>
        <m:r>
          <m:rPr>
            <m:sty m:val="p"/>
          </m:rPr>
          <m:t>|</m:t>
        </m:r>
        <m:r>
          <m:rPr>
            <m:sty m:val="p"/>
          </m:rPr>
          <m:t>≤</m:t>
        </m:r>
        <m:r>
          <m:rPr>
            <m:sty m:val="b"/>
          </m:rPr>
          <m:t>1</m:t>
        </m:r>
        <m:r>
          <m:rPr>
            <m:sty m:val="p"/>
          </m:rPr>
          <m:t>{</m:t>
        </m:r>
        <m:r>
          <m:t>R</m:t>
        </m:r>
        <m:r>
          <m:rPr>
            <m:sty m:val="p"/>
          </m:rPr>
          <m:t>∈</m:t>
        </m:r>
        <m:sSub>
          <m:e>
            <m:r>
              <m:t>I</m:t>
            </m:r>
          </m:e>
          <m:sub>
            <m:r>
              <m:t>a</m:t>
            </m:r>
          </m:sub>
        </m:sSub>
        <m:r>
          <m:rPr>
            <m:sty m:val="p"/>
          </m:rPr>
          <m:t>}</m:t>
        </m:r>
        <m:r>
          <m:rPr>
            <m:sty m:val="p"/>
          </m:rPr>
          <m:t>+</m:t>
        </m:r>
        <m:r>
          <m:rPr>
            <m:sty m:val="b"/>
          </m:rPr>
          <m:t>1</m:t>
        </m:r>
        <m:r>
          <m:rPr>
            <m:sty m:val="p"/>
          </m:rPr>
          <m:t>{</m:t>
        </m:r>
        <m:r>
          <m:t>R</m:t>
        </m:r>
        <m:r>
          <m:rPr>
            <m:sty m:val="p"/>
          </m:rPr>
          <m:t>∈</m:t>
        </m:r>
        <m:sSub>
          <m:e>
            <m:r>
              <m:t>I</m:t>
            </m:r>
          </m:e>
          <m:sub>
            <m:r>
              <m:t>b</m:t>
            </m:r>
          </m:sub>
        </m:sSub>
        <m:r>
          <m:rPr>
            <m:sty m:val="p"/>
          </m:rPr>
          <m:t>}</m:t>
        </m:r>
      </m:oMath>
      <w:r>
        <w:t xml:space="preserve">.</w:t>
      </w:r>
    </w:p>
    <w:p>
      <w:pPr>
        <w:numPr>
          <w:ilvl w:val="0"/>
          <w:numId w:val="1002"/>
        </w:numPr>
      </w:pPr>
      <w:r>
        <w:t xml:space="preserve">For the window scores</w:t>
      </w:r>
      <w:r>
        <w:t xml:space="preserve"> </w:t>
      </w:r>
      <m:oMath>
        <m:sSub>
          <m:e>
            <m:r>
              <m:t>S</m:t>
            </m:r>
          </m:e>
          <m:sub>
            <m:r>
              <m:rPr>
                <m:nor/>
                <m:sty m:val="p"/>
              </m:rPr>
              <m:t>est</m:t>
            </m:r>
          </m:sub>
        </m:sSub>
        <m:r>
          <m:rPr>
            <m:sty m:val="p"/>
          </m:rPr>
          <m:t>=</m:t>
        </m:r>
        <m:r>
          <m:t>P</m:t>
        </m:r>
        <m:d>
          <m:dPr>
            <m:begChr m:val="("/>
            <m:endChr m:val=")"/>
            <m:sepChr m:val=""/>
            <m:grow/>
          </m:dPr>
          <m:e>
            <m:r>
              <m:t>a</m:t>
            </m:r>
            <m:r>
              <m:rPr>
                <m:sty m:val="p"/>
              </m:rPr>
              <m:t>≤</m:t>
            </m:r>
            <m:acc>
              <m:accPr>
                <m:chr m:val="̂"/>
              </m:accPr>
              <m:e>
                <m:r>
                  <m:t>Y</m:t>
                </m:r>
              </m:e>
            </m:acc>
            <m:r>
              <m:rPr>
                <m:sty m:val="p"/>
              </m:rPr>
              <m:t>−</m:t>
            </m:r>
            <m:r>
              <m:t>R</m:t>
            </m:r>
            <m:r>
              <m:rPr>
                <m:sty m:val="p"/>
              </m:rPr>
              <m:t>≤</m:t>
            </m:r>
            <m:r>
              <m:t>b</m:t>
            </m:r>
          </m:e>
        </m:d>
      </m:oMath>
      <w:r>
        <w:t xml:space="preserve"> </w:t>
      </w:r>
      <w:r>
        <w:t xml:space="preserve">and</w:t>
      </w:r>
      <w:r>
        <w:t xml:space="preserve"> </w:t>
      </w:r>
      <m:oMath>
        <m:sSub>
          <m:e>
            <m:r>
              <m:t>S</m:t>
            </m:r>
          </m:e>
          <m:sub>
            <m:r>
              <m:t>c</m:t>
            </m:r>
          </m:sub>
        </m:sSub>
        <m:r>
          <m:rPr>
            <m:sty m:val="p"/>
          </m:rPr>
          <m:t>=</m:t>
        </m:r>
        <m:r>
          <m:t>P</m:t>
        </m:r>
        <m:d>
          <m:dPr>
            <m:begChr m:val="("/>
            <m:endChr m:val=")"/>
            <m:sepChr m:val=""/>
            <m:grow/>
          </m:dPr>
          <m:e>
            <m:r>
              <m:t>a</m:t>
            </m:r>
            <m:r>
              <m:rPr>
                <m:sty m:val="p"/>
              </m:rPr>
              <m:t>≤</m:t>
            </m:r>
            <m:r>
              <m:t>c</m:t>
            </m:r>
            <m:r>
              <m:rPr>
                <m:sty m:val="p"/>
              </m:rPr>
              <m:t>−</m:t>
            </m:r>
            <m:r>
              <m:t>R</m:t>
            </m:r>
            <m:r>
              <m:rPr>
                <m:sty m:val="p"/>
              </m:rPr>
              <m:t>≤</m:t>
            </m:r>
            <m:r>
              <m:t>b</m:t>
            </m:r>
          </m:e>
        </m:d>
      </m:oMath>
      <w:r>
        <w:t xml:space="preserve"> </w:t>
      </w:r>
      <w:r>
        <w:t xml:space="preserve">(or their empirical versions),</w:t>
      </w:r>
      <w:r>
        <w:t xml:space="preserve"> </w:t>
      </w:r>
      <m:oMath>
        <m:d>
          <m:dPr>
            <m:begChr m:val="|"/>
            <m:endChr m:val="|"/>
            <m:sepChr m:val=""/>
            <m:grow/>
          </m:dPr>
          <m:e>
            <m:sSub>
              <m:e>
                <m:r>
                  <m:t>S</m:t>
                </m:r>
              </m:e>
              <m:sub>
                <m:r>
                  <m:rPr>
                    <m:nor/>
                    <m:sty m:val="p"/>
                  </m:rPr>
                  <m:t>est</m:t>
                </m:r>
              </m:sub>
            </m:sSub>
            <m:r>
              <m:rPr>
                <m:sty m:val="p"/>
              </m:rPr>
              <m:t>−</m:t>
            </m:r>
            <m:sSub>
              <m:e>
                <m:r>
                  <m:t>S</m:t>
                </m:r>
              </m:e>
              <m:sub>
                <m:r>
                  <m:t>c</m:t>
                </m:r>
              </m:sub>
            </m:sSub>
          </m:e>
        </m:d>
        <m:r>
          <m:rPr>
            <m:sty m:val="p"/>
          </m:rPr>
          <m:t>≤</m:t>
        </m:r>
        <m:r>
          <m:t>P</m:t>
        </m:r>
        <m:d>
          <m:dPr>
            <m:begChr m:val="("/>
            <m:endChr m:val=")"/>
            <m:sepChr m:val=""/>
            <m:grow/>
          </m:dPr>
          <m:e>
            <m:r>
              <m:t>R</m:t>
            </m:r>
            <m:r>
              <m:rPr>
                <m:sty m:val="p"/>
              </m:rPr>
              <m:t>∈</m:t>
            </m:r>
            <m:sSub>
              <m:e>
                <m:r>
                  <m:t>I</m:t>
                </m:r>
              </m:e>
              <m:sub>
                <m:r>
                  <m:t>a</m:t>
                </m:r>
              </m:sub>
            </m:sSub>
          </m:e>
        </m:d>
        <m:r>
          <m:rPr>
            <m:sty m:val="p"/>
          </m:rPr>
          <m:t>+</m:t>
        </m:r>
        <m:r>
          <m:t>P</m:t>
        </m:r>
        <m:d>
          <m:dPr>
            <m:begChr m:val="("/>
            <m:endChr m:val=")"/>
            <m:sepChr m:val=""/>
            <m:grow/>
          </m:dPr>
          <m:e>
            <m:r>
              <m:t>R</m:t>
            </m:r>
            <m:r>
              <m:rPr>
                <m:sty m:val="p"/>
              </m:rPr>
              <m:t>∈</m:t>
            </m:r>
            <m:sSub>
              <m:e>
                <m:r>
                  <m:t>I</m:t>
                </m:r>
              </m:e>
              <m:sub>
                <m:r>
                  <m:t>b</m:t>
                </m:r>
              </m:sub>
            </m:sSub>
          </m:e>
        </m:d>
      </m:oMath>
      <w:r>
        <w:t xml:space="preserve">. If, conditionally on</w:t>
      </w:r>
      <w:r>
        <w:t xml:space="preserve"> </w:t>
      </w:r>
      <m:oMath>
        <m:acc>
          <m:accPr>
            <m:chr m:val="̂"/>
          </m:accPr>
          <m:e>
            <m:r>
              <m:t>Y</m:t>
            </m:r>
          </m:e>
        </m:acc>
      </m:oMath>
      <w:r>
        <w:t xml:space="preserve">, the probability mass function of</w:t>
      </w:r>
      <w:r>
        <w:t xml:space="preserve"> </w:t>
      </w:r>
      <m:oMath>
        <m:r>
          <m:t>R</m:t>
        </m:r>
      </m:oMath>
      <w:r>
        <w:t xml:space="preserve"> </w:t>
      </w:r>
      <w:r>
        <w:t xml:space="preserve">is at most</w:t>
      </w:r>
      <w:r>
        <w:t xml:space="preserve"> </w:t>
      </w:r>
      <m:oMath>
        <m:sSub>
          <m:e>
            <m:r>
              <m:t>π</m:t>
            </m:r>
          </m:e>
          <m:sub>
            <m:r>
              <m:t>a</m:t>
            </m:r>
          </m:sub>
        </m:sSub>
      </m:oMath>
      <w:r>
        <w:t xml:space="preserve"> </w:t>
      </w:r>
      <w:r>
        <w:t xml:space="preserve">on integers within</w:t>
      </w:r>
      <w:r>
        <w:t xml:space="preserve"> </w:t>
      </w:r>
      <m:oMath>
        <m:r>
          <m:t>Δ</m:t>
        </m:r>
      </m:oMath>
      <w:r>
        <w:t xml:space="preserve"> </w:t>
      </w:r>
      <w:r>
        <w:t xml:space="preserve">of</w:t>
      </w:r>
      <w:r>
        <w:t xml:space="preserve"> </w:t>
      </w:r>
      <m:oMath>
        <m:r>
          <m:t>c</m:t>
        </m:r>
        <m:r>
          <m:rPr>
            <m:sty m:val="p"/>
          </m:rPr>
          <m:t>−</m:t>
        </m:r>
        <m:r>
          <m:t>a</m:t>
        </m:r>
      </m:oMath>
      <w:r>
        <w:t xml:space="preserve"> </w:t>
      </w:r>
      <w:r>
        <w:t xml:space="preserve">and at most</w:t>
      </w:r>
      <w:r>
        <w:t xml:space="preserve"> </w:t>
      </w:r>
      <m:oMath>
        <m:sSub>
          <m:e>
            <m:r>
              <m:t>π</m:t>
            </m:r>
          </m:e>
          <m:sub>
            <m:r>
              <m:t>b</m:t>
            </m:r>
          </m:sub>
        </m:sSub>
      </m:oMath>
      <w:r>
        <w:t xml:space="preserve"> </w:t>
      </w:r>
      <w:r>
        <w:t xml:space="preserve">within</w:t>
      </w:r>
      <w:r>
        <w:t xml:space="preserve"> </w:t>
      </w:r>
      <m:oMath>
        <m:r>
          <m:t>Δ</m:t>
        </m:r>
      </m:oMath>
      <w:r>
        <w:t xml:space="preserve"> </w:t>
      </w:r>
      <w:r>
        <w:t xml:space="preserve">of</w:t>
      </w:r>
      <w:r>
        <w:t xml:space="preserve"> </w:t>
      </w:r>
      <m:oMath>
        <m:r>
          <m:t>c</m:t>
        </m:r>
        <m:r>
          <m:rPr>
            <m:sty m:val="p"/>
          </m:rPr>
          <m:t>−</m:t>
        </m:r>
        <m:r>
          <m:t>b</m:t>
        </m:r>
      </m:oMath>
      <w:r>
        <w:t xml:space="preserve">, and</w:t>
      </w:r>
      <w:r>
        <w:t xml:space="preserve"> </w:t>
      </w:r>
      <m:oMath>
        <m:d>
          <m:dPr>
            <m:begChr m:val="|"/>
            <m:endChr m:val="|"/>
            <m:sepChr m:val=""/>
            <m:grow/>
          </m:dPr>
          <m:e>
            <m:r>
              <m:t>D</m:t>
            </m:r>
          </m:e>
        </m:d>
        <m:r>
          <m:rPr>
            <m:sty m:val="p"/>
          </m:rPr>
          <m:t>≤</m:t>
        </m:r>
        <m:r>
          <m:t>Δ</m:t>
        </m:r>
      </m:oMath>
      <w:r>
        <w:t xml:space="preserve">, then</w:t>
      </w:r>
    </w:p>
    <w:p>
      <w:pPr>
        <w:pStyle w:val="BodyText"/>
      </w:pPr>
      <m:oMathPara>
        <m:oMathParaPr>
          <m:jc m:val="center"/>
        </m:oMathParaPr>
        <m:oMath>
          <m:d>
            <m:dPr>
              <m:begChr m:val="|"/>
              <m:endChr m:val="|"/>
              <m:sepChr m:val=""/>
              <m:grow/>
            </m:dPr>
            <m:e>
              <m:sSub>
                <m:e>
                  <m:r>
                    <m:t>S</m:t>
                  </m:r>
                </m:e>
                <m:sub>
                  <m:r>
                    <m:rPr>
                      <m:nor/>
                      <m:sty m:val="p"/>
                    </m:rPr>
                    <m:t>est</m:t>
                  </m:r>
                </m:sub>
              </m:sSub>
              <m:r>
                <m:rPr>
                  <m:sty m:val="p"/>
                </m:rPr>
                <m:t>−</m:t>
              </m:r>
              <m:sSub>
                <m:e>
                  <m:r>
                    <m:t>S</m:t>
                  </m:r>
                </m:e>
                <m:sub>
                  <m:r>
                    <m:t>c</m:t>
                  </m:r>
                </m:sub>
              </m:sSub>
            </m:e>
          </m:d>
          <m:r>
            <m:rPr>
              <m:sty m:val="p"/>
            </m:rPr>
            <m:t>≤</m:t>
          </m:r>
          <m:d>
            <m:dPr>
              <m:begChr m:val="("/>
              <m:endChr m:val=")"/>
              <m:sepChr m:val=""/>
              <m:grow/>
            </m:dPr>
            <m:e>
              <m:sSub>
                <m:e>
                  <m:r>
                    <m:t>π</m:t>
                  </m:r>
                </m:e>
                <m:sub>
                  <m:r>
                    <m:t>a</m:t>
                  </m:r>
                </m:sub>
              </m:sSub>
              <m:r>
                <m:rPr>
                  <m:sty m:val="p"/>
                </m:rPr>
                <m:t>+</m:t>
              </m:r>
              <m:sSub>
                <m:e>
                  <m:r>
                    <m:t>π</m:t>
                  </m:r>
                </m:e>
                <m:sub>
                  <m:r>
                    <m:t>b</m:t>
                  </m:r>
                </m:sub>
              </m:sSub>
            </m:e>
          </m:d>
          <m:r>
            <m:t> </m:t>
          </m:r>
          <m:r>
            <m:t>E</m:t>
          </m:r>
          <m:r>
            <m:rPr>
              <m:sty m:val="p"/>
            </m:rPr>
            <m:t>⌈</m:t>
          </m:r>
          <m:d>
            <m:dPr>
              <m:begChr m:val="|"/>
              <m:endChr m:val="|"/>
              <m:sepChr m:val=""/>
              <m:grow/>
            </m:dPr>
            <m:e>
              <m:r>
                <m:t>D</m:t>
              </m:r>
            </m:e>
          </m:d>
          <m:r>
            <m:rPr>
              <m:sty m:val="p"/>
            </m:rPr>
            <m:t>⌉</m:t>
          </m:r>
          <m:r>
            <m:rPr>
              <m:sty m:val="p"/>
            </m:rPr>
            <m:t>.</m:t>
          </m:r>
        </m:oMath>
      </m:oMathPara>
    </w:p>
    <w:p>
      <w:pPr>
        <w:numPr>
          <w:ilvl w:val="0"/>
          <w:numId w:val="1002"/>
        </w:numPr>
      </w:pPr>
      <w:r>
        <w:t xml:space="preserve">(Threshold-crossing alarms.) Let the reported estimate be the triggering signal at the alarm,</w:t>
      </w:r>
      <w:r>
        <w:t xml:space="preserve"> </w:t>
      </w:r>
      <m:oMath>
        <m:acc>
          <m:accPr>
            <m:chr m:val="̂"/>
          </m:accPr>
          <m:e>
            <m:r>
              <m:t>Y</m:t>
            </m:r>
          </m:e>
        </m:acc>
        <m:r>
          <m:rPr>
            <m:sty m:val="p"/>
          </m:rPr>
          <m:t>=</m:t>
        </m:r>
        <m:sSub>
          <m:e>
            <m:r>
              <m:t>s</m:t>
            </m:r>
          </m:e>
          <m:sub>
            <m:r>
              <m:t>τ</m:t>
            </m:r>
          </m:sub>
        </m:sSub>
      </m:oMath>
      <w:r>
        <w:t xml:space="preserve">, and suppose the alarm is not raised at the first possible row (</w:t>
      </w:r>
      <m:oMath>
        <m:r>
          <m:t>τ</m:t>
        </m:r>
        <m:r>
          <m:rPr>
            <m:sty m:val="p"/>
          </m:rPr>
          <m:t>&gt;</m:t>
        </m:r>
        <m:r>
          <m:t>k</m:t>
        </m:r>
      </m:oMath>
      <w:r>
        <w:t xml:space="preserve">). Then</w:t>
      </w:r>
    </w:p>
    <w:p>
      <w:pPr>
        <w:pStyle w:val="BodyText"/>
      </w:pPr>
      <m:oMathPara>
        <m:oMathParaPr>
          <m:jc m:val="center"/>
        </m:oMathParaPr>
        <m:oMath>
          <m:r>
            <m:t>H</m:t>
          </m:r>
          <m:r>
            <m:rPr>
              <m:sty m:val="p"/>
            </m:rPr>
            <m:t>−</m:t>
          </m:r>
          <m:r>
            <m:t>k</m:t>
          </m:r>
          <m:r>
            <m:t> </m:t>
          </m:r>
          <m:sSup>
            <m:e>
              <m:r>
                <m:t>δ</m:t>
              </m:r>
            </m:e>
            <m:sup>
              <m:r>
                <m:rPr>
                  <m:sty m:val="p"/>
                </m:rPr>
                <m:t>+</m:t>
              </m:r>
            </m:sup>
          </m:sSup>
          <m:r>
            <m:rPr>
              <m:sty m:val="p"/>
            </m:rPr>
            <m:t>≤</m:t>
          </m:r>
          <m:acc>
            <m:accPr>
              <m:chr m:val="̂"/>
            </m:accPr>
            <m:e>
              <m:r>
                <m:t>Y</m:t>
              </m:r>
            </m:e>
          </m:acc>
          <m:r>
            <m:rPr>
              <m:sty m:val="p"/>
            </m:rPr>
            <m:t>≤</m:t>
          </m:r>
          <m:r>
            <m:t>H</m:t>
          </m:r>
          <m:r>
            <m:rPr>
              <m:sty m:val="p"/>
            </m:rPr>
            <m:t>,</m:t>
          </m:r>
          <m:r>
            <m:t>  </m:t>
          </m:r>
          <m:sSup>
            <m:e>
              <m:r>
                <m:t>δ</m:t>
              </m:r>
            </m:e>
            <m:sup>
              <m:r>
                <m:rPr>
                  <m:sty m:val="p"/>
                </m:rPr>
                <m:t>+</m:t>
              </m:r>
            </m:sup>
          </m:sSup>
          <m:r>
            <m:rPr>
              <m:sty m:val="p"/>
            </m:rPr>
            <m:t>=</m:t>
          </m:r>
          <m:r>
            <m:rPr>
              <m:sty m:val="p"/>
            </m:rPr>
            <m:t>max</m:t>
          </m:r>
          <m:d>
            <m:dPr>
              <m:begChr m:val="("/>
              <m:endChr m:val=")"/>
              <m:sepChr m:val=""/>
              <m:grow/>
            </m:dPr>
            <m:e>
              <m:r>
                <m:t>0</m:t>
              </m:r>
              <m:r>
                <m:rPr>
                  <m:sty m:val="p"/>
                </m:rPr>
                <m:t>,</m:t>
              </m:r>
              <m:limLow>
                <m:e>
                  <m:r>
                    <m:rPr>
                      <m:sty m:val="p"/>
                    </m:rPr>
                    <m:t>max</m:t>
                  </m:r>
                </m:e>
                <m:lim>
                  <m:r>
                    <m:t>τ</m:t>
                  </m:r>
                  <m:r>
                    <m:rPr>
                      <m:sty m:val="p"/>
                    </m:rPr>
                    <m:t>−</m:t>
                  </m:r>
                  <m:r>
                    <m:t>k</m:t>
                  </m:r>
                  <m:r>
                    <m:rPr>
                      <m:sty m:val="p"/>
                    </m:rPr>
                    <m:t>&lt;</m:t>
                  </m:r>
                  <m:r>
                    <m:t>i</m:t>
                  </m:r>
                  <m:r>
                    <m:rPr>
                      <m:sty m:val="p"/>
                    </m:rPr>
                    <m:t>≤</m:t>
                  </m:r>
                  <m:r>
                    <m:t>τ</m:t>
                  </m:r>
                </m:lim>
              </m:limLow>
              <m:d>
                <m:dPr>
                  <m:begChr m:val="("/>
                  <m:endChr m:val=")"/>
                  <m:sepChr m:val=""/>
                  <m:grow/>
                </m:dPr>
                <m:e>
                  <m:sSub>
                    <m:e>
                      <m:r>
                        <m:t>s</m:t>
                      </m:r>
                    </m:e>
                    <m:sub>
                      <m:r>
                        <m:t>i</m:t>
                      </m:r>
                      <m:r>
                        <m:rPr>
                          <m:sty m:val="p"/>
                        </m:rPr>
                        <m:t>−</m:t>
                      </m:r>
                      <m:r>
                        <m:t>1</m:t>
                      </m:r>
                    </m:sub>
                  </m:sSub>
                  <m:r>
                    <m:rPr>
                      <m:sty m:val="p"/>
                    </m:rPr>
                    <m:t>−</m:t>
                  </m:r>
                  <m:sSub>
                    <m:e>
                      <m:r>
                        <m:t>s</m:t>
                      </m:r>
                    </m:e>
                    <m:sub>
                      <m:r>
                        <m:t>i</m:t>
                      </m:r>
                    </m:sub>
                  </m:sSub>
                </m:e>
              </m:d>
            </m:e>
          </m:d>
          <m:r>
            <m:rPr>
              <m:sty m:val="p"/>
            </m:rPr>
            <m:t>,</m:t>
          </m:r>
        </m:oMath>
      </m:oMathPara>
    </w:p>
    <w:p>
      <w:pPr>
        <w:numPr>
          <w:ilvl w:val="0"/>
          <w:numId w:val="1000"/>
        </w:numPr>
      </w:pPr>
      <w:r>
        <w:t xml:space="preserve">so with</w:t>
      </w:r>
      <w:r>
        <w:t xml:space="preserve"> </w:t>
      </w:r>
      <m:oMath>
        <m:r>
          <m:t>c</m:t>
        </m:r>
        <m:r>
          <m:rPr>
            <m:sty m:val="p"/>
          </m:rPr>
          <m:t>=</m:t>
        </m:r>
        <m:r>
          <m:t>H</m:t>
        </m:r>
        <m:r>
          <m:rPr>
            <m:sty m:val="p"/>
          </m:rPr>
          <m:t>−</m:t>
        </m:r>
        <m:r>
          <m:t>k</m:t>
        </m:r>
        <m:acc>
          <m:accPr>
            <m:chr m:val="‾"/>
          </m:accPr>
          <m:e>
            <m:r>
              <m:t>δ</m:t>
            </m:r>
          </m:e>
        </m:acc>
        <m:r>
          <m:rPr>
            <m:sty m:val="p"/>
          </m:rPr>
          <m:t>/</m:t>
        </m:r>
        <m:r>
          <m:t>2</m:t>
        </m:r>
      </m:oMath>
      <w:r>
        <w:t xml:space="preserve"> </w:t>
      </w:r>
      <w:r>
        <w:t xml:space="preserve">and</w:t>
      </w:r>
      <w:r>
        <w:t xml:space="preserve"> </w:t>
      </w:r>
      <m:oMath>
        <m:sSup>
          <m:e>
            <m:r>
              <m:t>δ</m:t>
            </m:r>
          </m:e>
          <m:sup>
            <m:r>
              <m:rPr>
                <m:sty m:val="p"/>
              </m:rPr>
              <m:t>+</m:t>
            </m:r>
          </m:sup>
        </m:sSup>
        <m:r>
          <m:rPr>
            <m:sty m:val="p"/>
          </m:rPr>
          <m:t>≤</m:t>
        </m:r>
        <m:acc>
          <m:accPr>
            <m:chr m:val="‾"/>
          </m:accPr>
          <m:e>
            <m:r>
              <m:t>δ</m:t>
            </m:r>
          </m:e>
        </m:acc>
      </m:oMath>
      <w:r>
        <w:t xml:space="preserve">,</w:t>
      </w:r>
      <w:r>
        <w:t xml:space="preserve"> </w:t>
      </w:r>
      <m:oMath>
        <m:d>
          <m:dPr>
            <m:begChr m:val="|"/>
            <m:endChr m:val="|"/>
            <m:sepChr m:val=""/>
            <m:grow/>
          </m:dPr>
          <m:e>
            <m:r>
              <m:t>D</m:t>
            </m:r>
          </m:e>
        </m:d>
        <m:r>
          <m:rPr>
            <m:sty m:val="p"/>
          </m:rPr>
          <m:t>≤</m:t>
        </m:r>
        <m:r>
          <m:t>k</m:t>
        </m:r>
        <m:acc>
          <m:accPr>
            <m:chr m:val="‾"/>
          </m:accPr>
          <m:e>
            <m:r>
              <m:t>δ</m:t>
            </m:r>
          </m:e>
        </m:acc>
        <m:r>
          <m:rPr>
            <m:sty m:val="p"/>
          </m:rPr>
          <m:t>/</m:t>
        </m:r>
        <m:r>
          <m:t>2</m:t>
        </m:r>
      </m:oMath>
      <w:r>
        <w:t xml:space="preserve"> </w:t>
      </w:r>
      <w:r>
        <w:t xml:space="preserve">and</w:t>
      </w:r>
      <w:r>
        <w:t xml:space="preserve"> </w:t>
      </w:r>
      <m:oMath>
        <m:d>
          <m:dPr>
            <m:begChr m:val="|"/>
            <m:endChr m:val="|"/>
            <m:sepChr m:val=""/>
            <m:grow/>
          </m:dPr>
          <m:e>
            <m:sSub>
              <m:e>
                <m:r>
                  <m:t>S</m:t>
                </m:r>
              </m:e>
              <m:sub>
                <m:r>
                  <m:rPr>
                    <m:nor/>
                    <m:sty m:val="p"/>
                  </m:rPr>
                  <m:t>est</m:t>
                </m:r>
              </m:sub>
            </m:sSub>
            <m:r>
              <m:rPr>
                <m:sty m:val="p"/>
              </m:rPr>
              <m:t>−</m:t>
            </m:r>
            <m:sSub>
              <m:e>
                <m:r>
                  <m:t>S</m:t>
                </m:r>
              </m:e>
              <m:sub>
                <m:r>
                  <m:t>c</m:t>
                </m:r>
              </m:sub>
            </m:sSub>
          </m:e>
        </m:d>
        <m:r>
          <m:rPr>
            <m:sty m:val="p"/>
          </m:rPr>
          <m:t>≤</m:t>
        </m:r>
        <m:d>
          <m:dPr>
            <m:begChr m:val="("/>
            <m:endChr m:val=")"/>
            <m:sepChr m:val=""/>
            <m:grow/>
          </m:dPr>
          <m:e>
            <m:sSub>
              <m:e>
                <m:r>
                  <m:t>π</m:t>
                </m:r>
              </m:e>
              <m:sub>
                <m:r>
                  <m:t>a</m:t>
                </m:r>
              </m:sub>
            </m:sSub>
            <m:r>
              <m:rPr>
                <m:sty m:val="p"/>
              </m:rPr>
              <m:t>+</m:t>
            </m:r>
            <m:sSub>
              <m:e>
                <m:r>
                  <m:t>π</m:t>
                </m:r>
              </m:e>
              <m:sub>
                <m:r>
                  <m:t>b</m:t>
                </m:r>
              </m:sub>
            </m:sSub>
          </m:e>
        </m:d>
        <m:r>
          <m:rPr>
            <m:sty m:val="p"/>
          </m:rPr>
          <m:t>⌈</m:t>
        </m:r>
        <m:r>
          <m:t>k</m:t>
        </m:r>
        <m:acc>
          <m:accPr>
            <m:chr m:val="‾"/>
          </m:accPr>
          <m:e>
            <m:r>
              <m:t>δ</m:t>
            </m:r>
          </m:e>
        </m:acc>
        <m:r>
          <m:rPr>
            <m:sty m:val="p"/>
          </m:rPr>
          <m:t>/</m:t>
        </m:r>
        <m:r>
          <m:t>2</m:t>
        </m:r>
        <m:r>
          <m:rPr>
            <m:sty m:val="p"/>
          </m:rPr>
          <m:t>⌉</m:t>
        </m:r>
      </m:oMath>
      <w:r>
        <w:t xml:space="preserve">.</w:t>
      </w:r>
    </w:p>
    <w:p>
      <w:pPr>
        <w:pStyle w:val="FirstParagraph"/>
      </w:pPr>
      <w:r>
        <w:rPr>
          <w:iCs/>
          <w:i/>
        </w:rPr>
        <w:t xml:space="preserve">Proof.</w:t>
      </w:r>
      <w:r>
        <w:t xml:space="preserve"> </w:t>
      </w:r>
      <w:r>
        <w:t xml:space="preserve">(i) Take</w:t>
      </w:r>
      <w:r>
        <w:t xml:space="preserve"> </w:t>
      </w:r>
      <m:oMath>
        <m:r>
          <m:t>D</m:t>
        </m:r>
        <m:r>
          <m:rPr>
            <m:sty m:val="p"/>
          </m:rPr>
          <m:t>≥</m:t>
        </m:r>
        <m:r>
          <m:t>0</m:t>
        </m:r>
      </m:oMath>
      <w:r>
        <w:t xml:space="preserve">; the case</w:t>
      </w:r>
      <w:r>
        <w:t xml:space="preserve"> </w:t>
      </w:r>
      <m:oMath>
        <m:r>
          <m:t>D</m:t>
        </m:r>
        <m:r>
          <m:rPr>
            <m:sty m:val="p"/>
          </m:rPr>
          <m:t>&lt;</m:t>
        </m:r>
        <m:r>
          <m:t>0</m:t>
        </m:r>
      </m:oMath>
      <w:r>
        <w:t xml:space="preserve"> </w:t>
      </w:r>
      <w:r>
        <w:t xml:space="preserve">is symmetric. The estimate’s acceptance set for</w:t>
      </w:r>
      <w:r>
        <w:t xml:space="preserve"> </w:t>
      </w:r>
      <m:oMath>
        <m:r>
          <m:t>R</m:t>
        </m:r>
      </m:oMath>
      <w:r>
        <w:t xml:space="preserve"> </w:t>
      </w:r>
      <w:r>
        <w:t xml:space="preserve">is</w:t>
      </w:r>
      <w:r>
        <w:t xml:space="preserve"> </w:t>
      </w:r>
      <m:oMath>
        <m:d>
          <m:dPr>
            <m:begChr m:val="["/>
            <m:endChr m:val="]"/>
            <m:sepChr m:val=""/>
            <m:grow/>
          </m:dPr>
          <m:e>
            <m:r>
              <m:t>c</m:t>
            </m:r>
            <m:r>
              <m:rPr>
                <m:sty m:val="p"/>
              </m:rPr>
              <m:t>−</m:t>
            </m:r>
            <m:r>
              <m:t>b</m:t>
            </m:r>
            <m:r>
              <m:rPr>
                <m:sty m:val="p"/>
              </m:rPr>
              <m:t>+</m:t>
            </m:r>
            <m:r>
              <m:t>D</m:t>
            </m:r>
            <m:r>
              <m:rPr>
                <m:sty m:val="p"/>
              </m:rPr>
              <m:t>,</m:t>
            </m:r>
            <m:r>
              <m:t>c</m:t>
            </m:r>
            <m:r>
              <m:rPr>
                <m:sty m:val="p"/>
              </m:rPr>
              <m:t>−</m:t>
            </m:r>
            <m:r>
              <m:t>a</m:t>
            </m:r>
            <m:r>
              <m:rPr>
                <m:sty m:val="p"/>
              </m:rPr>
              <m:t>+</m:t>
            </m:r>
            <m:r>
              <m:t>D</m:t>
            </m:r>
          </m:e>
        </m:d>
      </m:oMath>
      <w:r>
        <w:t xml:space="preserve"> </w:t>
      </w:r>
      <w:r>
        <w:t xml:space="preserve">and the constant’s is</w:t>
      </w:r>
      <w:r>
        <w:t xml:space="preserve"> </w:t>
      </w:r>
      <m:oMath>
        <m:d>
          <m:dPr>
            <m:begChr m:val="["/>
            <m:endChr m:val="]"/>
            <m:sepChr m:val=""/>
            <m:grow/>
          </m:dPr>
          <m:e>
            <m:r>
              <m:t>c</m:t>
            </m:r>
            <m:r>
              <m:rPr>
                <m:sty m:val="p"/>
              </m:rPr>
              <m:t>−</m:t>
            </m:r>
            <m:r>
              <m:t>b</m:t>
            </m:r>
            <m:r>
              <m:rPr>
                <m:sty m:val="p"/>
              </m:rPr>
              <m:t>,</m:t>
            </m:r>
            <m:r>
              <m:t>c</m:t>
            </m:r>
            <m:r>
              <m:rPr>
                <m:sty m:val="p"/>
              </m:rPr>
              <m:t>−</m:t>
            </m:r>
            <m:r>
              <m:t>a</m:t>
            </m:r>
          </m:e>
        </m:d>
      </m:oMath>
      <w:r>
        <w:t xml:space="preserve">. If</w:t>
      </w:r>
      <w:r>
        <w:t xml:space="preserve"> </w:t>
      </w:r>
      <m:oMath>
        <m:r>
          <m:t>R</m:t>
        </m:r>
      </m:oMath>
      <w:r>
        <w:t xml:space="preserve"> </w:t>
      </w:r>
      <w:r>
        <w:t xml:space="preserve">lies in the first but not the second, then</w:t>
      </w:r>
      <w:r>
        <w:t xml:space="preserve"> </w:t>
      </w:r>
      <m:oMath>
        <m:r>
          <m:t>R</m:t>
        </m:r>
        <m:r>
          <m:rPr>
            <m:sty m:val="p"/>
          </m:rPr>
          <m:t>&gt;</m:t>
        </m:r>
        <m:r>
          <m:t>c</m:t>
        </m:r>
        <m:r>
          <m:rPr>
            <m:sty m:val="p"/>
          </m:rPr>
          <m:t>−</m:t>
        </m:r>
        <m:r>
          <m:t>a</m:t>
        </m:r>
      </m:oMath>
      <w:r>
        <w:t xml:space="preserve"> </w:t>
      </w:r>
      <w:r>
        <w:t xml:space="preserve">and</w:t>
      </w:r>
      <w:r>
        <w:t xml:space="preserve"> </w:t>
      </w:r>
      <m:oMath>
        <m:r>
          <m:t>R</m:t>
        </m:r>
        <m:r>
          <m:rPr>
            <m:sty m:val="p"/>
          </m:rPr>
          <m:t>≤</m:t>
        </m:r>
        <m:r>
          <m:t>c</m:t>
        </m:r>
        <m:r>
          <m:rPr>
            <m:sty m:val="p"/>
          </m:rPr>
          <m:t>−</m:t>
        </m:r>
        <m:r>
          <m:t>a</m:t>
        </m:r>
        <m:r>
          <m:rPr>
            <m:sty m:val="p"/>
          </m:rPr>
          <m:t>+</m:t>
        </m:r>
        <m:r>
          <m:t>D</m:t>
        </m:r>
      </m:oMath>
      <w:r>
        <w:t xml:space="preserve">, so</w:t>
      </w:r>
      <w:r>
        <w:t xml:space="preserve"> </w:t>
      </w:r>
      <m:oMath>
        <m:r>
          <m:t>R</m:t>
        </m:r>
        <m:r>
          <m:rPr>
            <m:sty m:val="p"/>
          </m:rPr>
          <m:t>∈</m:t>
        </m:r>
        <m:sSub>
          <m:e>
            <m:r>
              <m:t>I</m:t>
            </m:r>
          </m:e>
          <m:sub>
            <m:r>
              <m:t>a</m:t>
            </m:r>
          </m:sub>
        </m:sSub>
      </m:oMath>
      <w:r>
        <w:t xml:space="preserve">. If</w:t>
      </w:r>
      <w:r>
        <w:t xml:space="preserve"> </w:t>
      </w:r>
      <m:oMath>
        <m:r>
          <m:t>R</m:t>
        </m:r>
      </m:oMath>
      <w:r>
        <w:t xml:space="preserve"> </w:t>
      </w:r>
      <w:r>
        <w:t xml:space="preserve">lies in the second but not the first, then</w:t>
      </w:r>
      <w:r>
        <w:t xml:space="preserve"> </w:t>
      </w:r>
      <m:oMath>
        <m:r>
          <m:t>R</m:t>
        </m:r>
        <m:r>
          <m:rPr>
            <m:sty m:val="p"/>
          </m:rPr>
          <m:t>≥</m:t>
        </m:r>
        <m:r>
          <m:t>c</m:t>
        </m:r>
        <m:r>
          <m:rPr>
            <m:sty m:val="p"/>
          </m:rPr>
          <m:t>−</m:t>
        </m:r>
        <m:r>
          <m:t>b</m:t>
        </m:r>
      </m:oMath>
      <w:r>
        <w:t xml:space="preserve"> </w:t>
      </w:r>
      <w:r>
        <w:t xml:space="preserve">and</w:t>
      </w:r>
      <w:r>
        <w:t xml:space="preserve"> </w:t>
      </w:r>
      <m:oMath>
        <m:r>
          <m:t>R</m:t>
        </m:r>
        <m:r>
          <m:rPr>
            <m:sty m:val="p"/>
          </m:rPr>
          <m:t>&lt;</m:t>
        </m:r>
        <m:r>
          <m:t>c</m:t>
        </m:r>
        <m:r>
          <m:rPr>
            <m:sty m:val="p"/>
          </m:rPr>
          <m:t>−</m:t>
        </m:r>
        <m:r>
          <m:t>b</m:t>
        </m:r>
        <m:r>
          <m:rPr>
            <m:sty m:val="p"/>
          </m:rPr>
          <m:t>+</m:t>
        </m:r>
        <m:r>
          <m:t>D</m:t>
        </m:r>
      </m:oMath>
      <w:r>
        <w:t xml:space="preserve">, so</w:t>
      </w:r>
      <w:r>
        <w:t xml:space="preserve"> </w:t>
      </w:r>
      <m:oMath>
        <m:r>
          <m:t>R</m:t>
        </m:r>
        <m:r>
          <m:rPr>
            <m:sty m:val="p"/>
          </m:rPr>
          <m:t>∈</m:t>
        </m:r>
        <m:sSub>
          <m:e>
            <m:r>
              <m:t>I</m:t>
            </m:r>
          </m:e>
          <m:sub>
            <m:r>
              <m:t>b</m:t>
            </m:r>
          </m:sub>
        </m:sSub>
      </m:oMath>
      <w:r>
        <w:t xml:space="preserve">. Otherwise the indicators agree. This holds also when</w:t>
      </w:r>
      <w:r>
        <w:t xml:space="preserve"> </w:t>
      </w:r>
      <m:oMath>
        <m:r>
          <m:t>D</m:t>
        </m:r>
      </m:oMath>
      <w:r>
        <w:t xml:space="preserve"> </w:t>
      </w:r>
      <w:r>
        <w:t xml:space="preserve">exceeds the window width</w:t>
      </w:r>
      <w:r>
        <w:t xml:space="preserve"> </w:t>
      </w:r>
      <m:oMath>
        <m:r>
          <m:t>b</m:t>
        </m:r>
        <m:r>
          <m:rPr>
            <m:sty m:val="p"/>
          </m:rPr>
          <m:t>−</m:t>
        </m:r>
        <m:r>
          <m:t>a</m:t>
        </m:r>
      </m:oMath>
      <w:r>
        <w:t xml:space="preserve">, in which case the two acceptance sets are disjoint and each is contained in</w:t>
      </w:r>
      <w:r>
        <w:t xml:space="preserve"> </w:t>
      </w:r>
      <m:oMath>
        <m:sSub>
          <m:e>
            <m:r>
              <m:t>I</m:t>
            </m:r>
          </m:e>
          <m:sub>
            <m:r>
              <m:t>b</m:t>
            </m:r>
          </m:sub>
        </m:sSub>
      </m:oMath>
      <w:r>
        <w:t xml:space="preserve"> </w:t>
      </w:r>
      <w:r>
        <w:t xml:space="preserve">or</w:t>
      </w:r>
      <w:r>
        <w:t xml:space="preserve"> </w:t>
      </w:r>
      <m:oMath>
        <m:sSub>
          <m:e>
            <m:r>
              <m:t>I</m:t>
            </m:r>
          </m:e>
          <m:sub>
            <m:r>
              <m:t>a</m:t>
            </m:r>
          </m:sub>
        </m:sSub>
      </m:oMath>
      <w:r>
        <w:t xml:space="preserve">. (ii) Take expectations of (i). A half-open interval of length</w:t>
      </w:r>
      <w:r>
        <w:t xml:space="preserve"> </w:t>
      </w:r>
      <m:oMath>
        <m:d>
          <m:dPr>
            <m:begChr m:val="|"/>
            <m:endChr m:val="|"/>
            <m:sepChr m:val=""/>
            <m:grow/>
          </m:dPr>
          <m:e>
            <m:r>
              <m:t>D</m:t>
            </m:r>
          </m:e>
        </m:d>
      </m:oMath>
      <w:r>
        <w:t xml:space="preserve"> </w:t>
      </w:r>
      <w:r>
        <w:t xml:space="preserve">contains at most</w:t>
      </w:r>
      <w:r>
        <w:t xml:space="preserve"> </w:t>
      </w:r>
      <m:oMath>
        <m:r>
          <m:rPr>
            <m:sty m:val="p"/>
          </m:rPr>
          <m:t>⌈</m:t>
        </m:r>
        <m:d>
          <m:dPr>
            <m:begChr m:val="|"/>
            <m:endChr m:val="|"/>
            <m:sepChr m:val=""/>
            <m:grow/>
          </m:dPr>
          <m:e>
            <m:r>
              <m:t>D</m:t>
            </m:r>
          </m:e>
        </m:d>
        <m:r>
          <m:rPr>
            <m:sty m:val="p"/>
          </m:rPr>
          <m:t>⌉</m:t>
        </m:r>
      </m:oMath>
      <w:r>
        <w:t xml:space="preserve"> </w:t>
      </w:r>
      <w:r>
        <w:t xml:space="preserve">integers, each of conditional probability at most</w:t>
      </w:r>
      <w:r>
        <w:t xml:space="preserve"> </w:t>
      </w:r>
      <m:oMath>
        <m:sSub>
          <m:e>
            <m:r>
              <m:t>π</m:t>
            </m:r>
          </m:e>
          <m:sub>
            <m:r>
              <m:t>a</m:t>
            </m:r>
          </m:sub>
        </m:sSub>
      </m:oMath>
      <w:r>
        <w:t xml:space="preserve"> </w:t>
      </w:r>
      <w:r>
        <w:t xml:space="preserve">(for</w:t>
      </w:r>
      <w:r>
        <w:t xml:space="preserve"> </w:t>
      </w:r>
      <m:oMath>
        <m:sSub>
          <m:e>
            <m:r>
              <m:t>I</m:t>
            </m:r>
          </m:e>
          <m:sub>
            <m:r>
              <m:t>a</m:t>
            </m:r>
          </m:sub>
        </m:sSub>
      </m:oMath>
      <w:r>
        <w:t xml:space="preserve">) or</w:t>
      </w:r>
      <w:r>
        <w:t xml:space="preserve"> </w:t>
      </w:r>
      <m:oMath>
        <m:sSub>
          <m:e>
            <m:r>
              <m:t>π</m:t>
            </m:r>
          </m:e>
          <m:sub>
            <m:r>
              <m:t>b</m:t>
            </m:r>
          </m:sub>
        </m:sSub>
      </m:oMath>
      <w:r>
        <w:t xml:space="preserve"> </w:t>
      </w:r>
      <w:r>
        <w:t xml:space="preserve">(for</w:t>
      </w:r>
      <w:r>
        <w:t xml:space="preserve"> </w:t>
      </w:r>
      <m:oMath>
        <m:sSub>
          <m:e>
            <m:r>
              <m:t>I</m:t>
            </m:r>
          </m:e>
          <m:sub>
            <m:r>
              <m:t>b</m:t>
            </m:r>
          </m:sub>
        </m:sSub>
      </m:oMath>
      <w:r>
        <w:t xml:space="preserve">); condition on</w:t>
      </w:r>
      <w:r>
        <w:t xml:space="preserve"> </w:t>
      </w:r>
      <m:oMath>
        <m:acc>
          <m:accPr>
            <m:chr m:val="̂"/>
          </m:accPr>
          <m:e>
            <m:r>
              <m:t>Y</m:t>
            </m:r>
          </m:e>
        </m:acc>
      </m:oMath>
      <w:r>
        <w:t xml:space="preserve"> </w:t>
      </w:r>
      <w:r>
        <w:t xml:space="preserve">and take expectations. (iii)</w:t>
      </w:r>
      <w:r>
        <w:t xml:space="preserve"> </w:t>
      </w:r>
      <m:oMath>
        <m:acc>
          <m:accPr>
            <m:chr m:val="̂"/>
          </m:accPr>
          <m:e>
            <m:r>
              <m:t>Y</m:t>
            </m:r>
          </m:e>
        </m:acc>
        <m:r>
          <m:rPr>
            <m:sty m:val="p"/>
          </m:rPr>
          <m:t>=</m:t>
        </m:r>
        <m:sSub>
          <m:e>
            <m:r>
              <m:t>s</m:t>
            </m:r>
          </m:e>
          <m:sub>
            <m:r>
              <m:t>τ</m:t>
            </m:r>
          </m:sub>
        </m:sSub>
        <m:r>
          <m:rPr>
            <m:sty m:val="p"/>
          </m:rPr>
          <m:t>≤</m:t>
        </m:r>
        <m:sSub>
          <m:e>
            <m:r>
              <m:t>m</m:t>
            </m:r>
          </m:e>
          <m:sub>
            <m:r>
              <m:t>τ</m:t>
            </m:r>
          </m:sub>
        </m:sSub>
        <m:r>
          <m:rPr>
            <m:sty m:val="p"/>
          </m:rPr>
          <m:t>≤</m:t>
        </m:r>
        <m:r>
          <m:t>H</m:t>
        </m:r>
      </m:oMath>
      <w:r>
        <w:t xml:space="preserve"> </w:t>
      </w:r>
      <w:r>
        <w:t xml:space="preserve">because the alarm is raised at</w:t>
      </w:r>
      <w:r>
        <w:t xml:space="preserve"> </w:t>
      </w:r>
      <m:oMath>
        <m:r>
          <m:t>τ</m:t>
        </m:r>
      </m:oMath>
      <w:r>
        <w:t xml:space="preserve">. Because it was not raised at</w:t>
      </w:r>
      <w:r>
        <w:t xml:space="preserve"> </w:t>
      </w:r>
      <m:oMath>
        <m:r>
          <m:t>τ</m:t>
        </m:r>
        <m:r>
          <m:rPr>
            <m:sty m:val="p"/>
          </m:rPr>
          <m:t>−</m:t>
        </m:r>
        <m:r>
          <m:t>1</m:t>
        </m:r>
        <m:r>
          <m:rPr>
            <m:sty m:val="p"/>
          </m:rPr>
          <m:t>≥</m:t>
        </m:r>
        <m:r>
          <m:t>k</m:t>
        </m:r>
      </m:oMath>
      <w:r>
        <w:t xml:space="preserve">,</w:t>
      </w:r>
      <w:r>
        <w:t xml:space="preserve"> </w:t>
      </w:r>
      <m:oMath>
        <m:sSub>
          <m:e>
            <m:r>
              <m:t>ρ</m:t>
            </m:r>
          </m:e>
          <m:sub>
            <m:r>
              <m:t>τ</m:t>
            </m:r>
            <m:r>
              <m:rPr>
                <m:sty m:val="p"/>
              </m:rPr>
              <m:t>−</m:t>
            </m:r>
            <m:r>
              <m:t>1</m:t>
            </m:r>
          </m:sub>
        </m:sSub>
        <m:r>
          <m:rPr>
            <m:sty m:val="p"/>
          </m:rPr>
          <m:t>&gt;</m:t>
        </m:r>
        <m:r>
          <m:t>H</m:t>
        </m:r>
      </m:oMath>
      <w:r>
        <w:t xml:space="preserve">, so</w:t>
      </w:r>
      <w:r>
        <w:t xml:space="preserve"> </w:t>
      </w:r>
      <m:oMath>
        <m:sSub>
          <m:e>
            <m:r>
              <m:t>m</m:t>
            </m:r>
          </m:e>
          <m:sub>
            <m:r>
              <m:t>τ</m:t>
            </m:r>
            <m:r>
              <m:rPr>
                <m:sty m:val="p"/>
              </m:rPr>
              <m:t>−</m:t>
            </m:r>
            <m:r>
              <m:t>1</m:t>
            </m:r>
          </m:sub>
        </m:sSub>
        <m:r>
          <m:rPr>
            <m:sty m:val="p"/>
          </m:rPr>
          <m:t>&gt;</m:t>
        </m:r>
        <m:r>
          <m:t>H</m:t>
        </m:r>
      </m:oMath>
      <w:r>
        <w:t xml:space="preserve">: some row</w:t>
      </w:r>
      <w:r>
        <w:t xml:space="preserve"> </w:t>
      </w:r>
      <m:oMath>
        <m:sSub>
          <m:e>
            <m:r>
              <m:t>i</m:t>
            </m:r>
          </m:e>
          <m:sub>
            <m:r>
              <m:t>0</m:t>
            </m:r>
          </m:sub>
        </m:sSub>
        <m:r>
          <m:rPr>
            <m:sty m:val="p"/>
          </m:rPr>
          <m:t>∈</m:t>
        </m:r>
        <m:d>
          <m:dPr>
            <m:begChr m:val="["/>
            <m:endChr m:val="]"/>
            <m:sepChr m:val=""/>
            <m:grow/>
          </m:dPr>
          <m:e>
            <m:r>
              <m:t>τ</m:t>
            </m:r>
            <m:r>
              <m:rPr>
                <m:sty m:val="p"/>
              </m:rPr>
              <m:t>−</m:t>
            </m:r>
            <m:r>
              <m:t>k</m:t>
            </m:r>
            <m:r>
              <m:rPr>
                <m:sty m:val="p"/>
              </m:rPr>
              <m:t>,</m:t>
            </m:r>
            <m:r>
              <m:t>τ</m:t>
            </m:r>
            <m:r>
              <m:rPr>
                <m:sty m:val="p"/>
              </m:rPr>
              <m:t>−</m:t>
            </m:r>
            <m:r>
              <m:t>1</m:t>
            </m:r>
          </m:e>
        </m:d>
      </m:oMath>
      <w:r>
        <w:t xml:space="preserve"> </w:t>
      </w:r>
      <w:r>
        <w:t xml:space="preserve">has</w:t>
      </w:r>
      <w:r>
        <w:t xml:space="preserve"> </w:t>
      </w:r>
      <m:oMath>
        <m:sSub>
          <m:e>
            <m:r>
              <m:t>s</m:t>
            </m:r>
          </m:e>
          <m:sub>
            <m:sSub>
              <m:e>
                <m:r>
                  <m:t>i</m:t>
                </m:r>
              </m:e>
              <m:sub>
                <m:r>
                  <m:t>0</m:t>
                </m:r>
              </m:sub>
            </m:sSub>
          </m:sub>
        </m:sSub>
        <m:r>
          <m:rPr>
            <m:sty m:val="p"/>
          </m:rPr>
          <m:t>&gt;</m:t>
        </m:r>
        <m:r>
          <m:t>H</m:t>
        </m:r>
      </m:oMath>
      <w:r>
        <w:t xml:space="preserve">. Then</w:t>
      </w:r>
      <w:r>
        <w:t xml:space="preserve"> </w:t>
      </w:r>
      <m:oMath>
        <m:sSub>
          <m:e>
            <m:r>
              <m:t>s</m:t>
            </m:r>
          </m:e>
          <m:sub>
            <m:r>
              <m:t>τ</m:t>
            </m:r>
          </m:sub>
        </m:sSub>
        <m:r>
          <m:rPr>
            <m:sty m:val="p"/>
          </m:rPr>
          <m:t>=</m:t>
        </m:r>
        <m:sSub>
          <m:e>
            <m:r>
              <m:t>s</m:t>
            </m:r>
          </m:e>
          <m:sub>
            <m:sSub>
              <m:e>
                <m:r>
                  <m:t>i</m:t>
                </m:r>
              </m:e>
              <m:sub>
                <m:r>
                  <m:t>0</m:t>
                </m:r>
              </m:sub>
            </m:sSub>
          </m:sub>
        </m:sSub>
        <m:r>
          <m:rPr>
            <m:sty m:val="p"/>
          </m:rPr>
          <m:t>−</m:t>
        </m:r>
        <m:nary>
          <m:naryPr>
            <m:chr m:val="∑"/>
            <m:limLoc m:val="undOvr"/>
            <m:subHide m:val="off"/>
            <m:supHide m:val="off"/>
          </m:naryPr>
          <m:sub>
            <m:r>
              <m:t>i</m:t>
            </m:r>
            <m:r>
              <m:rPr>
                <m:sty m:val="p"/>
              </m:rPr>
              <m:t>=</m:t>
            </m:r>
            <m:sSub>
              <m:e>
                <m:r>
                  <m:t>i</m:t>
                </m:r>
              </m:e>
              <m:sub>
                <m:r>
                  <m:t>0</m:t>
                </m:r>
              </m:sub>
            </m:sSub>
            <m:r>
              <m:rPr>
                <m:sty m:val="p"/>
              </m:rPr>
              <m:t>+</m:t>
            </m:r>
            <m:r>
              <m:t>1</m:t>
            </m:r>
          </m:sub>
          <m:sup>
            <m:r>
              <m:t>τ</m:t>
            </m:r>
          </m:sup>
          <m:e>
            <m:d>
              <m:dPr>
                <m:begChr m:val="("/>
                <m:endChr m:val=")"/>
                <m:sepChr m:val=""/>
                <m:grow/>
              </m:dPr>
              <m:e>
                <m:sSub>
                  <m:e>
                    <m:r>
                      <m:t>s</m:t>
                    </m:r>
                  </m:e>
                  <m:sub>
                    <m:r>
                      <m:t>i</m:t>
                    </m:r>
                    <m:r>
                      <m:rPr>
                        <m:sty m:val="p"/>
                      </m:rPr>
                      <m:t>−</m:t>
                    </m:r>
                    <m:r>
                      <m:t>1</m:t>
                    </m:r>
                  </m:sub>
                </m:sSub>
                <m:r>
                  <m:rPr>
                    <m:sty m:val="p"/>
                  </m:rPr>
                  <m:t>−</m:t>
                </m:r>
                <m:sSub>
                  <m:e>
                    <m:r>
                      <m:t>s</m:t>
                    </m:r>
                  </m:e>
                  <m:sub>
                    <m:r>
                      <m:t>i</m:t>
                    </m:r>
                  </m:sub>
                </m:sSub>
              </m:e>
            </m:d>
          </m:e>
        </m:nary>
        <m:r>
          <m:rPr>
            <m:sty m:val="p"/>
          </m:rPr>
          <m:t>&gt;</m:t>
        </m:r>
        <m:r>
          <m:t>H</m:t>
        </m:r>
        <m:r>
          <m:rPr>
            <m:sty m:val="p"/>
          </m:rPr>
          <m:t>−</m:t>
        </m:r>
        <m:d>
          <m:dPr>
            <m:begChr m:val="("/>
            <m:endChr m:val=")"/>
            <m:sepChr m:val=""/>
            <m:grow/>
          </m:dPr>
          <m:e>
            <m:r>
              <m:t>τ</m:t>
            </m:r>
            <m:r>
              <m:rPr>
                <m:sty m:val="p"/>
              </m:rPr>
              <m:t>−</m:t>
            </m:r>
            <m:sSub>
              <m:e>
                <m:r>
                  <m:t>i</m:t>
                </m:r>
              </m:e>
              <m:sub>
                <m:r>
                  <m:t>0</m:t>
                </m:r>
              </m:sub>
            </m:sSub>
          </m:e>
        </m:d>
        <m:sSup>
          <m:e>
            <m:r>
              <m:t>δ</m:t>
            </m:r>
          </m:e>
          <m:sup>
            <m:r>
              <m:rPr>
                <m:sty m:val="p"/>
              </m:rPr>
              <m:t>+</m:t>
            </m:r>
          </m:sup>
        </m:sSup>
        <m:r>
          <m:rPr>
            <m:sty m:val="p"/>
          </m:rPr>
          <m:t>≥</m:t>
        </m:r>
        <m:r>
          <m:t>H</m:t>
        </m:r>
        <m:r>
          <m:rPr>
            <m:sty m:val="p"/>
          </m:rPr>
          <m:t>−</m:t>
        </m:r>
        <m:r>
          <m:t>k</m:t>
        </m:r>
        <m:sSup>
          <m:e>
            <m:r>
              <m:t>δ</m:t>
            </m:r>
          </m:e>
          <m:sup>
            <m:r>
              <m:rPr>
                <m:sty m:val="p"/>
              </m:rPr>
              <m:t>+</m:t>
            </m:r>
          </m:sup>
        </m:sSup>
      </m:oMath>
      <w:r>
        <w:t xml:space="preserve">. The final claim follows from (ii).</w:t>
      </w:r>
      <w:r>
        <w:t xml:space="preserve"> </w:t>
      </w:r>
      <m:oMath>
        <m:r>
          <m:rPr>
            <m:sty m:val="p"/>
          </m:rPr>
          <m:t>▫</m:t>
        </m:r>
      </m:oMath>
    </w:p>
    <w:p>
      <w:pPr>
        <w:pStyle w:val="BodyText"/>
      </w:pPr>
      <w:r>
        <w:t xml:space="preserve">Theorem 1 makes the observation of the original study precise. For a threshold-crossing alarm the reported estimate is pinned to a band of width</w:t>
      </w:r>
      <w:r>
        <w:t xml:space="preserve"> </w:t>
      </w:r>
      <m:oMath>
        <m:r>
          <m:t>k</m:t>
        </m:r>
        <m:sSup>
          <m:e>
            <m:r>
              <m:t>δ</m:t>
            </m:r>
          </m:e>
          <m:sup>
            <m:r>
              <m:rPr>
                <m:sty m:val="p"/>
              </m:rPr>
              <m:t>+</m:t>
            </m:r>
          </m:sup>
        </m:sSup>
      </m:oMath>
      <w:r>
        <w:t xml:space="preserve"> </w:t>
      </w:r>
      <w:r>
        <w:t xml:space="preserve">below the level, so the window condition is, up to edge effects of size</w:t>
      </w:r>
      <w:r>
        <w:t xml:space="preserve"> </w:t>
      </w:r>
      <m:oMath>
        <m:d>
          <m:dPr>
            <m:begChr m:val="("/>
            <m:endChr m:val=")"/>
            <m:sepChr m:val=""/>
            <m:grow/>
          </m:dPr>
          <m:e>
            <m:sSub>
              <m:e>
                <m:r>
                  <m:t>π</m:t>
                </m:r>
              </m:e>
              <m:sub>
                <m:r>
                  <m:t>a</m:t>
                </m:r>
              </m:sub>
            </m:sSub>
            <m:r>
              <m:rPr>
                <m:sty m:val="p"/>
              </m:rPr>
              <m:t>+</m:t>
            </m:r>
            <m:sSub>
              <m:e>
                <m:r>
                  <m:t>π</m:t>
                </m:r>
              </m:e>
              <m:sub>
                <m:r>
                  <m:t>b</m:t>
                </m:r>
              </m:sub>
            </m:sSub>
          </m:e>
        </m:d>
        <m:r>
          <m:t>E</m:t>
        </m:r>
        <m:r>
          <m:rPr>
            <m:sty m:val="p"/>
          </m:rPr>
          <m:t>⌈</m:t>
        </m:r>
        <m:d>
          <m:dPr>
            <m:begChr m:val="|"/>
            <m:endChr m:val="|"/>
            <m:sepChr m:val=""/>
            <m:grow/>
          </m:dPr>
          <m:e>
            <m:r>
              <m:t>D</m:t>
            </m:r>
          </m:e>
        </m:d>
        <m:r>
          <m:rPr>
            <m:sty m:val="p"/>
          </m:rPr>
          <m:t>⌉</m:t>
        </m:r>
      </m:oMath>
      <w:r>
        <w:t xml:space="preserve">, a condition on the notice:</w:t>
      </w:r>
      <w:r>
        <w:t xml:space="preserve"> </w:t>
      </w:r>
      <m:oMath>
        <m:r>
          <m:t>R</m:t>
        </m:r>
        <m:r>
          <m:rPr>
            <m:sty m:val="p"/>
          </m:rPr>
          <m:t>∈</m:t>
        </m:r>
        <m:d>
          <m:dPr>
            <m:begChr m:val="["/>
            <m:endChr m:val="]"/>
            <m:sepChr m:val=""/>
            <m:grow/>
          </m:dPr>
          <m:e>
            <m:r>
              <m:t>c</m:t>
            </m:r>
            <m:r>
              <m:rPr>
                <m:sty m:val="p"/>
              </m:rPr>
              <m:t>−</m:t>
            </m:r>
            <m:r>
              <m:t>b</m:t>
            </m:r>
            <m:r>
              <m:rPr>
                <m:sty m:val="p"/>
              </m:rPr>
              <m:t>,</m:t>
            </m:r>
            <m:r>
              <m:t>c</m:t>
            </m:r>
            <m:r>
              <m:rPr>
                <m:sty m:val="p"/>
              </m:rPr>
              <m:t>−</m:t>
            </m:r>
            <m:r>
              <m:t>a</m:t>
            </m:r>
          </m:e>
        </m:d>
      </m:oMath>
      <w:r>
        <w:t xml:space="preserve">. A window score of such an alarm is therefore a</w:t>
      </w:r>
      <w:r>
        <w:t xml:space="preserve"> </w:t>
      </w:r>
      <w:r>
        <w:rPr>
          <w:iCs/>
          <w:i/>
        </w:rPr>
        <w:t xml:space="preserve">notice-band probability</w:t>
      </w:r>
      <w:r>
        <w:t xml:space="preserve">. It can be high while the notice is too short for the lead time (the band admits</w:t>
      </w:r>
      <w:r>
        <w:t xml:space="preserve"> </w:t>
      </w:r>
      <m:oMath>
        <m:r>
          <m:t>R</m:t>
        </m:r>
      </m:oMath>
      <w:r>
        <w:t xml:space="preserve"> </w:t>
      </w:r>
      <w:r>
        <w:t xml:space="preserve">as low as</w:t>
      </w:r>
      <w:r>
        <w:t xml:space="preserve"> </w:t>
      </w:r>
      <m:oMath>
        <m:r>
          <m:t>c</m:t>
        </m:r>
        <m:r>
          <m:rPr>
            <m:sty m:val="p"/>
          </m:rPr>
          <m:t>−</m:t>
        </m:r>
        <m:r>
          <m:t>b</m:t>
        </m:r>
      </m:oMath>
      <w:r>
        <w:t xml:space="preserve">), and it says nothing about the probability of failure before a replacement that needs</w:t>
      </w:r>
      <w:r>
        <w:t xml:space="preserve"> </w:t>
      </w:r>
      <m:oMath>
        <m:r>
          <m:rPr>
            <m:sty m:val="p"/>
          </m:rPr>
          <m:t>ℓ</m:t>
        </m:r>
      </m:oMath>
      <w:r>
        <w:t xml:space="preserve"> </w:t>
      </w:r>
      <w:r>
        <w:t xml:space="preserve">cycles. Theorem 1 does not say that the score is uninformative; it says what it is informative about. The bound is computable from calibration data (Section 6.4) and is checked against held-out units in Section 7.2, together with an equivalence test.</w:t>
      </w:r>
    </w:p>
    <w:bookmarkEnd w:id="23"/>
    <w:bookmarkStart w:id="24" w:name="a-finite-sample-guarantee-on-notice"/>
    <w:p>
      <w:pPr>
        <w:pStyle w:val="Heading2"/>
      </w:pPr>
      <w:r>
        <w:t xml:space="preserve">4.2 A finite-sample guarantee on notice</w:t>
      </w:r>
    </w:p>
    <w:p>
      <w:pPr>
        <w:pStyle w:val="FirstParagraph"/>
      </w:pPr>
      <w:r>
        <w:t xml:space="preserve">The quantity an operator needs is</w:t>
      </w:r>
      <w:r>
        <w:t xml:space="preserve"> </w:t>
      </w:r>
      <m:oMath>
        <m:r>
          <m:t>P</m:t>
        </m:r>
        <m:d>
          <m:dPr>
            <m:begChr m:val="("/>
            <m:endChr m:val=")"/>
            <m:sepChr m:val=""/>
            <m:grow/>
          </m:dPr>
          <m:e>
            <m:r>
              <m:t>N</m:t>
            </m:r>
            <m:d>
              <m:dPr>
                <m:begChr m:val="("/>
                <m:endChr m:val=")"/>
                <m:sepChr m:val=""/>
                <m:grow/>
              </m:dPr>
              <m:e>
                <m:r>
                  <m:t>H</m:t>
                </m:r>
              </m:e>
            </m:d>
            <m:r>
              <m:rPr>
                <m:sty m:val="p"/>
              </m:rPr>
              <m:t>&gt;</m:t>
            </m:r>
            <m:r>
              <m:rPr>
                <m:sty m:val="p"/>
              </m:rPr>
              <m:t>ℓ</m:t>
            </m:r>
          </m:e>
        </m:d>
      </m:oMath>
      <w:r>
        <w:t xml:space="preserve">. Two elementary facts about the trigger make it calibratable.</w:t>
      </w:r>
    </w:p>
    <w:p>
      <w:pPr>
        <w:pStyle w:val="BodyText"/>
      </w:pPr>
      <w:r>
        <w:rPr>
          <w:bCs/>
          <w:b/>
        </w:rPr>
        <w:t xml:space="preserve">Lemma 1 (monotonicity).</w:t>
      </w:r>
      <w:r>
        <w:t xml:space="preserve"> </w:t>
      </w:r>
      <w:r>
        <w:t xml:space="preserve">For</w:t>
      </w:r>
      <w:r>
        <w:t xml:space="preserve"> </w:t>
      </w:r>
      <m:oMath>
        <m:r>
          <m:t>H</m:t>
        </m:r>
        <m:r>
          <m:rPr>
            <m:sty m:val="p"/>
          </m:rPr>
          <m:t>≤</m:t>
        </m:r>
        <m:r>
          <m:t>H</m:t>
        </m:r>
        <m:r>
          <m:rPr>
            <m:sty m:val="p"/>
          </m:rPr>
          <m:t>′</m:t>
        </m:r>
      </m:oMath>
      <w:r>
        <w:t xml:space="preserve">,</w:t>
      </w:r>
      <w:r>
        <w:t xml:space="preserve"> </w:t>
      </w:r>
      <m:oMath>
        <m:r>
          <m:t>τ</m:t>
        </m:r>
        <m:d>
          <m:dPr>
            <m:begChr m:val="("/>
            <m:endChr m:val=")"/>
            <m:sepChr m:val=""/>
            <m:grow/>
          </m:dPr>
          <m:e>
            <m:r>
              <m:t>H</m:t>
            </m:r>
            <m:r>
              <m:rPr>
                <m:sty m:val="p"/>
              </m:rPr>
              <m:t>′</m:t>
            </m:r>
          </m:e>
        </m:d>
        <m:r>
          <m:rPr>
            <m:sty m:val="p"/>
          </m:rPr>
          <m:t>≤</m:t>
        </m:r>
        <m:r>
          <m:t>τ</m:t>
        </m:r>
        <m:d>
          <m:dPr>
            <m:begChr m:val="("/>
            <m:endChr m:val=")"/>
            <m:sepChr m:val=""/>
            <m:grow/>
          </m:dPr>
          <m:e>
            <m:r>
              <m:t>H</m:t>
            </m:r>
          </m:e>
        </m:d>
      </m:oMath>
      <w:r>
        <w:t xml:space="preserve"> </w:t>
      </w:r>
      <w:r>
        <w:t xml:space="preserve">and</w:t>
      </w:r>
      <w:r>
        <w:t xml:space="preserve"> </w:t>
      </w:r>
      <m:oMath>
        <m:r>
          <m:t>N</m:t>
        </m:r>
        <m:d>
          <m:dPr>
            <m:begChr m:val="("/>
            <m:endChr m:val=")"/>
            <m:sepChr m:val=""/>
            <m:grow/>
          </m:dPr>
          <m:e>
            <m:r>
              <m:t>H</m:t>
            </m:r>
            <m:r>
              <m:rPr>
                <m:sty m:val="p"/>
              </m:rPr>
              <m:t>′</m:t>
            </m:r>
          </m:e>
        </m:d>
        <m:r>
          <m:rPr>
            <m:sty m:val="p"/>
          </m:rPr>
          <m:t>≥</m:t>
        </m:r>
        <m:r>
          <m:t>N</m:t>
        </m:r>
        <m:d>
          <m:dPr>
            <m:begChr m:val="("/>
            <m:endChr m:val=")"/>
            <m:sepChr m:val=""/>
            <m:grow/>
          </m:dPr>
          <m:e>
            <m:r>
              <m:t>H</m:t>
            </m:r>
          </m:e>
        </m:d>
      </m:oMath>
      <w:r>
        <w:t xml:space="preserve">.</w:t>
      </w:r>
    </w:p>
    <w:p>
      <w:pPr>
        <w:pStyle w:val="BodyText"/>
      </w:pPr>
      <w:r>
        <w:rPr>
          <w:iCs/>
          <w:i/>
        </w:rPr>
        <w:t xml:space="preserve">Proof.</w:t>
      </w:r>
      <w:r>
        <w:t xml:space="preserve"> </w:t>
      </w:r>
      <m:oMath>
        <m:r>
          <m:t>ρ</m:t>
        </m:r>
      </m:oMath>
      <w:r>
        <w:t xml:space="preserve"> </w:t>
      </w:r>
      <w:r>
        <w:t xml:space="preserve">is non-increasing, so</w:t>
      </w:r>
      <w:r>
        <w:t xml:space="preserve"> </w:t>
      </w:r>
      <m:oMath>
        <m:r>
          <m:rPr>
            <m:sty m:val="p"/>
          </m:rPr>
          <m:t>{</m:t>
        </m:r>
        <m:r>
          <m:t>j</m:t>
        </m:r>
        <m:r>
          <m:rPr>
            <m:sty m:val="p"/>
          </m:rPr>
          <m:t>:</m:t>
        </m:r>
        <m:sSub>
          <m:e>
            <m:r>
              <m:t>ρ</m:t>
            </m:r>
          </m:e>
          <m:sub>
            <m:r>
              <m:t>j</m:t>
            </m:r>
          </m:sub>
        </m:sSub>
        <m:r>
          <m:rPr>
            <m:sty m:val="p"/>
          </m:rPr>
          <m:t>≤</m:t>
        </m:r>
        <m:r>
          <m:t>H</m:t>
        </m:r>
        <m:r>
          <m:rPr>
            <m:sty m:val="p"/>
          </m:rPr>
          <m:t>}</m:t>
        </m:r>
        <m:r>
          <m:rPr>
            <m:sty m:val="p"/>
          </m:rPr>
          <m:t>⊆</m:t>
        </m:r>
        <m:r>
          <m:rPr>
            <m:sty m:val="p"/>
          </m:rPr>
          <m:t>{</m:t>
        </m:r>
        <m:r>
          <m:t>j</m:t>
        </m:r>
        <m:r>
          <m:rPr>
            <m:sty m:val="p"/>
          </m:rPr>
          <m:t>:</m:t>
        </m:r>
        <m:sSub>
          <m:e>
            <m:r>
              <m:t>ρ</m:t>
            </m:r>
          </m:e>
          <m:sub>
            <m:r>
              <m:t>j</m:t>
            </m:r>
          </m:sub>
        </m:sSub>
        <m:r>
          <m:rPr>
            <m:sty m:val="p"/>
          </m:rPr>
          <m:t>≤</m:t>
        </m:r>
        <m:r>
          <m:t>H</m:t>
        </m:r>
        <m:r>
          <m:rPr>
            <m:sty m:val="p"/>
          </m:rPr>
          <m:t>′</m:t>
        </m:r>
        <m:r>
          <m:rPr>
            <m:sty m:val="p"/>
          </m:rPr>
          <m:t>}</m:t>
        </m:r>
      </m:oMath>
      <w:r>
        <w:t xml:space="preserve">; the first element of the larger set is not later, and</w:t>
      </w:r>
      <w:r>
        <w:t xml:space="preserve"> </w:t>
      </w:r>
      <m:oMath>
        <m:r>
          <m:t>r</m:t>
        </m:r>
      </m:oMath>
      <w:r>
        <w:t xml:space="preserve"> </w:t>
      </w:r>
      <w:r>
        <w:t xml:space="preserve">is decreasing in</w:t>
      </w:r>
      <w:r>
        <w:t xml:space="preserve"> </w:t>
      </w:r>
      <m:oMath>
        <m:r>
          <m:t>j</m:t>
        </m:r>
      </m:oMath>
      <w:r>
        <w:t xml:space="preserve">.</w:t>
      </w:r>
      <w:r>
        <w:t xml:space="preserve"> </w:t>
      </w:r>
      <m:oMath>
        <m:r>
          <m:rPr>
            <m:sty m:val="p"/>
          </m:rPr>
          <m:t>▫</m:t>
        </m:r>
      </m:oMath>
    </w:p>
    <w:p>
      <w:pPr>
        <w:pStyle w:val="BodyText"/>
      </w:pPr>
      <w:r>
        <w:rPr>
          <w:bCs/>
          <w:b/>
        </w:rPr>
        <w:t xml:space="preserve">Lemma 2 (critical level).</w:t>
      </w:r>
      <w:r>
        <w:t xml:space="preserve"> </w:t>
      </w:r>
      <w:r>
        <w:t xml:space="preserve">Let</w:t>
      </w:r>
      <w:r>
        <w:t xml:space="preserve"> </w:t>
      </w:r>
      <m:oMath>
        <m:sSub>
          <m:e>
            <m:r>
              <m:t>j</m:t>
            </m:r>
          </m:e>
          <m:sub>
            <m:r>
              <m:rPr>
                <m:sty m:val="p"/>
              </m:rPr>
              <m:t>ℓ</m:t>
            </m:r>
          </m:sub>
        </m:sSub>
        <m:r>
          <m:rPr>
            <m:sty m:val="p"/>
          </m:rPr>
          <m:t>=</m:t>
        </m:r>
        <m:r>
          <m:rPr>
            <m:sty m:val="p"/>
          </m:rPr>
          <m:t>max</m:t>
        </m:r>
        <m:r>
          <m:rPr>
            <m:sty m:val="p"/>
          </m:rPr>
          <m:t>{</m:t>
        </m:r>
        <m:r>
          <m:t>j</m:t>
        </m:r>
        <m:r>
          <m:rPr>
            <m:sty m:val="p"/>
          </m:rPr>
          <m:t>:</m:t>
        </m:r>
        <m:sSub>
          <m:e>
            <m:r>
              <m:t>r</m:t>
            </m:r>
          </m:e>
          <m:sub>
            <m:r>
              <m:t>j</m:t>
            </m:r>
          </m:sub>
        </m:sSub>
        <m:r>
          <m:rPr>
            <m:sty m:val="p"/>
          </m:rPr>
          <m:t>&gt;</m:t>
        </m:r>
        <m:r>
          <m:rPr>
            <m:sty m:val="p"/>
          </m:rPr>
          <m:t>ℓ</m:t>
        </m:r>
        <m:r>
          <m:rPr>
            <m:sty m:val="p"/>
          </m:rPr>
          <m:t>}</m:t>
        </m:r>
      </m:oMath>
      <w:r>
        <w:t xml:space="preserve"> </w:t>
      </w:r>
      <w:r>
        <w:t xml:space="preserve">and define the</w:t>
      </w:r>
      <w:r>
        <w:t xml:space="preserve"> </w:t>
      </w:r>
      <w:r>
        <w:rPr>
          <w:iCs/>
          <w:i/>
        </w:rPr>
        <w:t xml:space="preserve">critical level</w:t>
      </w:r>
      <w:r>
        <w:t xml:space="preserve"> </w:t>
      </w:r>
      <m:oMath>
        <m:r>
          <m:t>V</m:t>
        </m:r>
        <m:d>
          <m:dPr>
            <m:begChr m:val="("/>
            <m:endChr m:val=")"/>
            <m:sepChr m:val=""/>
            <m:grow/>
          </m:dPr>
          <m:e>
            <m:r>
              <m:rPr>
                <m:sty m:val="p"/>
              </m:rPr>
              <m:t>ℓ</m:t>
            </m:r>
          </m:e>
        </m:d>
        <m:r>
          <m:rPr>
            <m:sty m:val="p"/>
          </m:rPr>
          <m:t>=</m:t>
        </m:r>
        <m:sSub>
          <m:e>
            <m:r>
              <m:t>ρ</m:t>
            </m:r>
          </m:e>
          <m:sub>
            <m:sSub>
              <m:e>
                <m:r>
                  <m:t>j</m:t>
                </m:r>
              </m:e>
              <m:sub>
                <m:r>
                  <m:rPr>
                    <m:sty m:val="p"/>
                  </m:rPr>
                  <m:t>ℓ</m:t>
                </m:r>
              </m:sub>
            </m:sSub>
          </m:sub>
        </m:sSub>
      </m:oMath>
      <w:r>
        <w:t xml:space="preserve"> </w:t>
      </w:r>
      <w:r>
        <w:t xml:space="preserve">(</w:t>
      </w:r>
      <m:oMath>
        <m:r>
          <m:t>V</m:t>
        </m:r>
        <m:r>
          <m:rPr>
            <m:sty m:val="p"/>
          </m:rPr>
          <m:t>=</m:t>
        </m:r>
        <m:r>
          <m:rPr>
            <m:sty m:val="p"/>
          </m:rPr>
          <m:t>+</m:t>
        </m:r>
        <m:r>
          <m:rPr>
            <m:sty m:val="p"/>
          </m:rPr>
          <m:t>∞</m:t>
        </m:r>
      </m:oMath>
      <w:r>
        <w:t xml:space="preserve"> </w:t>
      </w:r>
      <w:r>
        <w:t xml:space="preserve">if no row has</w:t>
      </w:r>
      <w:r>
        <w:t xml:space="preserve"> </w:t>
      </w:r>
      <m:oMath>
        <m:sSub>
          <m:e>
            <m:r>
              <m:t>r</m:t>
            </m:r>
          </m:e>
          <m:sub>
            <m:r>
              <m:t>j</m:t>
            </m:r>
          </m:sub>
        </m:sSub>
        <m:r>
          <m:rPr>
            <m:sty m:val="p"/>
          </m:rPr>
          <m:t>&gt;</m:t>
        </m:r>
        <m:r>
          <m:rPr>
            <m:sty m:val="p"/>
          </m:rPr>
          <m:t>ℓ</m:t>
        </m:r>
      </m:oMath>
      <w:r>
        <w:t xml:space="preserve">). Then for every finite</w:t>
      </w:r>
      <w:r>
        <w:t xml:space="preserve"> </w:t>
      </w:r>
      <m:oMath>
        <m:r>
          <m:t>H</m:t>
        </m:r>
      </m:oMath>
      <w:r>
        <w:t xml:space="preserve">,</w:t>
      </w:r>
      <w:r>
        <w:t xml:space="preserve"> </w:t>
      </w:r>
      <m:oMath>
        <m:r>
          <m:t>N</m:t>
        </m:r>
        <m:d>
          <m:dPr>
            <m:begChr m:val="("/>
            <m:endChr m:val=")"/>
            <m:sepChr m:val=""/>
            <m:grow/>
          </m:dPr>
          <m:e>
            <m:r>
              <m:t>H</m:t>
            </m:r>
          </m:e>
        </m:d>
        <m:r>
          <m:rPr>
            <m:sty m:val="p"/>
          </m:rPr>
          <m:t>&gt;</m:t>
        </m:r>
        <m:r>
          <m:rPr>
            <m:sty m:val="p"/>
          </m:rPr>
          <m:t>ℓ</m:t>
        </m:r>
        <m:r>
          <m:rPr>
            <m:sty m:val="p"/>
          </m:rPr>
          <m:t>⇔</m:t>
        </m:r>
        <m:r>
          <m:t>H</m:t>
        </m:r>
        <m:r>
          <m:rPr>
            <m:sty m:val="p"/>
          </m:rPr>
          <m:t>≥</m:t>
        </m:r>
        <m:r>
          <m:t>V</m:t>
        </m:r>
        <m:d>
          <m:dPr>
            <m:begChr m:val="("/>
            <m:endChr m:val=")"/>
            <m:sepChr m:val=""/>
            <m:grow/>
          </m:dPr>
          <m:e>
            <m:r>
              <m:rPr>
                <m:sty m:val="p"/>
              </m:rPr>
              <m:t>ℓ</m:t>
            </m:r>
          </m:e>
        </m:d>
      </m:oMath>
      <w:r>
        <w:t xml:space="preserve">.</w:t>
      </w:r>
    </w:p>
    <w:p>
      <w:pPr>
        <w:pStyle w:val="BodyText"/>
      </w:pPr>
      <w:r>
        <w:rPr>
          <w:iCs/>
          <w:i/>
        </w:rPr>
        <w:t xml:space="preserve">Proof.</w:t>
      </w:r>
      <w:r>
        <w:t xml:space="preserve"> </w:t>
      </w:r>
      <w:r>
        <w:t xml:space="preserve">Since</w:t>
      </w:r>
      <w:r>
        <w:t xml:space="preserve"> </w:t>
      </w:r>
      <m:oMath>
        <m:r>
          <m:t>r</m:t>
        </m:r>
      </m:oMath>
      <w:r>
        <w:t xml:space="preserve"> </w:t>
      </w:r>
      <w:r>
        <w:t xml:space="preserve">is decreasing,</w:t>
      </w:r>
      <w:r>
        <w:t xml:space="preserve"> </w:t>
      </w:r>
      <m:oMath>
        <m:r>
          <m:t>N</m:t>
        </m:r>
        <m:d>
          <m:dPr>
            <m:begChr m:val="("/>
            <m:endChr m:val=")"/>
            <m:sepChr m:val=""/>
            <m:grow/>
          </m:dPr>
          <m:e>
            <m:r>
              <m:t>H</m:t>
            </m:r>
          </m:e>
        </m:d>
        <m:r>
          <m:rPr>
            <m:sty m:val="p"/>
          </m:rPr>
          <m:t>&gt;</m:t>
        </m:r>
        <m:r>
          <m:rPr>
            <m:sty m:val="p"/>
          </m:rPr>
          <m:t>ℓ</m:t>
        </m:r>
      </m:oMath>
      <w:r>
        <w:t xml:space="preserve"> </w:t>
      </w:r>
      <w:r>
        <w:t xml:space="preserve">iff the alarm is raised at a row</w:t>
      </w:r>
      <w:r>
        <w:t xml:space="preserve"> </w:t>
      </w:r>
      <m:oMath>
        <m:r>
          <m:t>τ</m:t>
        </m:r>
        <m:d>
          <m:dPr>
            <m:begChr m:val="("/>
            <m:endChr m:val=")"/>
            <m:sepChr m:val=""/>
            <m:grow/>
          </m:dPr>
          <m:e>
            <m:r>
              <m:t>H</m:t>
            </m:r>
          </m:e>
        </m:d>
        <m:r>
          <m:rPr>
            <m:sty m:val="p"/>
          </m:rPr>
          <m:t>≤</m:t>
        </m:r>
        <m:sSub>
          <m:e>
            <m:r>
              <m:t>j</m:t>
            </m:r>
          </m:e>
          <m:sub>
            <m:r>
              <m:rPr>
                <m:sty m:val="p"/>
              </m:rPr>
              <m:t>ℓ</m:t>
            </m:r>
          </m:sub>
        </m:sSub>
      </m:oMath>
      <w:r>
        <w:t xml:space="preserve">, iff</w:t>
      </w:r>
      <w:r>
        <w:t xml:space="preserve"> </w:t>
      </w:r>
      <m:oMath>
        <m:sSub>
          <m:e>
            <m:r>
              <m:t>ρ</m:t>
            </m:r>
          </m:e>
          <m:sub>
            <m:r>
              <m:t>j</m:t>
            </m:r>
          </m:sub>
        </m:sSub>
        <m:r>
          <m:rPr>
            <m:sty m:val="p"/>
          </m:rPr>
          <m:t>≤</m:t>
        </m:r>
        <m:r>
          <m:t>H</m:t>
        </m:r>
      </m:oMath>
      <w:r>
        <w:t xml:space="preserve"> </w:t>
      </w:r>
      <w:r>
        <w:t xml:space="preserve">for some</w:t>
      </w:r>
      <w:r>
        <w:t xml:space="preserve"> </w:t>
      </w:r>
      <m:oMath>
        <m:r>
          <m:t>j</m:t>
        </m:r>
        <m:r>
          <m:rPr>
            <m:sty m:val="p"/>
          </m:rPr>
          <m:t>≤</m:t>
        </m:r>
        <m:sSub>
          <m:e>
            <m:r>
              <m:t>j</m:t>
            </m:r>
          </m:e>
          <m:sub>
            <m:r>
              <m:rPr>
                <m:sty m:val="p"/>
              </m:rPr>
              <m:t>ℓ</m:t>
            </m:r>
          </m:sub>
        </m:sSub>
      </m:oMath>
      <w:r>
        <w:t xml:space="preserve">, iff</w:t>
      </w:r>
      <w:r>
        <w:t xml:space="preserve"> </w:t>
      </w:r>
      <m:oMath>
        <m:sSub>
          <m:e>
            <m:r>
              <m:t>ρ</m:t>
            </m:r>
          </m:e>
          <m:sub>
            <m:sSub>
              <m:e>
                <m:r>
                  <m:t>j</m:t>
                </m:r>
              </m:e>
              <m:sub>
                <m:r>
                  <m:rPr>
                    <m:sty m:val="p"/>
                  </m:rPr>
                  <m:t>ℓ</m:t>
                </m:r>
              </m:sub>
            </m:sSub>
          </m:sub>
        </m:sSub>
        <m:r>
          <m:rPr>
            <m:sty m:val="p"/>
          </m:rPr>
          <m:t>≤</m:t>
        </m:r>
        <m:r>
          <m:t>H</m:t>
        </m:r>
      </m:oMath>
      <w:r>
        <w:t xml:space="preserve"> </w:t>
      </w:r>
      <w:r>
        <w:t xml:space="preserve">because</w:t>
      </w:r>
      <w:r>
        <w:t xml:space="preserve"> </w:t>
      </w:r>
      <m:oMath>
        <m:r>
          <m:t>ρ</m:t>
        </m:r>
      </m:oMath>
      <w:r>
        <w:t xml:space="preserve"> </w:t>
      </w:r>
      <w:r>
        <w:t xml:space="preserve">is non-increasing.</w:t>
      </w:r>
      <w:r>
        <w:t xml:space="preserve"> </w:t>
      </w:r>
      <m:oMath>
        <m:r>
          <m:rPr>
            <m:sty m:val="p"/>
          </m:rPr>
          <m:t>▫</m:t>
        </m:r>
      </m:oMath>
    </w:p>
    <w:p>
      <w:pPr>
        <w:pStyle w:val="BodyText"/>
      </w:pPr>
      <m:oMath>
        <m:r>
          <m:t>V</m:t>
        </m:r>
      </m:oMath>
      <w:r>
        <w:t xml:space="preserve"> </w:t>
      </w:r>
      <w:r>
        <w:t xml:space="preserve">is the lowest warning level at which this unit’s alarm would still have left more than</w:t>
      </w:r>
      <w:r>
        <w:t xml:space="preserve"> </w:t>
      </w:r>
      <m:oMath>
        <m:r>
          <m:rPr>
            <m:sty m:val="p"/>
          </m:rPr>
          <m:t>ℓ</m:t>
        </m:r>
      </m:oMath>
      <w:r>
        <w:t xml:space="preserve"> </w:t>
      </w:r>
      <w:r>
        <w:t xml:space="preserve">cycles. It is a single number per unit, computed from its signal and its life in one pass, and it is all that calibration needs.</w:t>
      </w:r>
    </w:p>
    <w:p>
      <w:pPr>
        <w:pStyle w:val="BodyText"/>
      </w:pPr>
      <w:r>
        <w:rPr>
          <w:bCs/>
          <w:b/>
        </w:rPr>
        <w:t xml:space="preserve">Theorem 2 (notice guarantee).</w:t>
      </w:r>
      <w:r>
        <w:t xml:space="preserve"> </w:t>
      </w:r>
      <w:r>
        <w:t xml:space="preserve">Fix the signal map (for example, a regressor fitted on units disjoint from those below), the smoothing, the debounce</w:t>
      </w:r>
      <w:r>
        <w:t xml:space="preserve"> </w:t>
      </w:r>
      <m:oMath>
        <m:r>
          <m:t>k</m:t>
        </m:r>
      </m:oMath>
      <w:r>
        <w:t xml:space="preserve"> </w:t>
      </w:r>
      <w:r>
        <w:t xml:space="preserve">and the lead time</w:t>
      </w:r>
      <w:r>
        <w:t xml:space="preserve"> </w:t>
      </w:r>
      <m:oMath>
        <m:r>
          <m:rPr>
            <m:sty m:val="p"/>
          </m:rPr>
          <m:t>ℓ</m:t>
        </m:r>
      </m:oMath>
      <w:r>
        <w:t xml:space="preserve">, and assume that every unit has at least</w:t>
      </w:r>
      <w:r>
        <w:t xml:space="preserve"> </w:t>
      </w:r>
      <m:oMath>
        <m:r>
          <m:t>k</m:t>
        </m:r>
      </m:oMath>
      <w:r>
        <w:t xml:space="preserve"> </w:t>
      </w:r>
      <w:r>
        <w:t xml:space="preserve">rows with</w:t>
      </w:r>
      <w:r>
        <w:t xml:space="preserve"> </w:t>
      </w:r>
      <m:oMath>
        <m:sSub>
          <m:e>
            <m:r>
              <m:t>r</m:t>
            </m:r>
          </m:e>
          <m:sub>
            <m:r>
              <m:t>j</m:t>
            </m:r>
          </m:sub>
        </m:sSub>
        <m:r>
          <m:rPr>
            <m:sty m:val="p"/>
          </m:rPr>
          <m:t>&gt;</m:t>
        </m:r>
        <m:r>
          <m:rPr>
            <m:sty m:val="p"/>
          </m:rPr>
          <m:t>ℓ</m:t>
        </m:r>
      </m:oMath>
      <w:r>
        <w:t xml:space="preserve">, so that</w:t>
      </w:r>
      <w:r>
        <w:t xml:space="preserve"> </w:t>
      </w:r>
      <m:oMath>
        <m:r>
          <m:t>V</m:t>
        </m:r>
        <m:r>
          <m:rPr>
            <m:sty m:val="p"/>
          </m:rPr>
          <m:t>&lt;</m:t>
        </m:r>
        <m:r>
          <m:rPr>
            <m:sty m:val="p"/>
          </m:rPr>
          <m:t>∞</m:t>
        </m:r>
      </m:oMath>
      <w:r>
        <w:t xml:space="preserve">. Let units</w:t>
      </w:r>
      <w:r>
        <w:t xml:space="preserve"> </w:t>
      </w:r>
      <m:oMath>
        <m:r>
          <m:t>1</m:t>
        </m:r>
        <m:r>
          <m:rPr>
            <m:sty m:val="p"/>
          </m:rPr>
          <m:t>,</m:t>
        </m:r>
        <m:r>
          <m:rPr>
            <m:sty m:val="p"/>
          </m:rPr>
          <m:t>…</m:t>
        </m:r>
        <m:r>
          <m:rPr>
            <m:sty m:val="p"/>
          </m:rPr>
          <m:t>,</m:t>
        </m:r>
        <m:r>
          <m:t>n</m:t>
        </m:r>
      </m:oMath>
      <w:r>
        <w:t xml:space="preserve"> </w:t>
      </w:r>
      <w:r>
        <w:t xml:space="preserve">(calibration) and</w:t>
      </w:r>
      <w:r>
        <w:t xml:space="preserve"> </w:t>
      </w:r>
      <m:oMath>
        <m:r>
          <m:t>n</m:t>
        </m:r>
        <m:r>
          <m:rPr>
            <m:sty m:val="p"/>
          </m:rPr>
          <m:t>+</m:t>
        </m:r>
        <m:r>
          <m:t>1</m:t>
        </m:r>
      </m:oMath>
      <w:r>
        <w:t xml:space="preserve"> </w:t>
      </w:r>
      <w:r>
        <w:t xml:space="preserve">(a new unit) be exchangeable, with critical levels</w:t>
      </w:r>
      <w:r>
        <w:t xml:space="preserve"> </w:t>
      </w:r>
      <m:oMath>
        <m:sSub>
          <m:e>
            <m:r>
              <m:t>V</m:t>
            </m:r>
          </m:e>
          <m:sub>
            <m:r>
              <m:t>1</m:t>
            </m:r>
          </m:sub>
        </m:sSub>
        <m:r>
          <m:rPr>
            <m:sty m:val="p"/>
          </m:rPr>
          <m:t>,</m:t>
        </m:r>
        <m:r>
          <m:rPr>
            <m:sty m:val="p"/>
          </m:rPr>
          <m:t>…</m:t>
        </m:r>
        <m:r>
          <m:rPr>
            <m:sty m:val="p"/>
          </m:rPr>
          <m:t>,</m:t>
        </m:r>
        <m:sSub>
          <m:e>
            <m:r>
              <m:t>V</m:t>
            </m:r>
          </m:e>
          <m:sub>
            <m:r>
              <m:t>n</m:t>
            </m:r>
            <m:r>
              <m:rPr>
                <m:sty m:val="p"/>
              </m:rPr>
              <m:t>+</m:t>
            </m:r>
            <m:r>
              <m:t>1</m:t>
            </m:r>
          </m:sub>
        </m:sSub>
      </m:oMath>
      <w:r>
        <w:t xml:space="preserve">. For</w:t>
      </w:r>
      <w:r>
        <w:t xml:space="preserve"> </w:t>
      </w:r>
      <m:oMath>
        <m:r>
          <m:t>α</m:t>
        </m:r>
        <m:r>
          <m:rPr>
            <m:sty m:val="p"/>
          </m:rPr>
          <m:t>∈</m:t>
        </m:r>
        <m:r>
          <m:rPr>
            <m:sty m:val="p"/>
          </m:rPr>
          <m:t>[</m:t>
        </m:r>
        <m:r>
          <m:t>1</m:t>
        </m:r>
        <m:r>
          <m:rPr>
            <m:sty m:val="p"/>
          </m:rPr>
          <m:t>/</m:t>
        </m:r>
        <m:d>
          <m:dPr>
            <m:begChr m:val="("/>
            <m:endChr m:val=")"/>
            <m:sepChr m:val=""/>
            <m:grow/>
          </m:dPr>
          <m:e>
            <m:r>
              <m:t>n</m:t>
            </m:r>
            <m:r>
              <m:rPr>
                <m:sty m:val="p"/>
              </m:rPr>
              <m:t>+</m:t>
            </m:r>
            <m:r>
              <m:t>1</m:t>
            </m:r>
          </m:e>
        </m:d>
        <m:r>
          <m:rPr>
            <m:sty m:val="p"/>
          </m:rPr>
          <m:t>,</m:t>
        </m:r>
        <m:r>
          <m:t>1</m:t>
        </m:r>
        <m:r>
          <m:rPr>
            <m:sty m:val="p"/>
          </m:rPr>
          <m:t>)</m:t>
        </m:r>
      </m:oMath>
      <w:r>
        <w:t xml:space="preserve"> </w:t>
      </w:r>
      <w:r>
        <w:t xml:space="preserve">let</w:t>
      </w:r>
      <w:r>
        <w:t xml:space="preserve"> </w:t>
      </w:r>
      <m:oMath>
        <m:acc>
          <m:accPr>
            <m:chr m:val="̂"/>
          </m:accPr>
          <m:e>
            <m:r>
              <m:t>H</m:t>
            </m:r>
          </m:e>
        </m:acc>
        <m:r>
          <m:rPr>
            <m:sty m:val="p"/>
          </m:rPr>
          <m:t>=</m:t>
        </m:r>
        <m:sSub>
          <m:e>
            <m:r>
              <m:t>V</m:t>
            </m:r>
          </m:e>
          <m:sub>
            <m:d>
              <m:dPr>
                <m:begChr m:val="("/>
                <m:endChr m:val=")"/>
                <m:sepChr m:val=""/>
                <m:grow/>
              </m:dPr>
              <m:e>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e>
            </m:d>
          </m:sub>
        </m:sSub>
      </m:oMath>
      <w:r>
        <w:t xml:space="preserve">, the order statistic of</w:t>
      </w:r>
      <w:r>
        <w:t xml:space="preserve"> </w:t>
      </w:r>
      <m:oMath>
        <m:sSub>
          <m:e>
            <m:r>
              <m:t>V</m:t>
            </m:r>
          </m:e>
          <m:sub>
            <m:r>
              <m:t>1</m:t>
            </m:r>
          </m:sub>
        </m:sSub>
        <m:r>
          <m:rPr>
            <m:sty m:val="p"/>
          </m:rPr>
          <m:t>,</m:t>
        </m:r>
        <m:r>
          <m:rPr>
            <m:sty m:val="p"/>
          </m:rPr>
          <m:t>…</m:t>
        </m:r>
        <m:r>
          <m:rPr>
            <m:sty m:val="p"/>
          </m:rPr>
          <m:t>,</m:t>
        </m:r>
        <m:sSub>
          <m:e>
            <m:r>
              <m:t>V</m:t>
            </m:r>
          </m:e>
          <m:sub>
            <m:r>
              <m:t>n</m:t>
            </m:r>
          </m:sub>
        </m:sSub>
      </m:oMath>
      <w:r>
        <w:t xml:space="preserve">. Then</w:t>
      </w:r>
    </w:p>
    <w:p>
      <w:pPr>
        <w:pStyle w:val="BodyText"/>
      </w:pPr>
      <m:oMathPara>
        <m:oMathParaPr>
          <m:jc m:val="center"/>
        </m:oMathParaPr>
        <m:oMath>
          <m:r>
            <m:t>P</m:t>
          </m:r>
          <m:d>
            <m:dPr>
              <m:begChr m:val="("/>
              <m:endChr m:val=")"/>
              <m:sepChr m:val=""/>
              <m:grow/>
            </m:dPr>
            <m:e>
              <m:sSub>
                <m:e>
                  <m:r>
                    <m:t>N</m:t>
                  </m:r>
                </m:e>
                <m:sub>
                  <m:r>
                    <m:t>n</m:t>
                  </m:r>
                  <m:r>
                    <m:rPr>
                      <m:sty m:val="p"/>
                    </m:rPr>
                    <m:t>+</m:t>
                  </m:r>
                  <m:r>
                    <m:t>1</m:t>
                  </m:r>
                </m:sub>
              </m:sSub>
              <m:d>
                <m:dPr>
                  <m:begChr m:val="("/>
                  <m:endChr m:val=")"/>
                  <m:sepChr m:val=""/>
                  <m:grow/>
                </m:dPr>
                <m:e>
                  <m:acc>
                    <m:accPr>
                      <m:chr m:val="̂"/>
                    </m:accPr>
                    <m:e>
                      <m:r>
                        <m:t>H</m:t>
                      </m:r>
                    </m:e>
                  </m:acc>
                </m:e>
              </m:d>
              <m:r>
                <m:rPr>
                  <m:sty m:val="p"/>
                </m:rPr>
                <m:t>&gt;</m:t>
              </m:r>
              <m:r>
                <m:rPr>
                  <m:sty m:val="p"/>
                </m:rPr>
                <m:t>ℓ</m:t>
              </m:r>
            </m:e>
          </m:d>
          <m:r>
            <m:rPr>
              <m:sty m:val="p"/>
            </m:rPr>
            <m:t>≥</m:t>
          </m:r>
          <m:r>
            <m:t>1</m:t>
          </m:r>
          <m:r>
            <m:rPr>
              <m:sty m:val="p"/>
            </m:rPr>
            <m:t>−</m:t>
          </m:r>
          <m:r>
            <m:t>α</m:t>
          </m:r>
          <m:r>
            <m:rPr>
              <m:sty m:val="p"/>
            </m:rPr>
            <m:t>,</m:t>
          </m:r>
        </m:oMath>
      </m:oMathPara>
    </w:p>
    <w:p>
      <w:pPr>
        <w:pStyle w:val="FirstParagraph"/>
      </w:pPr>
      <w:r>
        <w:t xml:space="preserve">where the probability is over the calibration units and the new unit. If the</w:t>
      </w:r>
      <w:r>
        <w:t xml:space="preserve"> </w:t>
      </w:r>
      <m:oMath>
        <m:sSub>
          <m:e>
            <m:r>
              <m:t>V</m:t>
            </m:r>
          </m:e>
          <m:sub>
            <m:r>
              <m:t>i</m:t>
            </m:r>
          </m:sub>
        </m:sSub>
      </m:oMath>
      <w:r>
        <w:t xml:space="preserve"> </w:t>
      </w:r>
      <w:r>
        <w:t xml:space="preserve">are almost surely distinct, the probability is also at most</w:t>
      </w:r>
      <w:r>
        <w:t xml:space="preserve"> </w:t>
      </w:r>
      <m:oMath>
        <m:r>
          <m:t>1</m:t>
        </m:r>
        <m:r>
          <m:rPr>
            <m:sty m:val="p"/>
          </m:rPr>
          <m:t>−</m:t>
        </m:r>
        <m:r>
          <m:t>α</m:t>
        </m:r>
        <m:r>
          <m:rPr>
            <m:sty m:val="p"/>
          </m:rPr>
          <m:t>+</m:t>
        </m:r>
        <m:r>
          <m:t>1</m:t>
        </m:r>
        <m:r>
          <m:rPr>
            <m:sty m:val="p"/>
          </m:rPr>
          <m:t>/</m:t>
        </m:r>
        <m:d>
          <m:dPr>
            <m:begChr m:val="("/>
            <m:endChr m:val=")"/>
            <m:sepChr m:val=""/>
            <m:grow/>
          </m:dPr>
          <m:e>
            <m:r>
              <m:t>n</m:t>
            </m:r>
            <m:r>
              <m:rPr>
                <m:sty m:val="p"/>
              </m:rPr>
              <m:t>+</m:t>
            </m:r>
            <m:r>
              <m:t>1</m:t>
            </m:r>
          </m:e>
        </m:d>
      </m:oMath>
      <w:r>
        <w:t xml:space="preserve">.</w:t>
      </w:r>
    </w:p>
    <w:p>
      <w:pPr>
        <w:pStyle w:val="BodyText"/>
      </w:pPr>
      <w:r>
        <w:rPr>
          <w:iCs/>
          <w:i/>
        </w:rPr>
        <w:t xml:space="preserve">Proof.</w:t>
      </w:r>
      <w:r>
        <w:t xml:space="preserve"> </w:t>
      </w:r>
      <w:r>
        <w:t xml:space="preserve">By Lemma 2 the event is</w:t>
      </w:r>
      <w:r>
        <w:t xml:space="preserve"> </w:t>
      </w:r>
      <m:oMath>
        <m:r>
          <m:rPr>
            <m:sty m:val="p"/>
          </m:rPr>
          <m:t>{</m:t>
        </m:r>
        <m:sSub>
          <m:e>
            <m:r>
              <m:t>V</m:t>
            </m:r>
          </m:e>
          <m:sub>
            <m:r>
              <m:t>n</m:t>
            </m:r>
            <m:r>
              <m:rPr>
                <m:sty m:val="p"/>
              </m:rPr>
              <m:t>+</m:t>
            </m:r>
            <m:r>
              <m:t>1</m:t>
            </m:r>
          </m:sub>
        </m:sSub>
        <m:r>
          <m:rPr>
            <m:sty m:val="p"/>
          </m:rPr>
          <m:t>≤</m:t>
        </m:r>
        <m:acc>
          <m:accPr>
            <m:chr m:val="̂"/>
          </m:accPr>
          <m:e>
            <m:r>
              <m:t>H</m:t>
            </m:r>
          </m:e>
        </m:acc>
        <m:r>
          <m:rPr>
            <m:sty m:val="p"/>
          </m:rPr>
          <m:t>}</m:t>
        </m:r>
      </m:oMath>
      <w:r>
        <w:t xml:space="preserve">. Let</w:t>
      </w:r>
      <w:r>
        <w:t xml:space="preserve"> </w:t>
      </w:r>
      <m:oMath>
        <m:r>
          <m:t>q</m:t>
        </m:r>
        <m:r>
          <m:rPr>
            <m:sty m:val="p"/>
          </m:rPr>
          <m:t>=</m:t>
        </m:r>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r>
          <m:rPr>
            <m:sty m:val="p"/>
          </m:rPr>
          <m:t>≤</m:t>
        </m:r>
        <m:r>
          <m:t>n</m:t>
        </m:r>
      </m:oMath>
      <w:r>
        <w:t xml:space="preserve">. If</w:t>
      </w:r>
      <w:r>
        <w:t xml:space="preserve"> </w:t>
      </w:r>
      <m:oMath>
        <m:sSub>
          <m:e>
            <m:r>
              <m:t>V</m:t>
            </m:r>
          </m:e>
          <m:sub>
            <m:r>
              <m:t>n</m:t>
            </m:r>
            <m:r>
              <m:rPr>
                <m:sty m:val="p"/>
              </m:rPr>
              <m:t>+</m:t>
            </m:r>
            <m:r>
              <m:t>1</m:t>
            </m:r>
          </m:sub>
        </m:sSub>
        <m:r>
          <m:rPr>
            <m:sty m:val="p"/>
          </m:rPr>
          <m:t>&gt;</m:t>
        </m:r>
        <m:sSub>
          <m:e>
            <m:r>
              <m:t>V</m:t>
            </m:r>
          </m:e>
          <m:sub>
            <m:d>
              <m:dPr>
                <m:begChr m:val="("/>
                <m:endChr m:val=")"/>
                <m:sepChr m:val=""/>
                <m:grow/>
              </m:dPr>
              <m:e>
                <m:r>
                  <m:t>q</m:t>
                </m:r>
              </m:e>
            </m:d>
          </m:sub>
        </m:sSub>
      </m:oMath>
      <w:r>
        <w:t xml:space="preserve">, at least</w:t>
      </w:r>
      <w:r>
        <w:t xml:space="preserve"> </w:t>
      </w:r>
      <m:oMath>
        <m:r>
          <m:t>q</m:t>
        </m:r>
      </m:oMath>
      <w:r>
        <w:t xml:space="preserve"> </w:t>
      </w:r>
      <w:r>
        <w:t xml:space="preserve">of the calibration values are strictly smaller than</w:t>
      </w:r>
      <w:r>
        <w:t xml:space="preserve"> </w:t>
      </w:r>
      <m:oMath>
        <m:sSub>
          <m:e>
            <m:r>
              <m:t>V</m:t>
            </m:r>
          </m:e>
          <m:sub>
            <m:r>
              <m:t>n</m:t>
            </m:r>
            <m:r>
              <m:rPr>
                <m:sty m:val="p"/>
              </m:rPr>
              <m:t>+</m:t>
            </m:r>
            <m:r>
              <m:t>1</m:t>
            </m:r>
          </m:sub>
        </m:sSub>
      </m:oMath>
      <w:r>
        <w:t xml:space="preserve">, so the rank of</w:t>
      </w:r>
      <w:r>
        <w:t xml:space="preserve"> </w:t>
      </w:r>
      <m:oMath>
        <m:sSub>
          <m:e>
            <m:r>
              <m:t>V</m:t>
            </m:r>
          </m:e>
          <m:sub>
            <m:r>
              <m:t>n</m:t>
            </m:r>
            <m:r>
              <m:rPr>
                <m:sty m:val="p"/>
              </m:rPr>
              <m:t>+</m:t>
            </m:r>
            <m:r>
              <m:t>1</m:t>
            </m:r>
          </m:sub>
        </m:sSub>
      </m:oMath>
      <w:r>
        <w:t xml:space="preserve"> </w:t>
      </w:r>
      <w:r>
        <w:t xml:space="preserve">among all</w:t>
      </w:r>
      <w:r>
        <w:t xml:space="preserve"> </w:t>
      </w:r>
      <m:oMath>
        <m:r>
          <m:t>n</m:t>
        </m:r>
        <m:r>
          <m:rPr>
            <m:sty m:val="p"/>
          </m:rPr>
          <m:t>+</m:t>
        </m:r>
        <m:r>
          <m:t>1</m:t>
        </m:r>
      </m:oMath>
      <w:r>
        <w:t xml:space="preserve"> </w:t>
      </w:r>
      <w:r>
        <w:t xml:space="preserve">values (ties broken uniformly at random) is at least</w:t>
      </w:r>
      <w:r>
        <w:t xml:space="preserve"> </w:t>
      </w:r>
      <m:oMath>
        <m:r>
          <m:t>q</m:t>
        </m:r>
        <m:r>
          <m:rPr>
            <m:sty m:val="p"/>
          </m:rPr>
          <m:t>+</m:t>
        </m:r>
        <m:r>
          <m:t>1</m:t>
        </m:r>
      </m:oMath>
      <w:r>
        <w:t xml:space="preserve">. By exchangeability that rank is uniform on</w:t>
      </w:r>
      <w:r>
        <w:t xml:space="preserve"> </w:t>
      </w:r>
      <m:oMath>
        <m:r>
          <m:rPr>
            <m:sty m:val="p"/>
          </m:rPr>
          <m:t>{</m:t>
        </m:r>
        <m:r>
          <m:t>1</m:t>
        </m:r>
        <m:r>
          <m:rPr>
            <m:sty m:val="p"/>
          </m:rPr>
          <m:t>,</m:t>
        </m:r>
        <m:r>
          <m:rPr>
            <m:sty m:val="p"/>
          </m:rPr>
          <m:t>…</m:t>
        </m:r>
        <m:r>
          <m:rPr>
            <m:sty m:val="p"/>
          </m:rPr>
          <m:t>,</m:t>
        </m:r>
        <m:r>
          <m:t>n</m:t>
        </m:r>
        <m:r>
          <m:rPr>
            <m:sty m:val="p"/>
          </m:rPr>
          <m:t>+</m:t>
        </m:r>
        <m:r>
          <m:t>1</m:t>
        </m:r>
        <m:r>
          <m:rPr>
            <m:sty m:val="p"/>
          </m:rPr>
          <m:t>}</m:t>
        </m:r>
      </m:oMath>
      <w:r>
        <w:t xml:space="preserve">, so</w:t>
      </w:r>
      <w:r>
        <w:t xml:space="preserve"> </w:t>
      </w:r>
      <m:oMath>
        <m:r>
          <m:t>P</m:t>
        </m:r>
        <m:d>
          <m:dPr>
            <m:begChr m:val="("/>
            <m:endChr m:val=")"/>
            <m:sepChr m:val=""/>
            <m:grow/>
          </m:dPr>
          <m:e>
            <m:sSub>
              <m:e>
                <m:r>
                  <m:t>V</m:t>
                </m:r>
              </m:e>
              <m:sub>
                <m:r>
                  <m:t>n</m:t>
                </m:r>
                <m:r>
                  <m:rPr>
                    <m:sty m:val="p"/>
                  </m:rPr>
                  <m:t>+</m:t>
                </m:r>
                <m:r>
                  <m:t>1</m:t>
                </m:r>
              </m:sub>
            </m:sSub>
            <m:r>
              <m:rPr>
                <m:sty m:val="p"/>
              </m:rPr>
              <m:t>&gt;</m:t>
            </m:r>
            <m:acc>
              <m:accPr>
                <m:chr m:val="̂"/>
              </m:accPr>
              <m:e>
                <m:r>
                  <m:t>H</m:t>
                </m:r>
              </m:e>
            </m:acc>
          </m:e>
        </m:d>
        <m:r>
          <m:rPr>
            <m:sty m:val="p"/>
          </m:rPr>
          <m:t>≤</m:t>
        </m:r>
        <m:d>
          <m:dPr>
            <m:begChr m:val="("/>
            <m:endChr m:val=")"/>
            <m:sepChr m:val=""/>
            <m:grow/>
          </m:dPr>
          <m:e>
            <m:r>
              <m:t>n</m:t>
            </m:r>
            <m:r>
              <m:rPr>
                <m:sty m:val="p"/>
              </m:rPr>
              <m:t>+</m:t>
            </m:r>
            <m:r>
              <m:t>1</m:t>
            </m:r>
            <m:r>
              <m:rPr>
                <m:sty m:val="p"/>
              </m:rPr>
              <m:t>−</m:t>
            </m:r>
            <m:r>
              <m:t>q</m:t>
            </m:r>
          </m:e>
        </m:d>
        <m:r>
          <m:rPr>
            <m:sty m:val="p"/>
          </m:rPr>
          <m:t>/</m:t>
        </m:r>
        <m:d>
          <m:dPr>
            <m:begChr m:val="("/>
            <m:endChr m:val=")"/>
            <m:sepChr m:val=""/>
            <m:grow/>
          </m:dPr>
          <m:e>
            <m:r>
              <m:t>n</m:t>
            </m:r>
            <m:r>
              <m:rPr>
                <m:sty m:val="p"/>
              </m:rPr>
              <m:t>+</m:t>
            </m:r>
            <m:r>
              <m:t>1</m:t>
            </m:r>
          </m:e>
        </m:d>
        <m:r>
          <m:rPr>
            <m:sty m:val="p"/>
          </m:rPr>
          <m:t>≤</m:t>
        </m:r>
        <m:r>
          <m:t>α</m:t>
        </m:r>
      </m:oMath>
      <w:r>
        <w:t xml:space="preserve">. For the upper bound, with distinct values</w:t>
      </w:r>
      <w:r>
        <w:t xml:space="preserve"> </w:t>
      </w:r>
      <m:oMath>
        <m:sSub>
          <m:e>
            <m:r>
              <m:t>V</m:t>
            </m:r>
          </m:e>
          <m:sub>
            <m:r>
              <m:t>n</m:t>
            </m:r>
            <m:r>
              <m:rPr>
                <m:sty m:val="p"/>
              </m:rPr>
              <m:t>+</m:t>
            </m:r>
            <m:r>
              <m:t>1</m:t>
            </m:r>
          </m:sub>
        </m:sSub>
        <m:r>
          <m:rPr>
            <m:sty m:val="p"/>
          </m:rPr>
          <m:t>≤</m:t>
        </m:r>
        <m:sSub>
          <m:e>
            <m:r>
              <m:t>V</m:t>
            </m:r>
          </m:e>
          <m:sub>
            <m:d>
              <m:dPr>
                <m:begChr m:val="("/>
                <m:endChr m:val=")"/>
                <m:sepChr m:val=""/>
                <m:grow/>
              </m:dPr>
              <m:e>
                <m:r>
                  <m:t>q</m:t>
                </m:r>
              </m:e>
            </m:d>
          </m:sub>
        </m:sSub>
      </m:oMath>
      <w:r>
        <w:t xml:space="preserve"> </w:t>
      </w:r>
      <w:r>
        <w:t xml:space="preserve">iff the rank is at most</w:t>
      </w:r>
      <w:r>
        <w:t xml:space="preserve"> </w:t>
      </w:r>
      <m:oMath>
        <m:r>
          <m:t>q</m:t>
        </m:r>
      </m:oMath>
      <w:r>
        <w:t xml:space="preserve">, which has probability</w:t>
      </w:r>
      <w:r>
        <w:t xml:space="preserve"> </w:t>
      </w:r>
      <m:oMath>
        <m:r>
          <m:t>q</m:t>
        </m:r>
        <m:r>
          <m:rPr>
            <m:sty m:val="p"/>
          </m:rPr>
          <m:t>/</m:t>
        </m:r>
        <m:d>
          <m:dPr>
            <m:begChr m:val="("/>
            <m:endChr m:val=")"/>
            <m:sepChr m:val=""/>
            <m:grow/>
          </m:dPr>
          <m:e>
            <m:r>
              <m:t>n</m:t>
            </m:r>
            <m:r>
              <m:rPr>
                <m:sty m:val="p"/>
              </m:rPr>
              <m:t>+</m:t>
            </m:r>
            <m:r>
              <m:t>1</m:t>
            </m:r>
          </m:e>
        </m:d>
        <m:r>
          <m:rPr>
            <m:sty m:val="p"/>
          </m:rPr>
          <m:t>&lt;</m:t>
        </m:r>
        <m:r>
          <m:t>1</m:t>
        </m:r>
        <m:r>
          <m:rPr>
            <m:sty m:val="p"/>
          </m:rPr>
          <m:t>−</m:t>
        </m:r>
        <m:r>
          <m:t>α</m:t>
        </m:r>
        <m:r>
          <m:rPr>
            <m:sty m:val="p"/>
          </m:rPr>
          <m:t>+</m:t>
        </m:r>
        <m:r>
          <m:t>1</m:t>
        </m:r>
        <m:r>
          <m:rPr>
            <m:sty m:val="p"/>
          </m:rPr>
          <m:t>/</m:t>
        </m:r>
        <m:d>
          <m:dPr>
            <m:begChr m:val="("/>
            <m:endChr m:val=")"/>
            <m:sepChr m:val=""/>
            <m:grow/>
          </m:dPr>
          <m:e>
            <m:r>
              <m:t>n</m:t>
            </m:r>
            <m:r>
              <m:rPr>
                <m:sty m:val="p"/>
              </m:rPr>
              <m:t>+</m:t>
            </m:r>
            <m:r>
              <m:t>1</m:t>
            </m:r>
          </m:e>
        </m:d>
      </m:oMath>
      <w:r>
        <w:t xml:space="preserve">.</w:t>
      </w:r>
      <w:r>
        <w:t xml:space="preserve"> </w:t>
      </w:r>
      <m:oMath>
        <m:r>
          <m:rPr>
            <m:sty m:val="p"/>
          </m:rPr>
          <m:t>▫</m:t>
        </m:r>
      </m:oMath>
      <w:r>
        <w:t xml:space="preserve"> </w:t>
      </w:r>
      <w:r>
        <w:t xml:space="preserve">For</w:t>
      </w:r>
      <w:r>
        <w:t xml:space="preserve"> </w:t>
      </w:r>
      <m:oMath>
        <m:r>
          <m:t>α</m:t>
        </m:r>
        <m:r>
          <m:rPr>
            <m:sty m:val="p"/>
          </m:rPr>
          <m:t>&lt;</m:t>
        </m:r>
        <m:r>
          <m:t>1</m:t>
        </m:r>
        <m:r>
          <m:rPr>
            <m:sty m:val="p"/>
          </m:rPr>
          <m:t>/</m:t>
        </m:r>
        <m:d>
          <m:dPr>
            <m:begChr m:val="("/>
            <m:endChr m:val=")"/>
            <m:sepChr m:val=""/>
            <m:grow/>
          </m:dPr>
          <m:e>
            <m:r>
              <m:t>n</m:t>
            </m:r>
            <m:r>
              <m:rPr>
                <m:sty m:val="p"/>
              </m:rPr>
              <m:t>+</m:t>
            </m:r>
            <m:r>
              <m:t>1</m:t>
            </m:r>
          </m:e>
        </m:d>
      </m:oMath>
      <w:r>
        <w:t xml:space="preserve"> </w:t>
      </w:r>
      <w:r>
        <w:t xml:space="preserve">the level is not attainable with</w:t>
      </w:r>
      <w:r>
        <w:t xml:space="preserve"> </w:t>
      </w:r>
      <m:oMath>
        <m:r>
          <m:t>n</m:t>
        </m:r>
      </m:oMath>
      <w:r>
        <w:t xml:space="preserve"> </w:t>
      </w:r>
      <w:r>
        <w:t xml:space="preserve">calibration units, and the procedure reports this instead of an alarm level.</w:t>
      </w:r>
    </w:p>
    <w:p>
      <w:pPr>
        <w:pStyle w:val="BodyText"/>
      </w:pPr>
      <w:r>
        <w:rPr>
          <w:bCs/>
          <w:b/>
        </w:rPr>
        <w:t xml:space="preserve">Corollary 1 (decision-aware choice keeps the guarantee).</w:t>
      </w:r>
      <w:r>
        <w:t xml:space="preserve"> </w:t>
      </w:r>
      <w:r>
        <w:t xml:space="preserve">Let</w:t>
      </w:r>
      <w:r>
        <w:t xml:space="preserve"> </w:t>
      </w:r>
      <m:oMath>
        <m:sSub>
          <m:e>
            <m:r>
              <m:t>q</m:t>
            </m:r>
          </m:e>
          <m:sub>
            <m:r>
              <m:t>0</m:t>
            </m:r>
          </m:sub>
        </m:sSub>
        <m:r>
          <m:rPr>
            <m:sty m:val="p"/>
          </m:rPr>
          <m:t>=</m:t>
        </m:r>
        <m:r>
          <m:rPr>
            <m:sty m:val="p"/>
          </m:rPr>
          <m:t>⌈</m:t>
        </m:r>
        <m:d>
          <m:dPr>
            <m:begChr m:val="("/>
            <m:endChr m:val=")"/>
            <m:sepChr m:val=""/>
            <m:grow/>
          </m:dPr>
          <m:e>
            <m:r>
              <m:t>n</m:t>
            </m:r>
            <m:r>
              <m:rPr>
                <m:sty m:val="p"/>
              </m:rPr>
              <m:t>+</m:t>
            </m:r>
            <m:r>
              <m:t>1</m:t>
            </m:r>
          </m:e>
        </m:d>
        <m:d>
          <m:dPr>
            <m:begChr m:val="("/>
            <m:endChr m:val=")"/>
            <m:sepChr m:val=""/>
            <m:grow/>
          </m:dPr>
          <m:e>
            <m:r>
              <m:t>1</m:t>
            </m:r>
            <m:r>
              <m:rPr>
                <m:sty m:val="p"/>
              </m:rPr>
              <m:t>−</m:t>
            </m:r>
            <m:sSub>
              <m:e>
                <m:r>
                  <m:t>α</m:t>
                </m:r>
              </m:e>
              <m:sub>
                <m:r>
                  <m:rPr>
                    <m:sty m:val="p"/>
                  </m:rPr>
                  <m:t>max</m:t>
                </m:r>
              </m:sub>
            </m:sSub>
          </m:e>
        </m:d>
        <m:r>
          <m:rPr>
            <m:sty m:val="p"/>
          </m:rPr>
          <m:t>⌉</m:t>
        </m:r>
      </m:oMath>
      <w:r>
        <w:t xml:space="preserve"> </w:t>
      </w:r>
      <w:r>
        <w:t xml:space="preserve">and let</w:t>
      </w:r>
      <w:r>
        <w:t xml:space="preserve"> </w:t>
      </w:r>
      <m:oMath>
        <m:acc>
          <m:accPr>
            <m:chr m:val="̂"/>
          </m:accPr>
          <m:e>
            <m:r>
              <m:t>q</m:t>
            </m:r>
          </m:e>
        </m:acc>
        <m:r>
          <m:rPr>
            <m:sty m:val="p"/>
          </m:rPr>
          <m:t>≥</m:t>
        </m:r>
        <m:sSub>
          <m:e>
            <m:r>
              <m:t>q</m:t>
            </m:r>
          </m:e>
          <m:sub>
            <m:r>
              <m:t>0</m:t>
            </m:r>
          </m:sub>
        </m:sSub>
      </m:oMath>
      <w:r>
        <w:t xml:space="preserve"> </w:t>
      </w:r>
      <w:r>
        <w:t xml:space="preserve">be any index chosen from the calibration data, for example to minimise an estimated cost. Then</w:t>
      </w:r>
      <w:r>
        <w:t xml:space="preserve"> </w:t>
      </w:r>
      <m:oMath>
        <m:r>
          <m:t>P</m:t>
        </m:r>
        <m:d>
          <m:dPr>
            <m:begChr m:val="("/>
            <m:endChr m:val=")"/>
            <m:sepChr m:val=""/>
            <m:grow/>
          </m:dPr>
          <m:e>
            <m:sSub>
              <m:e>
                <m:r>
                  <m:t>N</m:t>
                </m:r>
              </m:e>
              <m:sub>
                <m:r>
                  <m:t>n</m:t>
                </m:r>
                <m:r>
                  <m:rPr>
                    <m:sty m:val="p"/>
                  </m:rPr>
                  <m:t>+</m:t>
                </m:r>
                <m:r>
                  <m:t>1</m:t>
                </m:r>
              </m:sub>
            </m:sSub>
            <m:d>
              <m:dPr>
                <m:begChr m:val="("/>
                <m:endChr m:val=")"/>
                <m:sepChr m:val=""/>
                <m:grow/>
              </m:dPr>
              <m:e>
                <m:sSub>
                  <m:e>
                    <m:r>
                      <m:t>V</m:t>
                    </m:r>
                  </m:e>
                  <m:sub>
                    <m:d>
                      <m:dPr>
                        <m:begChr m:val="("/>
                        <m:endChr m:val=")"/>
                        <m:sepChr m:val=""/>
                        <m:grow/>
                      </m:dPr>
                      <m:e>
                        <m:acc>
                          <m:accPr>
                            <m:chr m:val="̂"/>
                          </m:accPr>
                          <m:e>
                            <m:r>
                              <m:t>q</m:t>
                            </m:r>
                          </m:e>
                        </m:acc>
                      </m:e>
                    </m:d>
                  </m:sub>
                </m:sSub>
              </m:e>
            </m:d>
            <m:r>
              <m:rPr>
                <m:sty m:val="p"/>
              </m:rPr>
              <m:t>&gt;</m:t>
            </m:r>
            <m:r>
              <m:rPr>
                <m:sty m:val="p"/>
              </m:rPr>
              <m:t>ℓ</m:t>
            </m:r>
          </m:e>
        </m:d>
        <m:r>
          <m:rPr>
            <m:sty m:val="p"/>
          </m:rPr>
          <m:t>≥</m:t>
        </m:r>
        <m:r>
          <m:t>1</m:t>
        </m:r>
        <m:r>
          <m:rPr>
            <m:sty m:val="p"/>
          </m:rPr>
          <m:t>−</m:t>
        </m:r>
        <m:sSub>
          <m:e>
            <m:r>
              <m:t>α</m:t>
            </m:r>
          </m:e>
          <m:sub>
            <m:r>
              <m:rPr>
                <m:sty m:val="p"/>
              </m:rPr>
              <m:t>max</m:t>
            </m:r>
          </m:sub>
        </m:sSub>
      </m:oMath>
      <w:r>
        <w:t xml:space="preserve">.</w:t>
      </w:r>
    </w:p>
    <w:p>
      <w:pPr>
        <w:pStyle w:val="BodyText"/>
      </w:pPr>
      <w:r>
        <w:rPr>
          <w:iCs/>
          <w:i/>
        </w:rPr>
        <w:t xml:space="preserve">Proof.</w:t>
      </w:r>
      <w:r>
        <w:t xml:space="preserve"> </w:t>
      </w:r>
      <m:oMath>
        <m:sSub>
          <m:e>
            <m:r>
              <m:t>V</m:t>
            </m:r>
          </m:e>
          <m:sub>
            <m:d>
              <m:dPr>
                <m:begChr m:val="("/>
                <m:endChr m:val=")"/>
                <m:sepChr m:val=""/>
                <m:grow/>
              </m:dPr>
              <m:e>
                <m:acc>
                  <m:accPr>
                    <m:chr m:val="̂"/>
                  </m:accPr>
                  <m:e>
                    <m:r>
                      <m:t>q</m:t>
                    </m:r>
                  </m:e>
                </m:acc>
              </m:e>
            </m:d>
          </m:sub>
        </m:sSub>
        <m:r>
          <m:rPr>
            <m:sty m:val="p"/>
          </m:rPr>
          <m:t>≥</m:t>
        </m:r>
        <m:sSub>
          <m:e>
            <m:r>
              <m:t>V</m:t>
            </m:r>
          </m:e>
          <m:sub>
            <m:d>
              <m:dPr>
                <m:begChr m:val="("/>
                <m:endChr m:val=")"/>
                <m:sepChr m:val=""/>
                <m:grow/>
              </m:dPr>
              <m:e>
                <m:sSub>
                  <m:e>
                    <m:r>
                      <m:t>q</m:t>
                    </m:r>
                  </m:e>
                  <m:sub>
                    <m:r>
                      <m:t>0</m:t>
                    </m:r>
                  </m:sub>
                </m:sSub>
              </m:e>
            </m:d>
          </m:sub>
        </m:sSub>
      </m:oMath>
      <w:r>
        <w:t xml:space="preserve">; by Lemma 1 the event for</w:t>
      </w:r>
      <w:r>
        <w:t xml:space="preserve"> </w:t>
      </w:r>
      <m:oMath>
        <m:sSub>
          <m:e>
            <m:r>
              <m:t>V</m:t>
            </m:r>
          </m:e>
          <m:sub>
            <m:d>
              <m:dPr>
                <m:begChr m:val="("/>
                <m:endChr m:val=")"/>
                <m:sepChr m:val=""/>
                <m:grow/>
              </m:dPr>
              <m:e>
                <m:acc>
                  <m:accPr>
                    <m:chr m:val="̂"/>
                  </m:accPr>
                  <m:e>
                    <m:r>
                      <m:t>q</m:t>
                    </m:r>
                  </m:e>
                </m:acc>
              </m:e>
            </m:d>
          </m:sub>
        </m:sSub>
      </m:oMath>
      <w:r>
        <w:t xml:space="preserve"> </w:t>
      </w:r>
      <w:r>
        <w:t xml:space="preserve">contains the event for</w:t>
      </w:r>
      <w:r>
        <w:t xml:space="preserve"> </w:t>
      </w:r>
      <m:oMath>
        <m:sSub>
          <m:e>
            <m:r>
              <m:t>V</m:t>
            </m:r>
          </m:e>
          <m:sub>
            <m:d>
              <m:dPr>
                <m:begChr m:val="("/>
                <m:endChr m:val=")"/>
                <m:sepChr m:val=""/>
                <m:grow/>
              </m:dPr>
              <m:e>
                <m:sSub>
                  <m:e>
                    <m:r>
                      <m:t>q</m:t>
                    </m:r>
                  </m:e>
                  <m:sub>
                    <m:r>
                      <m:t>0</m:t>
                    </m:r>
                  </m:sub>
                </m:sSub>
              </m:e>
            </m:d>
          </m:sub>
        </m:sSub>
      </m:oMath>
      <w:r>
        <w:t xml:space="preserve">, which has probability at least</w:t>
      </w:r>
      <w:r>
        <w:t xml:space="preserve"> </w:t>
      </w:r>
      <m:oMath>
        <m:r>
          <m:t>1</m:t>
        </m:r>
        <m:r>
          <m:rPr>
            <m:sty m:val="p"/>
          </m:rPr>
          <m:t>−</m:t>
        </m:r>
        <m:sSub>
          <m:e>
            <m:r>
              <m:t>α</m:t>
            </m:r>
          </m:e>
          <m:sub>
            <m:r>
              <m:rPr>
                <m:sty m:val="p"/>
              </m:rPr>
              <m:t>max</m:t>
            </m:r>
          </m:sub>
        </m:sSub>
      </m:oMath>
      <w:r>
        <w:t xml:space="preserve"> </w:t>
      </w:r>
      <w:r>
        <w:t xml:space="preserve">by Theorem 2.</w:t>
      </w:r>
      <w:r>
        <w:t xml:space="preserve"> </w:t>
      </w:r>
      <m:oMath>
        <m:r>
          <m:rPr>
            <m:sty m:val="p"/>
          </m:rPr>
          <m:t>▫</m:t>
        </m:r>
      </m:oMath>
    </w:p>
    <w:p>
      <w:pPr>
        <w:pStyle w:val="BodyText"/>
      </w:pPr>
      <w:r>
        <w:rPr>
          <w:bCs/>
          <w:b/>
        </w:rPr>
        <w:t xml:space="preserve">Proposition 1 (cost bound).</w:t>
      </w:r>
      <w:r>
        <w:t xml:space="preserve"> </w:t>
      </w:r>
      <w:r>
        <w:t xml:space="preserve">Under the conditions of Theorem 2, the expected cost of one renewal cycle of a new unit is at most</w:t>
      </w:r>
      <w:r>
        <w:t xml:space="preserve"> </w:t>
      </w:r>
      <m:oMath>
        <m:r>
          <m:t>1</m:t>
        </m:r>
        <m:r>
          <m:rPr>
            <m:sty m:val="p"/>
          </m:rPr>
          <m:t>+</m:t>
        </m:r>
        <m:d>
          <m:dPr>
            <m:begChr m:val="("/>
            <m:endChr m:val=")"/>
            <m:sepChr m:val=""/>
            <m:grow/>
          </m:dPr>
          <m:e>
            <m:r>
              <m:t>ρ</m:t>
            </m:r>
            <m:r>
              <m:rPr>
                <m:sty m:val="p"/>
              </m:rPr>
              <m:t>−</m:t>
            </m:r>
            <m:r>
              <m:t>1</m:t>
            </m:r>
          </m:e>
        </m:d>
        <m:r>
          <m:t>α</m:t>
        </m:r>
      </m:oMath>
      <w:r>
        <w:t xml:space="preserve">, and the long-run cost rate is at most</w:t>
      </w:r>
      <w:r>
        <w:t xml:space="preserve"> </w:t>
      </w:r>
      <m:oMath>
        <m:d>
          <m:dPr>
            <m:begChr m:val="("/>
            <m:endChr m:val=")"/>
            <m:sepChr m:val=""/>
            <m:grow/>
          </m:dPr>
          <m:e>
            <m:r>
              <m:t>1</m:t>
            </m:r>
            <m:r>
              <m:rPr>
                <m:sty m:val="p"/>
              </m:rPr>
              <m:t>+</m:t>
            </m:r>
            <m:d>
              <m:dPr>
                <m:begChr m:val="("/>
                <m:endChr m:val=")"/>
                <m:sepChr m:val=""/>
                <m:grow/>
              </m:dPr>
              <m:e>
                <m:r>
                  <m:t>ρ</m:t>
                </m:r>
                <m:r>
                  <m:rPr>
                    <m:sty m:val="p"/>
                  </m:rPr>
                  <m:t>−</m:t>
                </m:r>
                <m:r>
                  <m:t>1</m:t>
                </m:r>
              </m:e>
            </m:d>
            <m:r>
              <m:t>α</m:t>
            </m:r>
          </m:e>
        </m:d>
        <m:r>
          <m:rPr>
            <m:sty m:val="p"/>
          </m:rPr>
          <m:t>/</m:t>
        </m:r>
        <m:r>
          <m:t>E</m:t>
        </m:r>
        <m:d>
          <m:dPr>
            <m:begChr m:val="["/>
            <m:endChr m:val="]"/>
            <m:sepChr m:val=""/>
            <m:grow/>
          </m:dPr>
          <m:e>
            <m:r>
              <m:rPr>
                <m:nor/>
                <m:sty m:val="p"/>
              </m:rPr>
              <m:t>use</m:t>
            </m:r>
          </m:e>
        </m:d>
      </m:oMath>
      <w:r>
        <w:t xml:space="preserve">.</w:t>
      </w:r>
    </w:p>
    <w:p>
      <w:pPr>
        <w:pStyle w:val="BodyText"/>
      </w:pPr>
      <w:r>
        <w:rPr>
          <w:iCs/>
          <w:i/>
        </w:rPr>
        <w:t xml:space="preserve">Proof.</w:t>
      </w:r>
      <w:r>
        <w:t xml:space="preserve"> </w:t>
      </w:r>
      <w:r>
        <w:t xml:space="preserve">The cost is</w:t>
      </w:r>
      <w:r>
        <w:t xml:space="preserve"> </w:t>
      </w:r>
      <m:oMath>
        <m:r>
          <m:t>1</m:t>
        </m:r>
        <m:r>
          <m:rPr>
            <m:sty m:val="p"/>
          </m:rPr>
          <m:t>+</m:t>
        </m:r>
        <m:d>
          <m:dPr>
            <m:begChr m:val="("/>
            <m:endChr m:val=")"/>
            <m:sepChr m:val=""/>
            <m:grow/>
          </m:dPr>
          <m:e>
            <m:r>
              <m:t>ρ</m:t>
            </m:r>
            <m:r>
              <m:rPr>
                <m:sty m:val="p"/>
              </m:rPr>
              <m:t>−</m:t>
            </m:r>
            <m:r>
              <m:t>1</m:t>
            </m:r>
          </m:e>
        </m:d>
        <m:r>
          <m:rPr>
            <m:sty m:val="b"/>
          </m:rPr>
          <m:t>1</m:t>
        </m:r>
        <m:r>
          <m:rPr>
            <m:sty m:val="p"/>
          </m:rPr>
          <m:t>{</m:t>
        </m:r>
        <m:r>
          <m:t>N</m:t>
        </m:r>
        <m:r>
          <m:rPr>
            <m:sty m:val="p"/>
          </m:rPr>
          <m:t>≤</m:t>
        </m:r>
        <m:r>
          <m:rPr>
            <m:sty m:val="p"/>
          </m:rPr>
          <m:t>ℓ</m:t>
        </m:r>
        <m:r>
          <m:rPr>
            <m:sty m:val="p"/>
          </m:rPr>
          <m:t>}</m:t>
        </m:r>
      </m:oMath>
      <w:r>
        <w:t xml:space="preserve">; take expectations and apply the renewal–reward theorem.</w:t>
      </w:r>
      <w:r>
        <w:t xml:space="preserve"> </w:t>
      </w:r>
      <m:oMath>
        <m:r>
          <m:rPr>
            <m:sty m:val="p"/>
          </m:rPr>
          <m:t>▫</m:t>
        </m:r>
      </m:oMath>
    </w:p>
    <w:p>
      <w:pPr>
        <w:pStyle w:val="BodyText"/>
      </w:pPr>
      <w:r>
        <w:rPr>
          <w:bCs/>
          <w:b/>
        </w:rPr>
        <w:t xml:space="preserve">Proposition 2 (what</w:t>
      </w:r>
      <w:r>
        <w:rPr>
          <w:bCs/>
          <w:b/>
        </w:rPr>
        <w:t xml:space="preserve"> </w:t>
      </w:r>
      <m:oMath>
        <m:r>
          <m:t>n</m:t>
        </m:r>
      </m:oMath>
      <w:r>
        <w:rPr>
          <w:bCs/>
          <w:b/>
        </w:rPr>
        <w:t xml:space="preserve"> </w:t>
      </w:r>
      <w:r>
        <w:rPr>
          <w:bCs/>
          <w:b/>
        </w:rPr>
        <w:t xml:space="preserve">calibration units can certify).</w:t>
      </w:r>
      <w:r>
        <w:t xml:space="preserve"> </w:t>
      </w:r>
      <w:r>
        <w:t xml:space="preserve">If the critical levels are almost surely distinct, the alarm at</w:t>
      </w:r>
      <w:r>
        <w:t xml:space="preserve"> </w:t>
      </w:r>
      <m:oMath>
        <m:sSub>
          <m:e>
            <m:r>
              <m:t>V</m:t>
            </m:r>
          </m:e>
          <m:sub>
            <m:d>
              <m:dPr>
                <m:begChr m:val="("/>
                <m:endChr m:val=")"/>
                <m:sepChr m:val=""/>
                <m:grow/>
              </m:dPr>
              <m:e>
                <m:r>
                  <m:t>q</m:t>
                </m:r>
              </m:e>
            </m:d>
          </m:sub>
        </m:sSub>
      </m:oMath>
      <w:r>
        <w:t xml:space="preserve"> </w:t>
      </w:r>
      <w:r>
        <w:t xml:space="preserve">fails before replacement with marginal probability exactly</w:t>
      </w:r>
      <w:r>
        <w:t xml:space="preserve"> </w:t>
      </w:r>
      <m:oMath>
        <m:d>
          <m:dPr>
            <m:begChr m:val="("/>
            <m:endChr m:val=")"/>
            <m:sepChr m:val=""/>
            <m:grow/>
          </m:dPr>
          <m:e>
            <m:r>
              <m:t>n</m:t>
            </m:r>
            <m:r>
              <m:rPr>
                <m:sty m:val="p"/>
              </m:rPr>
              <m:t>+</m:t>
            </m:r>
            <m:r>
              <m:t>1</m:t>
            </m:r>
            <m:r>
              <m:rPr>
                <m:sty m:val="p"/>
              </m:rPr>
              <m:t>−</m:t>
            </m:r>
            <m:r>
              <m:t>q</m:t>
            </m:r>
          </m:e>
        </m:d>
        <m:r>
          <m:rPr>
            <m:sty m:val="p"/>
          </m:rPr>
          <m:t>/</m:t>
        </m:r>
        <m:d>
          <m:dPr>
            <m:begChr m:val="("/>
            <m:endChr m:val=")"/>
            <m:sepChr m:val=""/>
            <m:grow/>
          </m:dPr>
          <m:e>
            <m:r>
              <m:t>n</m:t>
            </m:r>
            <m:r>
              <m:rPr>
                <m:sty m:val="p"/>
              </m:rPr>
              <m:t>+</m:t>
            </m:r>
            <m:r>
              <m:t>1</m:t>
            </m:r>
          </m:e>
        </m:d>
      </m:oMath>
      <w:r>
        <w:t xml:space="preserve">. Hence no level chosen among the order statistics has a failure probability below</w:t>
      </w:r>
      <w:r>
        <w:t xml:space="preserve"> </w:t>
      </w:r>
      <m:oMath>
        <m:r>
          <m:t>1</m:t>
        </m:r>
        <m:r>
          <m:rPr>
            <m:sty m:val="p"/>
          </m:rPr>
          <m:t>/</m:t>
        </m:r>
        <m:d>
          <m:dPr>
            <m:begChr m:val="("/>
            <m:endChr m:val=")"/>
            <m:sepChr m:val=""/>
            <m:grow/>
          </m:dPr>
          <m:e>
            <m:r>
              <m:t>n</m:t>
            </m:r>
            <m:r>
              <m:rPr>
                <m:sty m:val="p"/>
              </m:rPr>
              <m:t>+</m:t>
            </m:r>
            <m:r>
              <m:t>1</m:t>
            </m:r>
          </m:e>
        </m:d>
      </m:oMath>
      <w:r>
        <w:t xml:space="preserve">, the expected cost of a renewal cycle of CNA-DA is at least</w:t>
      </w:r>
      <w:r>
        <w:t xml:space="preserve"> </w:t>
      </w:r>
      <m:oMath>
        <m:r>
          <m:t>1</m:t>
        </m:r>
        <m:r>
          <m:rPr>
            <m:sty m:val="p"/>
          </m:rPr>
          <m:t>+</m:t>
        </m:r>
        <m:d>
          <m:dPr>
            <m:begChr m:val="("/>
            <m:endChr m:val=")"/>
            <m:sepChr m:val=""/>
            <m:grow/>
          </m:dPr>
          <m:e>
            <m:r>
              <m:t>ρ</m:t>
            </m:r>
            <m:r>
              <m:rPr>
                <m:sty m:val="p"/>
              </m:rPr>
              <m:t>−</m:t>
            </m:r>
            <m:r>
              <m:t>1</m:t>
            </m:r>
          </m:e>
        </m:d>
        <m:r>
          <m:rPr>
            <m:sty m:val="p"/>
          </m:rPr>
          <m:t>/</m:t>
        </m:r>
        <m:d>
          <m:dPr>
            <m:begChr m:val="("/>
            <m:endChr m:val=")"/>
            <m:sepChr m:val=""/>
            <m:grow/>
          </m:dPr>
          <m:e>
            <m:r>
              <m:t>n</m:t>
            </m:r>
            <m:r>
              <m:rPr>
                <m:sty m:val="p"/>
              </m:rPr>
              <m:t>+</m:t>
            </m:r>
            <m:r>
              <m:t>1</m:t>
            </m:r>
          </m:e>
        </m:d>
      </m:oMath>
      <w:r>
        <w:t xml:space="preserve">, and certifying a failure probability</w:t>
      </w:r>
      <w:r>
        <w:t xml:space="preserve"> </w:t>
      </w:r>
      <m:oMath>
        <m:r>
          <m:t>α</m:t>
        </m:r>
      </m:oMath>
      <w:r>
        <w:t xml:space="preserve"> </w:t>
      </w:r>
      <w:r>
        <w:t xml:space="preserve">requires</w:t>
      </w:r>
      <w:r>
        <w:t xml:space="preserve"> </w:t>
      </w:r>
      <m:oMath>
        <m:r>
          <m:t>n</m:t>
        </m:r>
        <m:r>
          <m:rPr>
            <m:sty m:val="p"/>
          </m:rPr>
          <m:t>≥</m:t>
        </m:r>
        <m:r>
          <m:t>1</m:t>
        </m:r>
        <m:r>
          <m:rPr>
            <m:sty m:val="p"/>
          </m:rPr>
          <m:t>/</m:t>
        </m:r>
        <m:r>
          <m:t>α</m:t>
        </m:r>
        <m:r>
          <m:rPr>
            <m:sty m:val="p"/>
          </m:rPr>
          <m:t>−</m:t>
        </m:r>
        <m:r>
          <m:t>1</m:t>
        </m:r>
      </m:oMath>
      <w:r>
        <w:t xml:space="preserve"> </w:t>
      </w:r>
      <w:r>
        <w:t xml:space="preserve">calibration units.</w:t>
      </w:r>
    </w:p>
    <w:p>
      <w:pPr>
        <w:pStyle w:val="BodyText"/>
      </w:pPr>
      <w:r>
        <w:rPr>
          <w:iCs/>
          <w:i/>
        </w:rPr>
        <w:t xml:space="preserve">Proof.</w:t>
      </w:r>
      <w:r>
        <w:t xml:space="preserve"> </w:t>
      </w:r>
      <w:r>
        <w:t xml:space="preserve">With distinct values the rank of</w:t>
      </w:r>
      <w:r>
        <w:t xml:space="preserve"> </w:t>
      </w:r>
      <m:oMath>
        <m:sSub>
          <m:e>
            <m:r>
              <m:t>V</m:t>
            </m:r>
          </m:e>
          <m:sub>
            <m:r>
              <m:t>n</m:t>
            </m:r>
            <m:r>
              <m:rPr>
                <m:sty m:val="p"/>
              </m:rPr>
              <m:t>+</m:t>
            </m:r>
            <m:r>
              <m:t>1</m:t>
            </m:r>
          </m:sub>
        </m:sSub>
      </m:oMath>
      <w:r>
        <w:t xml:space="preserve"> </w:t>
      </w:r>
      <w:r>
        <w:t xml:space="preserve">among the</w:t>
      </w:r>
      <w:r>
        <w:t xml:space="preserve"> </w:t>
      </w:r>
      <m:oMath>
        <m:r>
          <m:t>n</m:t>
        </m:r>
        <m:r>
          <m:rPr>
            <m:sty m:val="p"/>
          </m:rPr>
          <m:t>+</m:t>
        </m:r>
        <m:r>
          <m:t>1</m:t>
        </m:r>
      </m:oMath>
      <w:r>
        <w:t xml:space="preserve"> </w:t>
      </w:r>
      <w:r>
        <w:t xml:space="preserve">values is uniform, and the alarm fails iff</w:t>
      </w:r>
      <w:r>
        <w:t xml:space="preserve"> </w:t>
      </w:r>
      <m:oMath>
        <m:sSub>
          <m:e>
            <m:r>
              <m:t>V</m:t>
            </m:r>
          </m:e>
          <m:sub>
            <m:r>
              <m:t>n</m:t>
            </m:r>
            <m:r>
              <m:rPr>
                <m:sty m:val="p"/>
              </m:rPr>
              <m:t>+</m:t>
            </m:r>
            <m:r>
              <m:t>1</m:t>
            </m:r>
          </m:sub>
        </m:sSub>
        <m:r>
          <m:rPr>
            <m:sty m:val="p"/>
          </m:rPr>
          <m:t>&gt;</m:t>
        </m:r>
        <m:sSub>
          <m:e>
            <m:r>
              <m:t>V</m:t>
            </m:r>
          </m:e>
          <m:sub>
            <m:d>
              <m:dPr>
                <m:begChr m:val="("/>
                <m:endChr m:val=")"/>
                <m:sepChr m:val=""/>
                <m:grow/>
              </m:dPr>
              <m:e>
                <m:r>
                  <m:t>q</m:t>
                </m:r>
              </m:e>
            </m:d>
          </m:sub>
        </m:sSub>
      </m:oMath>
      <w:r>
        <w:t xml:space="preserve">, i.e. iff the rank exceeds</w:t>
      </w:r>
      <w:r>
        <w:t xml:space="preserve"> </w:t>
      </w:r>
      <m:oMath>
        <m:r>
          <m:t>q</m:t>
        </m:r>
      </m:oMath>
      <w:r>
        <w:t xml:space="preserve">; this has probability</w:t>
      </w:r>
      <w:r>
        <w:t xml:space="preserve"> </w:t>
      </w:r>
      <m:oMath>
        <m:d>
          <m:dPr>
            <m:begChr m:val="("/>
            <m:endChr m:val=")"/>
            <m:sepChr m:val=""/>
            <m:grow/>
          </m:dPr>
          <m:e>
            <m:r>
              <m:t>n</m:t>
            </m:r>
            <m:r>
              <m:rPr>
                <m:sty m:val="p"/>
              </m:rPr>
              <m:t>+</m:t>
            </m:r>
            <m:r>
              <m:t>1</m:t>
            </m:r>
            <m:r>
              <m:rPr>
                <m:sty m:val="p"/>
              </m:rPr>
              <m:t>−</m:t>
            </m:r>
            <m:r>
              <m:t>q</m:t>
            </m:r>
          </m:e>
        </m:d>
        <m:r>
          <m:rPr>
            <m:sty m:val="p"/>
          </m:rPr>
          <m:t>/</m:t>
        </m:r>
        <m:d>
          <m:dPr>
            <m:begChr m:val="("/>
            <m:endChr m:val=")"/>
            <m:sepChr m:val=""/>
            <m:grow/>
          </m:dPr>
          <m:e>
            <m:r>
              <m:t>n</m:t>
            </m:r>
            <m:r>
              <m:rPr>
                <m:sty m:val="p"/>
              </m:rPr>
              <m:t>+</m:t>
            </m:r>
            <m:r>
              <m:t>1</m:t>
            </m:r>
          </m:e>
        </m:d>
      </m:oMath>
      <w:r>
        <w:t xml:space="preserve">, minimised at</w:t>
      </w:r>
      <w:r>
        <w:t xml:space="preserve"> </w:t>
      </w:r>
      <m:oMath>
        <m:r>
          <m:t>q</m:t>
        </m:r>
        <m:r>
          <m:rPr>
            <m:sty m:val="p"/>
          </m:rPr>
          <m:t>=</m:t>
        </m:r>
        <m:r>
          <m:t>n</m:t>
        </m:r>
      </m:oMath>
      <w:r>
        <w:t xml:space="preserve">. The cost statement follows as in Proposition 1.</w:t>
      </w:r>
      <w:r>
        <w:t xml:space="preserve"> </w:t>
      </w:r>
      <m:oMath>
        <m:r>
          <m:rPr>
            <m:sty m:val="p"/>
          </m:rPr>
          <m:t>▫</m:t>
        </m:r>
      </m:oMath>
    </w:p>
    <w:p>
      <w:pPr>
        <w:pStyle w:val="BodyText"/>
      </w:pPr>
      <w:r>
        <w:t xml:space="preserve">Proposition 2 states the price of a distribution-free certificate. With 32 calibration units and a failure costing fifty planned replacements, any order-statistic level carries an expected excess of at least</w:t>
      </w:r>
      <w:r>
        <w:t xml:space="preserve"> </w:t>
      </w:r>
      <m:oMath>
        <m:r>
          <m:t>49</m:t>
        </m:r>
        <m:r>
          <m:rPr>
            <m:sty m:val="p"/>
          </m:rPr>
          <m:t>/</m:t>
        </m:r>
        <m:r>
          <m:t>33</m:t>
        </m:r>
        <m:r>
          <m:rPr>
            <m:sty m:val="p"/>
          </m:rPr>
          <m:t>≈</m:t>
        </m:r>
        <m:r>
          <m:t>1.5</m:t>
        </m:r>
      </m:oMath>
      <w:r>
        <w:t xml:space="preserve"> </w:t>
      </w:r>
      <w:r>
        <w:t xml:space="preserve">replacement costs per renewal over a policy that never fails. Heuristics that choose levels beyond the largest calibration critical level can do better on a given dataset, but nothing certifies them.</w:t>
      </w:r>
    </w:p>
    <w:p>
      <w:pPr>
        <w:pStyle w:val="BodyText"/>
      </w:pPr>
      <w:r>
        <w:rPr>
          <w:bCs/>
          <w:b/>
        </w:rPr>
        <w:t xml:space="preserve">Remarks.</w:t>
      </w:r>
      <w:r>
        <w:t xml:space="preserve"> </w:t>
      </w:r>
      <w:r>
        <w:t xml:space="preserve">(1) The guarantee is marginal: it averages over the draw of the calibration units. Conditional on a calibration set the realised failure probability is random, with a Beta</w:t>
      </w:r>
      <m:oMath>
        <m:d>
          <m:dPr>
            <m:begChr m:val="("/>
            <m:endChr m:val=")"/>
            <m:sepChr m:val=""/>
            <m:grow/>
          </m:dPr>
          <m:e>
            <m:r>
              <m:t>q</m:t>
            </m:r>
            <m:r>
              <m:rPr>
                <m:sty m:val="p"/>
              </m:rPr>
              <m:t>,</m:t>
            </m:r>
            <m:r>
              <m:t>n</m:t>
            </m:r>
            <m:r>
              <m:rPr>
                <m:sty m:val="p"/>
              </m:rPr>
              <m:t>+</m:t>
            </m:r>
            <m:r>
              <m:t>1</m:t>
            </m:r>
            <m:r>
              <m:rPr>
                <m:sty m:val="p"/>
              </m:rPr>
              <m:t>−</m:t>
            </m:r>
            <m:r>
              <m:t>q</m:t>
            </m:r>
          </m:e>
        </m:d>
      </m:oMath>
      <w:r>
        <w:t xml:space="preserve"> </w:t>
      </w:r>
      <w:r>
        <w:t xml:space="preserve">distribution for continuous</w:t>
      </w:r>
      <w:r>
        <w:t xml:space="preserve"> </w:t>
      </w:r>
      <m:oMath>
        <m:r>
          <m:t>V</m:t>
        </m:r>
      </m:oMath>
      <w:r>
        <w:t xml:space="preserve"> </w:t>
      </w:r>
      <w:r>
        <w:t xml:space="preserve">[23]; a larger</w:t>
      </w:r>
      <w:r>
        <w:t xml:space="preserve"> </w:t>
      </w:r>
      <m:oMath>
        <m:r>
          <m:t>q</m:t>
        </m:r>
      </m:oMath>
      <w:r>
        <w:t xml:space="preserve"> </w:t>
      </w:r>
      <w:r>
        <w:t xml:space="preserve">gives a guarantee with high probability over the calibration draw. (2) The guarantee needs no model of the degradation or of the RUL error; it can be applied to any causal signal and any monotone trigger, including a physically motivated one (Section 7.3). (3) It does not hold when calibration and new units are not exchangeable, for example when the new unit comes from a different production batch; Section 7.4 measures what happens then. (4) Per-cycle conformal intervals do not deliver this guarantee: they control</w:t>
      </w:r>
      <w:r>
        <w:t xml:space="preserve"> </w:t>
      </w:r>
      <m:oMath>
        <m:r>
          <m:t>P</m:t>
        </m:r>
        <m:d>
          <m:dPr>
            <m:begChr m:val="("/>
            <m:endChr m:val=")"/>
            <m:sepChr m:val=""/>
            <m:grow/>
          </m:dPr>
          <m:e>
            <m:sSub>
              <m:e>
                <m:r>
                  <m:t>r</m:t>
                </m:r>
              </m:e>
              <m:sub>
                <m:r>
                  <m:t>t</m:t>
                </m:r>
              </m:sub>
            </m:sSub>
            <m:r>
              <m:rPr>
                <m:sty m:val="p"/>
              </m:rPr>
              <m:t>≥</m:t>
            </m:r>
            <m:sSub>
              <m:e>
                <m:r>
                  <m:rPr>
                    <m:nor/>
                    <m:sty m:val="p"/>
                  </m:rPr>
                  <m:t>LB</m:t>
                </m:r>
              </m:e>
              <m:sub>
                <m:r>
                  <m:t>t</m:t>
                </m:r>
              </m:sub>
            </m:sSub>
          </m:e>
        </m:d>
      </m:oMath>
      <w:r>
        <w:t xml:space="preserve"> </w:t>
      </w:r>
      <w:r>
        <w:t xml:space="preserve">for a cycle drawn independently of the data, whereas the alarm is evaluated at the data-dependent time at which the bound first crosses a level, where the signal is, by selection, at its most optimistic.</w:t>
      </w:r>
    </w:p>
    <w:bookmarkEnd w:id="24"/>
    <w:bookmarkEnd w:id="25"/>
    <w:bookmarkStart w:id="29" w:name="method-the-conformal-notice-alarm"/>
    <w:p>
      <w:pPr>
        <w:pStyle w:val="Heading1"/>
      </w:pPr>
      <w:r>
        <w:t xml:space="preserve">5. Method: the conformal notice alarm</w:t>
      </w:r>
    </w:p>
    <w:p>
      <w:pPr>
        <w:pStyle w:val="FirstParagraph"/>
      </w:pPr>
      <w:r>
        <w:rPr>
          <w:bCs/>
          <w:b/>
        </w:rPr>
        <w:t xml:space="preserve">Algorithm (CNA).</w:t>
      </w:r>
      <w:r>
        <w:t xml:space="preserve"> </w:t>
      </w:r>
      <w:r>
        <w:t xml:space="preserve">Inputs: a causal signal (here the smoothed estimate of a gradient-boosted regressor), debounce</w:t>
      </w:r>
      <w:r>
        <w:t xml:space="preserve"> </w:t>
      </w:r>
      <m:oMath>
        <m:r>
          <m:t>k</m:t>
        </m:r>
      </m:oMath>
      <w:r>
        <w:t xml:space="preserve">, lead time</w:t>
      </w:r>
      <w:r>
        <w:t xml:space="preserve"> </w:t>
      </w:r>
      <m:oMath>
        <m:r>
          <m:rPr>
            <m:sty m:val="p"/>
          </m:rPr>
          <m:t>ℓ</m:t>
        </m:r>
      </m:oMath>
      <w:r>
        <w:t xml:space="preserve">, level</w:t>
      </w:r>
      <w:r>
        <w:t xml:space="preserve"> </w:t>
      </w:r>
      <m:oMath>
        <m:r>
          <m:t>α</m:t>
        </m:r>
      </m:oMath>
      <w:r>
        <w:t xml:space="preserve">, and calibration units disjoint from the units used to fit the signal.</w:t>
      </w:r>
    </w:p>
    <w:p>
      <w:pPr>
        <w:numPr>
          <w:ilvl w:val="0"/>
          <w:numId w:val="1003"/>
        </w:numPr>
        <w:pStyle w:val="Compact"/>
      </w:pPr>
      <w:r>
        <w:t xml:space="preserve">For each calibration unit</w:t>
      </w:r>
      <w:r>
        <w:t xml:space="preserve"> </w:t>
      </w:r>
      <m:oMath>
        <m:r>
          <m:t>i</m:t>
        </m:r>
      </m:oMath>
      <w:r>
        <w:t xml:space="preserve">, compute the debounced running minimum</w:t>
      </w:r>
      <w:r>
        <w:t xml:space="preserve"> </w:t>
      </w:r>
      <m:oMath>
        <m:sSup>
          <m:e>
            <m:r>
              <m:t>ρ</m:t>
            </m:r>
          </m:e>
          <m:sup>
            <m:d>
              <m:dPr>
                <m:begChr m:val="("/>
                <m:endChr m:val=")"/>
                <m:sepChr m:val=""/>
                <m:grow/>
              </m:dPr>
              <m:e>
                <m:r>
                  <m:t>i</m:t>
                </m:r>
              </m:e>
            </m:d>
          </m:sup>
        </m:sSup>
      </m:oMath>
      <w:r>
        <w:t xml:space="preserve"> </w:t>
      </w:r>
      <w:r>
        <w:t xml:space="preserve">of its signal and its critical level</w:t>
      </w:r>
      <w:r>
        <w:t xml:space="preserve"> </w:t>
      </w:r>
      <m:oMath>
        <m:sSub>
          <m:e>
            <m:r>
              <m:t>V</m:t>
            </m:r>
          </m:e>
          <m:sub>
            <m:r>
              <m:t>i</m:t>
            </m:r>
          </m:sub>
        </m:sSub>
        <m:r>
          <m:rPr>
            <m:sty m:val="p"/>
          </m:rPr>
          <m:t>=</m:t>
        </m:r>
        <m:sSubSup>
          <m:e>
            <m:r>
              <m:t>ρ</m:t>
            </m:r>
          </m:e>
          <m:sub>
            <m:sSub>
              <m:e>
                <m:r>
                  <m:t>j</m:t>
                </m:r>
              </m:e>
              <m:sub>
                <m:r>
                  <m:rPr>
                    <m:sty m:val="p"/>
                  </m:rPr>
                  <m:t>ℓ</m:t>
                </m:r>
              </m:sub>
            </m:sSub>
          </m:sub>
          <m:sup>
            <m:d>
              <m:dPr>
                <m:begChr m:val="("/>
                <m:endChr m:val=")"/>
                <m:sepChr m:val=""/>
                <m:grow/>
              </m:dPr>
              <m:e>
                <m:r>
                  <m:t>i</m:t>
                </m:r>
              </m:e>
            </m:d>
          </m:sup>
        </m:sSubSup>
      </m:oMath>
      <w:r>
        <w:t xml:space="preserve">, the value of</w:t>
      </w:r>
      <w:r>
        <w:t xml:space="preserve"> </w:t>
      </w:r>
      <m:oMath>
        <m:r>
          <m:t>ρ</m:t>
        </m:r>
      </m:oMath>
      <w:r>
        <w:t xml:space="preserve"> </w:t>
      </w:r>
      <w:r>
        <w:t xml:space="preserve">at its last row with more than</w:t>
      </w:r>
      <w:r>
        <w:t xml:space="preserve"> </w:t>
      </w:r>
      <m:oMath>
        <m:r>
          <m:rPr>
            <m:sty m:val="p"/>
          </m:rPr>
          <m:t>ℓ</m:t>
        </m:r>
      </m:oMath>
      <w:r>
        <w:t xml:space="preserve"> </w:t>
      </w:r>
      <w:r>
        <w:t xml:space="preserve">cycles left (Lemma 2).</w:t>
      </w:r>
    </w:p>
    <w:p>
      <w:pPr>
        <w:numPr>
          <w:ilvl w:val="0"/>
          <w:numId w:val="1003"/>
        </w:numPr>
        <w:pStyle w:val="Compact"/>
      </w:pPr>
      <w:r>
        <w:t xml:space="preserve">Set</w:t>
      </w:r>
      <w:r>
        <w:t xml:space="preserve"> </w:t>
      </w:r>
      <m:oMath>
        <m:acc>
          <m:accPr>
            <m:chr m:val="̂"/>
          </m:accPr>
          <m:e>
            <m:r>
              <m:t>H</m:t>
            </m:r>
          </m:e>
        </m:acc>
        <m:r>
          <m:rPr>
            <m:sty m:val="p"/>
          </m:rPr>
          <m:t>=</m:t>
        </m:r>
        <m:sSub>
          <m:e>
            <m:r>
              <m:t>V</m:t>
            </m:r>
          </m:e>
          <m:sub>
            <m:d>
              <m:dPr>
                <m:begChr m:val="("/>
                <m:endChr m:val=")"/>
                <m:sepChr m:val=""/>
                <m:grow/>
              </m:dPr>
              <m:e>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e>
            </m:d>
          </m:sub>
        </m:sSub>
      </m:oMath>
      <w:r>
        <w:t xml:space="preserve">.</w:t>
      </w:r>
    </w:p>
    <w:p>
      <w:pPr>
        <w:numPr>
          <w:ilvl w:val="0"/>
          <w:numId w:val="1003"/>
        </w:numPr>
        <w:pStyle w:val="Compact"/>
      </w:pPr>
      <w:r>
        <w:t xml:space="preserve">In service, raise the alarm at the first row at which the signal has been at or below</w:t>
      </w:r>
      <w:r>
        <w:t xml:space="preserve"> </w:t>
      </w:r>
      <m:oMath>
        <m:acc>
          <m:accPr>
            <m:chr m:val="̂"/>
          </m:accPr>
          <m:e>
            <m:r>
              <m:t>H</m:t>
            </m:r>
          </m:e>
        </m:acc>
      </m:oMath>
      <w:r>
        <w:t xml:space="preserve"> </w:t>
      </w:r>
      <w:r>
        <w:t xml:space="preserve">for</w:t>
      </w:r>
      <w:r>
        <w:t xml:space="preserve"> </w:t>
      </w:r>
      <m:oMath>
        <m:r>
          <m:t>k</m:t>
        </m:r>
      </m:oMath>
      <w:r>
        <w:t xml:space="preserve"> </w:t>
      </w:r>
      <w:r>
        <w:t xml:space="preserve">consecutive rows, and schedule the replacement</w:t>
      </w:r>
      <w:r>
        <w:t xml:space="preserve"> </w:t>
      </w:r>
      <m:oMath>
        <m:r>
          <m:rPr>
            <m:sty m:val="p"/>
          </m:rPr>
          <m:t>ℓ</m:t>
        </m:r>
      </m:oMath>
      <w:r>
        <w:t xml:space="preserve"> </w:t>
      </w:r>
      <w:r>
        <w:t xml:space="preserve">cycles later.</w:t>
      </w:r>
    </w:p>
    <w:p>
      <w:pPr>
        <w:pStyle w:val="FirstParagraph"/>
      </w:pPr>
      <w:r>
        <w:t xml:space="preserve">Calibration costs one pass over the calibration series. Fig. 1 illustrates it on FD001.</w:t>
      </w:r>
    </w:p>
    <w:p>
      <w:pPr>
        <w:pStyle w:val="CaptionedFigure"/>
      </w:pPr>
      <w:r>
        <w:drawing>
          <wp:inline>
            <wp:extent cx="5334000" cy="2432901"/>
            <wp:effectExtent b="0" l="0" r="0" t="0"/>
            <wp:docPr descr="Fig. 1. The conformal notice alarm on FD001 (fold 1, lead time 10 cycles). (a) The smoothed estimate of one calibration engine and its debounced running minimum \rho_t; the critical level V is the value of \rho at the last cycle with more than \ell cycles left (dot). (b) Critical levels of the 32 calibration engines and the conformal level \hat H at \alpha = 0.10." title="" id="27" name="Picture"/>
            <a:graphic>
              <a:graphicData uri="http://schemas.openxmlformats.org/drawingml/2006/picture">
                <pic:pic>
                  <pic:nvPicPr>
                    <pic:cNvPr descr="figures/Fig1_method.png" id="28" name="Picture"/>
                    <pic:cNvPicPr>
                      <a:picLocks noChangeArrowheads="1" noChangeAspect="1"/>
                    </pic:cNvPicPr>
                  </pic:nvPicPr>
                  <pic:blipFill>
                    <a:blip r:embed="rId26"/>
                    <a:stretch>
                      <a:fillRect/>
                    </a:stretch>
                  </pic:blipFill>
                  <pic:spPr bwMode="auto">
                    <a:xfrm>
                      <a:off x="0" y="0"/>
                      <a:ext cx="5334000" cy="2432901"/>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The conformal notice alarm on FD001 (fold 1, lead time 10 cycles). (a) The smoothed estimate of one calibration engine and its debounced running minimum</w:t>
      </w:r>
      <w:r>
        <w:t xml:space="preserve"> </w:t>
      </w:r>
      <m:oMath>
        <m:sSub>
          <m:e>
            <m:r>
              <m:t>ρ</m:t>
            </m:r>
          </m:e>
          <m:sub>
            <m:r>
              <m:t>t</m:t>
            </m:r>
          </m:sub>
        </m:sSub>
      </m:oMath>
      <w:r>
        <w:t xml:space="preserve">; the critical level</w:t>
      </w:r>
      <w:r>
        <w:t xml:space="preserve"> </w:t>
      </w:r>
      <m:oMath>
        <m:r>
          <m:t>V</m:t>
        </m:r>
      </m:oMath>
      <w:r>
        <w:t xml:space="preserve"> </w:t>
      </w:r>
      <w:r>
        <w:t xml:space="preserve">is the value of</w:t>
      </w:r>
      <w:r>
        <w:t xml:space="preserve"> </w:t>
      </w:r>
      <m:oMath>
        <m:r>
          <m:t>ρ</m:t>
        </m:r>
      </m:oMath>
      <w:r>
        <w:t xml:space="preserve"> </w:t>
      </w:r>
      <w:r>
        <w:t xml:space="preserve">at the last cycle with more than</w:t>
      </w:r>
      <w:r>
        <w:t xml:space="preserve"> </w:t>
      </w:r>
      <m:oMath>
        <m:r>
          <m:rPr>
            <m:sty m:val="p"/>
          </m:rPr>
          <m:t>ℓ</m:t>
        </m:r>
      </m:oMath>
      <w:r>
        <w:t xml:space="preserve"> </w:t>
      </w:r>
      <w:r>
        <w:t xml:space="preserve">cycles left (dot). (b) Critical levels of the 32 calibration engines and the conformal level</w:t>
      </w:r>
      <w:r>
        <w:t xml:space="preserve"> </w:t>
      </w:r>
      <m:oMath>
        <m:acc>
          <m:accPr>
            <m:chr m:val="̂"/>
          </m:accPr>
          <m:e>
            <m:r>
              <m:t>H</m:t>
            </m:r>
          </m:e>
        </m:acc>
      </m:oMath>
      <w:r>
        <w:t xml:space="preserve"> </w:t>
      </w:r>
      <w:r>
        <w:t xml:space="preserve">at</w:t>
      </w:r>
      <w:r>
        <w:t xml:space="preserve"> </w:t>
      </w:r>
      <m:oMath>
        <m:r>
          <m:t>α</m:t>
        </m:r>
      </m:oMath>
      <w:r>
        <w:t xml:space="preserve"> </w:t>
      </w:r>
      <w:r>
        <w:t xml:space="preserve">= 0.10.</w:t>
      </w:r>
    </w:p>
    <w:p>
      <w:pPr>
        <w:pStyle w:val="BodyText"/>
      </w:pPr>
      <w:r>
        <w:rPr>
          <w:bCs/>
          <w:b/>
        </w:rPr>
        <w:t xml:space="preserve">Decision-aware variant (CNA-DA).</w:t>
      </w:r>
      <w:r>
        <w:t xml:space="preserve"> </w:t>
      </w:r>
      <w:r>
        <w:t xml:space="preserve">When a cost ratio</w:t>
      </w:r>
      <w:r>
        <w:t xml:space="preserve"> </w:t>
      </w:r>
      <m:oMath>
        <m:r>
          <m:t>ρ</m:t>
        </m:r>
      </m:oMath>
      <w:r>
        <w:t xml:space="preserve"> </w:t>
      </w:r>
      <w:r>
        <w:t xml:space="preserve">is available, the operator fixes a ceiling</w:t>
      </w:r>
      <w:r>
        <w:t xml:space="preserve"> </w:t>
      </w:r>
      <m:oMath>
        <m:sSub>
          <m:e>
            <m:r>
              <m:t>α</m:t>
            </m:r>
          </m:e>
          <m:sub>
            <m:r>
              <m:rPr>
                <m:sty m:val="p"/>
              </m:rPr>
              <m:t>max</m:t>
            </m:r>
          </m:sub>
        </m:sSub>
      </m:oMath>
      <w:r>
        <w:t xml:space="preserve"> </w:t>
      </w:r>
      <w:r>
        <w:t xml:space="preserve">on the probability of failure before replacement and lets the data choose the warning level among the admissible order statistics</w:t>
      </w:r>
      <w:r>
        <w:t xml:space="preserve"> </w:t>
      </w:r>
      <m:oMath>
        <m:sSub>
          <m:e>
            <m:r>
              <m:t>V</m:t>
            </m:r>
          </m:e>
          <m:sub>
            <m:d>
              <m:dPr>
                <m:begChr m:val="("/>
                <m:endChr m:val=")"/>
                <m:sepChr m:val=""/>
                <m:grow/>
              </m:dPr>
              <m:e>
                <m:r>
                  <m:t>q</m:t>
                </m:r>
              </m:e>
            </m:d>
          </m:sub>
        </m:sSub>
      </m:oMath>
      <w:r>
        <w:t xml:space="preserve">,</w:t>
      </w:r>
      <w:r>
        <w:t xml:space="preserve"> </w:t>
      </w:r>
      <m:oMath>
        <m:r>
          <m:t>q</m:t>
        </m:r>
        <m:r>
          <m:rPr>
            <m:sty m:val="p"/>
          </m:rPr>
          <m:t>≥</m:t>
        </m:r>
        <m:sSub>
          <m:e>
            <m:r>
              <m:t>q</m:t>
            </m:r>
          </m:e>
          <m:sub>
            <m:r>
              <m:t>0</m:t>
            </m:r>
          </m:sub>
        </m:sSub>
        <m:r>
          <m:rPr>
            <m:sty m:val="p"/>
          </m:rPr>
          <m:t>=</m:t>
        </m:r>
        <m:r>
          <m:rPr>
            <m:sty m:val="p"/>
          </m:rPr>
          <m:t>⌈</m:t>
        </m:r>
        <m:d>
          <m:dPr>
            <m:begChr m:val="("/>
            <m:endChr m:val=")"/>
            <m:sepChr m:val=""/>
            <m:grow/>
          </m:dPr>
          <m:e>
            <m:r>
              <m:t>n</m:t>
            </m:r>
            <m:r>
              <m:rPr>
                <m:sty m:val="p"/>
              </m:rPr>
              <m:t>+</m:t>
            </m:r>
            <m:r>
              <m:t>1</m:t>
            </m:r>
          </m:e>
        </m:d>
        <m:d>
          <m:dPr>
            <m:begChr m:val="("/>
            <m:endChr m:val=")"/>
            <m:sepChr m:val=""/>
            <m:grow/>
          </m:dPr>
          <m:e>
            <m:r>
              <m:t>1</m:t>
            </m:r>
            <m:r>
              <m:rPr>
                <m:sty m:val="p"/>
              </m:rPr>
              <m:t>−</m:t>
            </m:r>
            <m:sSub>
              <m:e>
                <m:r>
                  <m:t>α</m:t>
                </m:r>
              </m:e>
              <m:sub>
                <m:r>
                  <m:rPr>
                    <m:sty m:val="p"/>
                  </m:rPr>
                  <m:t>max</m:t>
                </m:r>
              </m:sub>
            </m:sSub>
          </m:e>
        </m:d>
        <m:r>
          <m:rPr>
            <m:sty m:val="p"/>
          </m:rPr>
          <m:t>⌉</m:t>
        </m:r>
      </m:oMath>
      <w:r>
        <w:t xml:space="preserve">, by minimising the cost bound of Proposition 1 with the calibration estimate of the cycles of use:</w:t>
      </w:r>
    </w:p>
    <w:p>
      <w:pPr>
        <w:pStyle w:val="BodyText"/>
      </w:pPr>
      <m:oMathPara>
        <m:oMathParaPr>
          <m:jc m:val="center"/>
        </m:oMathParaPr>
        <m:oMath>
          <m:acc>
            <m:accPr>
              <m:chr m:val="̂"/>
            </m:accPr>
            <m:e>
              <m:r>
                <m:t>q</m:t>
              </m:r>
            </m:e>
          </m:acc>
          <m:r>
            <m:rPr>
              <m:sty m:val="p"/>
            </m:rPr>
            <m:t>=</m:t>
          </m:r>
          <m:r>
            <m:rPr>
              <m:sty m:val="p"/>
            </m:rPr>
            <m:t>arg</m:t>
          </m:r>
          <m:limLow>
            <m:e>
              <m:r>
                <m:rPr>
                  <m:sty m:val="p"/>
                </m:rPr>
                <m:t>min</m:t>
              </m:r>
            </m:e>
            <m:lim>
              <m:r>
                <m:t>q</m:t>
              </m:r>
              <m:r>
                <m:rPr>
                  <m:sty m:val="p"/>
                </m:rPr>
                <m:t>≥</m:t>
              </m:r>
              <m:sSub>
                <m:e>
                  <m:r>
                    <m:t>q</m:t>
                  </m:r>
                </m:e>
                <m:sub>
                  <m:r>
                    <m:t>0</m:t>
                  </m:r>
                </m:sub>
              </m:sSub>
            </m:lim>
          </m:limLow>
          <m:f>
            <m:fPr>
              <m:type m:val="bar"/>
            </m:fPr>
            <m:num>
              <m:r>
                <m:t>1</m:t>
              </m:r>
              <m:r>
                <m:rPr>
                  <m:sty m:val="p"/>
                </m:rPr>
                <m:t>+</m:t>
              </m:r>
              <m:d>
                <m:dPr>
                  <m:begChr m:val="("/>
                  <m:endChr m:val=")"/>
                  <m:sepChr m:val=""/>
                  <m:grow/>
                </m:dPr>
                <m:e>
                  <m:r>
                    <m:t>ρ</m:t>
                  </m:r>
                  <m:r>
                    <m:rPr>
                      <m:sty m:val="p"/>
                    </m:rPr>
                    <m:t>−</m:t>
                  </m:r>
                  <m:r>
                    <m:t>1</m:t>
                  </m:r>
                </m:e>
              </m:d>
              <m:d>
                <m:dPr>
                  <m:begChr m:val="("/>
                  <m:endChr m:val=")"/>
                  <m:sepChr m:val=""/>
                  <m:grow/>
                </m:dPr>
                <m:e>
                  <m:r>
                    <m:t>n</m:t>
                  </m:r>
                  <m:r>
                    <m:rPr>
                      <m:sty m:val="p"/>
                    </m:rPr>
                    <m:t>+</m:t>
                  </m:r>
                  <m:r>
                    <m:t>1</m:t>
                  </m:r>
                  <m:r>
                    <m:rPr>
                      <m:sty m:val="p"/>
                    </m:rPr>
                    <m:t>−</m:t>
                  </m:r>
                  <m:r>
                    <m:t>q</m:t>
                  </m:r>
                </m:e>
              </m:d>
              <m:r>
                <m:rPr>
                  <m:sty m:val="p"/>
                </m:rPr>
                <m:t>/</m:t>
              </m:r>
              <m:d>
                <m:dPr>
                  <m:begChr m:val="("/>
                  <m:endChr m:val=")"/>
                  <m:sepChr m:val=""/>
                  <m:grow/>
                </m:dPr>
                <m:e>
                  <m:r>
                    <m:t>n</m:t>
                  </m:r>
                  <m:r>
                    <m:rPr>
                      <m:sty m:val="p"/>
                    </m:rPr>
                    <m:t>+</m:t>
                  </m:r>
                  <m:r>
                    <m:t>1</m:t>
                  </m:r>
                </m:e>
              </m:d>
            </m:num>
            <m:den>
              <m:f>
                <m:fPr>
                  <m:type m:val="bar"/>
                </m:fPr>
                <m:num>
                  <m:r>
                    <m:t>1</m:t>
                  </m:r>
                </m:num>
                <m:den>
                  <m:r>
                    <m:t>n</m:t>
                  </m:r>
                </m:den>
              </m:f>
              <m:nary>
                <m:naryPr>
                  <m:chr m:val="∑"/>
                  <m:limLoc m:val="undOvr"/>
                  <m:subHide m:val="off"/>
                  <m:supHide m:val="off"/>
                </m:naryPr>
                <m:sub>
                  <m:r>
                    <m:t>i</m:t>
                  </m:r>
                  <m:r>
                    <m:rPr>
                      <m:sty m:val="p"/>
                    </m:rPr>
                    <m:t>=</m:t>
                  </m:r>
                  <m:r>
                    <m:t>1</m:t>
                  </m:r>
                </m:sub>
                <m:sup>
                  <m:r>
                    <m:t>n</m:t>
                  </m:r>
                </m:sup>
                <m:e>
                  <m:sSub>
                    <m:e>
                      <m:r>
                        <m:rPr>
                          <m:nor/>
                          <m:sty m:val="p"/>
                        </m:rPr>
                        <m:t>use</m:t>
                      </m:r>
                    </m:e>
                    <m:sub>
                      <m:r>
                        <m:t>i</m:t>
                      </m:r>
                    </m:sub>
                  </m:sSub>
                </m:e>
              </m:nary>
              <m:d>
                <m:dPr>
                  <m:begChr m:val="("/>
                  <m:endChr m:val=")"/>
                  <m:sepChr m:val=""/>
                  <m:grow/>
                </m:dPr>
                <m:e>
                  <m:sSub>
                    <m:e>
                      <m:r>
                        <m:t>V</m:t>
                      </m:r>
                    </m:e>
                    <m:sub>
                      <m:d>
                        <m:dPr>
                          <m:begChr m:val="("/>
                          <m:endChr m:val=")"/>
                          <m:sepChr m:val=""/>
                          <m:grow/>
                        </m:dPr>
                        <m:e>
                          <m:r>
                            <m:t>q</m:t>
                          </m:r>
                        </m:e>
                      </m:d>
                    </m:sub>
                  </m:sSub>
                </m:e>
              </m:d>
            </m:den>
          </m:f>
          <m:r>
            <m:rPr>
              <m:sty m:val="p"/>
            </m:rPr>
            <m:t>.</m:t>
          </m:r>
        </m:oMath>
      </m:oMathPara>
    </w:p>
    <w:p>
      <w:pPr>
        <w:pStyle w:val="FirstParagraph"/>
      </w:pPr>
      <w:r>
        <w:t xml:space="preserve">The numerator replaces the empirical failure rate by its conformal bound, which is never zero: with</w:t>
      </w:r>
      <w:r>
        <w:t xml:space="preserve"> </w:t>
      </w:r>
      <m:oMath>
        <m:r>
          <m:t>q</m:t>
        </m:r>
        <m:r>
          <m:rPr>
            <m:sty m:val="p"/>
          </m:rPr>
          <m:t>=</m:t>
        </m:r>
        <m:r>
          <m:t>n</m:t>
        </m:r>
      </m:oMath>
      <w:r>
        <w:t xml:space="preserve"> </w:t>
      </w:r>
      <w:r>
        <w:t xml:space="preserve">it is</w:t>
      </w:r>
      <w:r>
        <w:t xml:space="preserve"> </w:t>
      </w:r>
      <m:oMath>
        <m:r>
          <m:t>1</m:t>
        </m:r>
        <m:r>
          <m:rPr>
            <m:sty m:val="p"/>
          </m:rPr>
          <m:t>/</m:t>
        </m:r>
        <m:d>
          <m:dPr>
            <m:begChr m:val="("/>
            <m:endChr m:val=")"/>
            <m:sepChr m:val=""/>
            <m:grow/>
          </m:dPr>
          <m:e>
            <m:r>
              <m:t>n</m:t>
            </m:r>
            <m:r>
              <m:rPr>
                <m:sty m:val="p"/>
              </m:rPr>
              <m:t>+</m:t>
            </m:r>
            <m:r>
              <m:t>1</m:t>
            </m:r>
          </m:e>
        </m:d>
      </m:oMath>
      <w:r>
        <w:t xml:space="preserve">, not 0. This is the difference from plain empirical cost minimisation, which sees no failure among calibration units at the edge of the feasible region and was fragile in the original study. By Corollary 1 the failure probability of CNA-DA is at most</w:t>
      </w:r>
      <w:r>
        <w:t xml:space="preserve"> </w:t>
      </w:r>
      <m:oMath>
        <m:sSub>
          <m:e>
            <m:r>
              <m:t>α</m:t>
            </m:r>
          </m:e>
          <m:sub>
            <m:r>
              <m:rPr>
                <m:sty m:val="p"/>
              </m:rPr>
              <m:t>max</m:t>
            </m:r>
          </m:sub>
        </m:sSub>
      </m:oMath>
      <w:r>
        <w:t xml:space="preserve"> </w:t>
      </w:r>
      <w:r>
        <w:t xml:space="preserve">whatever</w:t>
      </w:r>
      <w:r>
        <w:t xml:space="preserve"> </w:t>
      </w:r>
      <m:oMath>
        <m:r>
          <m:t>ρ</m:t>
        </m:r>
      </m:oMath>
      <w:r>
        <w:t xml:space="preserve"> </w:t>
      </w:r>
      <w:r>
        <w:t xml:space="preserve">is.</w:t>
      </w:r>
    </w:p>
    <w:p>
      <w:pPr>
        <w:pStyle w:val="BodyText"/>
      </w:pPr>
      <w:r>
        <w:rPr>
          <w:bCs/>
          <w:b/>
        </w:rPr>
        <w:t xml:space="preserve">Why calibrate notice rather than the interval.</w:t>
      </w:r>
      <w:r>
        <w:t xml:space="preserve"> </w:t>
      </w:r>
      <w:r>
        <w:t xml:space="preserve">A per-cycle conformal lower bound</w:t>
      </w:r>
      <w:r>
        <w:t xml:space="preserve"> </w:t>
      </w:r>
      <m:oMath>
        <m:sSub>
          <m:e>
            <m:r>
              <m:rPr>
                <m:sty m:val="p"/>
              </m:rPr>
              <m:t>L</m:t>
            </m:r>
            <m:r>
              <m:rPr>
                <m:sty m:val="p"/>
              </m:rPr>
              <m:t>B</m:t>
            </m:r>
          </m:e>
          <m:sub>
            <m:r>
              <m:t>t</m:t>
            </m:r>
          </m:sub>
        </m:sSub>
        <m:r>
          <m:rPr>
            <m:sty m:val="p"/>
          </m:rPr>
          <m:t>=</m:t>
        </m:r>
        <m:sSub>
          <m:e>
            <m:r>
              <m:t>s</m:t>
            </m:r>
          </m:e>
          <m:sub>
            <m:r>
              <m:t>t</m:t>
            </m:r>
          </m:sub>
        </m:sSub>
        <m:r>
          <m:rPr>
            <m:sty m:val="p"/>
          </m:rPr>
          <m:t>−</m:t>
        </m:r>
        <m:sSub>
          <m:e>
            <m:r>
              <m:t>q</m:t>
            </m:r>
          </m:e>
          <m:sub>
            <m:r>
              <m:t>α</m:t>
            </m:r>
          </m:sub>
        </m:sSub>
      </m:oMath>
      <w:r>
        <w:t xml:space="preserve">, with</w:t>
      </w:r>
      <w:r>
        <w:t xml:space="preserve"> </w:t>
      </w:r>
      <m:oMath>
        <m:sSub>
          <m:e>
            <m:r>
              <m:t>q</m:t>
            </m:r>
          </m:e>
          <m:sub>
            <m:r>
              <m:t>α</m:t>
            </m:r>
          </m:sub>
        </m:sSub>
      </m:oMath>
      <w:r>
        <w:t xml:space="preserve"> </w:t>
      </w:r>
      <w:r>
        <w:t xml:space="preserve">the conformal quantile of</w:t>
      </w:r>
      <w:r>
        <w:t xml:space="preserve"> </w:t>
      </w:r>
      <m:oMath>
        <m:sSub>
          <m:e>
            <m:r>
              <m:t>s</m:t>
            </m:r>
          </m:e>
          <m:sub>
            <m:r>
              <m:t>t</m:t>
            </m:r>
          </m:sub>
        </m:sSub>
        <m:r>
          <m:rPr>
            <m:sty m:val="p"/>
          </m:rPr>
          <m:t>−</m:t>
        </m:r>
        <m:r>
          <m:rPr>
            <m:sty m:val="p"/>
          </m:rPr>
          <m:t>min</m:t>
        </m:r>
        <m:d>
          <m:dPr>
            <m:begChr m:val="("/>
            <m:endChr m:val=")"/>
            <m:sepChr m:val=""/>
            <m:grow/>
          </m:dPr>
          <m:e>
            <m:sSub>
              <m:e>
                <m:r>
                  <m:t>r</m:t>
                </m:r>
              </m:e>
              <m:sub>
                <m:r>
                  <m:t>t</m:t>
                </m:r>
              </m:sub>
            </m:sSub>
            <m:r>
              <m:rPr>
                <m:sty m:val="p"/>
              </m:rPr>
              <m:t>,</m:t>
            </m:r>
            <m:r>
              <m:t>c</m:t>
            </m:r>
          </m:e>
        </m:d>
      </m:oMath>
      <w:r>
        <w:t xml:space="preserve"> </w:t>
      </w:r>
      <w:r>
        <w:t xml:space="preserve">over calibration rows, gives</w:t>
      </w:r>
      <w:r>
        <w:t xml:space="preserve"> </w:t>
      </w:r>
      <m:oMath>
        <m:r>
          <m:t>P</m:t>
        </m:r>
        <m:d>
          <m:dPr>
            <m:begChr m:val="("/>
            <m:endChr m:val=")"/>
            <m:sepChr m:val=""/>
            <m:grow/>
          </m:dPr>
          <m:e>
            <m:sSub>
              <m:e>
                <m:r>
                  <m:t>r</m:t>
                </m:r>
              </m:e>
              <m:sub>
                <m:r>
                  <m:t>t</m:t>
                </m:r>
              </m:sub>
            </m:sSub>
            <m:r>
              <m:rPr>
                <m:sty m:val="p"/>
              </m:rPr>
              <m:t>≥</m:t>
            </m:r>
            <m:sSub>
              <m:e>
                <m:r>
                  <m:rPr>
                    <m:sty m:val="p"/>
                  </m:rPr>
                  <m:t>L</m:t>
                </m:r>
                <m:r>
                  <m:rPr>
                    <m:sty m:val="p"/>
                  </m:rPr>
                  <m:t>B</m:t>
                </m:r>
              </m:e>
              <m:sub>
                <m:r>
                  <m:t>t</m:t>
                </m:r>
              </m:sub>
            </m:sSub>
          </m:e>
        </m:d>
        <m:r>
          <m:rPr>
            <m:sty m:val="p"/>
          </m:rPr>
          <m:t>≥</m:t>
        </m:r>
        <m:r>
          <m:t>1</m:t>
        </m:r>
        <m:r>
          <m:rPr>
            <m:sty m:val="p"/>
          </m:rPr>
          <m:t>−</m:t>
        </m:r>
        <m:r>
          <m:t>α</m:t>
        </m:r>
      </m:oMath>
      <w:r>
        <w:t xml:space="preserve"> </w:t>
      </w:r>
      <w:r>
        <w:t xml:space="preserve">for a row drawn at random. The natural alarm</w:t>
      </w:r>
      <w:r>
        <w:t xml:space="preserve"> </w:t>
      </w:r>
      <w:r>
        <w:t xml:space="preserve">“</w:t>
      </w:r>
      <w:r>
        <w:t xml:space="preserve">act when</w:t>
      </w:r>
      <w:r>
        <w:t xml:space="preserve"> </w:t>
      </w:r>
      <m:oMath>
        <m:sSub>
          <m:e>
            <m:r>
              <m:rPr>
                <m:sty m:val="p"/>
              </m:rPr>
              <m:t>L</m:t>
            </m:r>
            <m:r>
              <m:rPr>
                <m:sty m:val="p"/>
              </m:rPr>
              <m:t>B</m:t>
            </m:r>
          </m:e>
          <m:sub>
            <m:r>
              <m:t>t</m:t>
            </m:r>
          </m:sub>
        </m:sSub>
        <m:r>
          <m:rPr>
            <m:sty m:val="p"/>
          </m:rPr>
          <m:t>≤</m:t>
        </m:r>
        <m:r>
          <m:rPr>
            <m:sty m:val="p"/>
          </m:rPr>
          <m:t>ℓ</m:t>
        </m:r>
        <m:r>
          <m:rPr>
            <m:sty m:val="p"/>
          </m:rPr>
          <m:t>+</m:t>
        </m:r>
        <m:r>
          <m:t>1</m:t>
        </m:r>
      </m:oMath>
      <w:r>
        <w:t xml:space="preserve">”</w:t>
      </w:r>
      <w:r>
        <w:t xml:space="preserve"> </w:t>
      </w:r>
      <w:r>
        <w:t xml:space="preserve">is a threshold trigger at level</w:t>
      </w:r>
      <w:r>
        <w:t xml:space="preserve"> </w:t>
      </w:r>
      <m:oMath>
        <m:r>
          <m:t>H</m:t>
        </m:r>
        <m:r>
          <m:rPr>
            <m:sty m:val="p"/>
          </m:rPr>
          <m:t>=</m:t>
        </m:r>
        <m:r>
          <m:rPr>
            <m:sty m:val="p"/>
          </m:rPr>
          <m:t>ℓ</m:t>
        </m:r>
        <m:r>
          <m:rPr>
            <m:sty m:val="p"/>
          </m:rPr>
          <m:t>+</m:t>
        </m:r>
        <m:r>
          <m:t>1</m:t>
        </m:r>
        <m:r>
          <m:rPr>
            <m:sty m:val="p"/>
          </m:rPr>
          <m:t>+</m:t>
        </m:r>
        <m:sSub>
          <m:e>
            <m:r>
              <m:t>q</m:t>
            </m:r>
          </m:e>
          <m:sub>
            <m:r>
              <m:t>α</m:t>
            </m:r>
          </m:sub>
        </m:sSub>
      </m:oMath>
      <w:r>
        <w:t xml:space="preserve"> </w:t>
      </w:r>
      <w:r>
        <w:t xml:space="preserve">on the same signal, so it belongs to the same family as CNA and differs only in how the level is calibrated. We use it as the direct comparator (LB-all, and LB-near with rows</w:t>
      </w:r>
      <w:r>
        <w:t xml:space="preserve"> </w:t>
      </w:r>
      <m:oMath>
        <m:sSub>
          <m:e>
            <m:r>
              <m:t>r</m:t>
            </m:r>
          </m:e>
          <m:sub>
            <m:r>
              <m:t>t</m:t>
            </m:r>
          </m:sub>
        </m:sSub>
        <m:r>
          <m:rPr>
            <m:sty m:val="p"/>
          </m:rPr>
          <m:t>≤</m:t>
        </m:r>
        <m:r>
          <m:t>c</m:t>
        </m:r>
      </m:oMath>
      <w:r>
        <w:t xml:space="preserve"> </w:t>
      </w:r>
      <w:r>
        <w:t xml:space="preserve">only).</w:t>
      </w:r>
    </w:p>
    <w:bookmarkEnd w:id="29"/>
    <w:bookmarkStart w:id="34" w:name="experimental-design"/>
    <w:p>
      <w:pPr>
        <w:pStyle w:val="Heading1"/>
      </w:pPr>
      <w:r>
        <w:t xml:space="preserve">6. Experimental design</w:t>
      </w:r>
    </w:p>
    <w:p>
      <w:pPr>
        <w:pStyle w:val="FirstParagraph"/>
      </w:pPr>
      <w:r>
        <w:t xml:space="preserve">The protocol (hypotheses H1–H5, datasets, policies, metrics and decision rules) was written and hashed with SHA-256 before the final experiments (</w:t>
      </w:r>
      <w:r>
        <w:rPr>
          <w:rStyle w:val="VerbatimChar"/>
        </w:rPr>
        <w:t xml:space="preserve">protocol.md</w:t>
      </w:r>
      <w:r>
        <w:t xml:space="preserve">, hash</w:t>
      </w:r>
      <w:r>
        <w:t xml:space="preserve"> </w:t>
      </w:r>
      <w:r>
        <w:rPr>
          <w:rStyle w:val="VerbatimChar"/>
        </w:rPr>
        <w:t xml:space="preserve">4eddd0ed…fe281</w:t>
      </w:r>
      <w:r>
        <w:t xml:space="preserve">). The hash is not a registry preregistration; it shows that the file has not changed since, and its timing rests on the repository history. The code had been smoke-tested on one PHM08 fold before hashing.</w:t>
      </w:r>
    </w:p>
    <w:bookmarkStart w:id="30" w:name="data"/>
    <w:p>
      <w:pPr>
        <w:pStyle w:val="Heading2"/>
      </w:pPr>
      <w:r>
        <w:t xml:space="preserve">6.1 Data</w:t>
      </w:r>
    </w:p>
    <w:p>
      <w:pPr>
        <w:pStyle w:val="FirstParagraph"/>
      </w:pPr>
      <w:r>
        <w:t xml:space="preserve">We use the PHM08 training engines (218; the development dataset of the original study), the C-MAPSS FD001–FD004 training sets (100, 260, 100, 249 engines) [1], N-CMAPSS reduced to one row per flight (99 engines in nine subsets, six temperature and speed channels) [24], and 123 lithium-ion cells of Severson et al. [25] in three batches (36, 43, 44 cells; end of life at 80 % of nominal capacity), aggregated into blocks of 3 cycles fixed a priori. Engine datasets are simulations from one simulator family; the battery data are laboratory measurements. The 17 PRONOSTIA bearings [26] of the original study are excluded: with at most about six calibration bearings per split,</w:t>
      </w:r>
      <w:r>
        <w:t xml:space="preserve"> </w:t>
      </w:r>
      <m:oMath>
        <m:r>
          <m:t>α</m:t>
        </m:r>
        <m:r>
          <m:rPr>
            <m:sty m:val="p"/>
          </m:rPr>
          <m:t>≤</m:t>
        </m:r>
        <m:r>
          <m:t>0.10</m:t>
        </m:r>
      </m:oMath>
      <w:r>
        <w:t xml:space="preserve"> </w:t>
      </w:r>
      <w:r>
        <w:t xml:space="preserve">is not attainable (</w:t>
      </w:r>
      <m:oMath>
        <m:r>
          <m:t>α</m:t>
        </m:r>
        <m:r>
          <m:rPr>
            <m:sty m:val="p"/>
          </m:rPr>
          <m:t>≥</m:t>
        </m:r>
        <m:r>
          <m:t>1</m:t>
        </m:r>
        <m:r>
          <m:rPr>
            <m:sty m:val="p"/>
          </m:rPr>
          <m:t>/</m:t>
        </m:r>
        <m:r>
          <m:t>7</m:t>
        </m:r>
      </m:oMath>
      <w:r>
        <w:t xml:space="preserve">). Their earlier result (0 of 17 correct alarms) is a prior result of the original study, not re-run.</w:t>
      </w:r>
    </w:p>
    <w:bookmarkEnd w:id="30"/>
    <w:bookmarkStart w:id="31" w:name="splits-and-information"/>
    <w:p>
      <w:pPr>
        <w:pStyle w:val="Heading2"/>
      </w:pPr>
      <w:r>
        <w:t xml:space="preserve">6.2 Splits and information</w:t>
      </w:r>
    </w:p>
    <w:p>
      <w:pPr>
        <w:pStyle w:val="FirstParagraph"/>
      </w:pPr>
      <w:r>
        <w:t xml:space="preserve">Outer splits are five-fold cross-validation by unit (seed 2026), in which test units are exchangeable with training units, and, for transfer, leave-one-batch-out on the battery cells and leave-one-subset-out on N-CMAPSS. Inside each outer training set, 60 % of the units (proper training) fit the normalisation and the regressors, and the other 40 % (calibration) are used for every selection, tuning and calibration step of every policy; outer test units are scored once. This split is repeated three times with different seeds; repetition 0 is primary. The capacity-based battery policies fit nothing and use all outer training cells. Disjointness of proper-training, calibration and test units is asserted in the code; the features at row</w:t>
      </w:r>
      <w:r>
        <w:t xml:space="preserve"> </w:t>
      </w:r>
      <m:oMath>
        <m:r>
          <m:t>t</m:t>
        </m:r>
      </m:oMath>
      <w:r>
        <w:t xml:space="preserve"> </w:t>
      </w:r>
      <w:r>
        <w:t xml:space="preserve">use rows</w:t>
      </w:r>
      <w:r>
        <w:t xml:space="preserve"> </w:t>
      </w:r>
      <m:oMath>
        <m:r>
          <m:rPr>
            <m:sty m:val="p"/>
          </m:rPr>
          <m:t>≤</m:t>
        </m:r>
        <m:r>
          <m:t>t</m:t>
        </m:r>
      </m:oMath>
      <w:r>
        <w:t xml:space="preserve"> </w:t>
      </w:r>
      <w:r>
        <w:t xml:space="preserve">only; no test life enters any setting.</w:t>
      </w:r>
    </w:p>
    <w:bookmarkEnd w:id="31"/>
    <w:bookmarkStart w:id="32" w:name="policies"/>
    <w:p>
      <w:pPr>
        <w:pStyle w:val="Heading2"/>
      </w:pPr>
      <w:r>
        <w:t xml:space="preserve">6.3 Policies</w:t>
      </w:r>
    </w:p>
    <w:p>
      <w:pPr>
        <w:pStyle w:val="FirstParagraph"/>
      </w:pPr>
      <w:r>
        <w:t xml:space="preserve">The instrument is the regressor of the original study: histogram gradient boosting with absolute-error loss (500 iterations, learning rate 0.05, 31 leaves, ≥ 40 samples per leaf) on causal features of regime-normalised sensors (early-life baseline, exponentially weighted means, local slopes, age), target</w:t>
      </w:r>
      <w:r>
        <w:t xml:space="preserve"> </w:t>
      </w:r>
      <m:oMath>
        <m:r>
          <m:rPr>
            <m:sty m:val="p"/>
          </m:rPr>
          <m:t>min</m:t>
        </m:r>
        <m:d>
          <m:dPr>
            <m:begChr m:val="("/>
            <m:endChr m:val=")"/>
            <m:sepChr m:val=""/>
            <m:grow/>
          </m:dPr>
          <m:e>
            <m:r>
              <m:t>r</m:t>
            </m:r>
            <m:r>
              <m:rPr>
                <m:sty m:val="p"/>
              </m:rPr>
              <m:t>,</m:t>
            </m:r>
            <m:r>
              <m:t>c</m:t>
            </m:r>
          </m:e>
        </m:d>
      </m:oMath>
      <w:r>
        <w:t xml:space="preserve"> </w:t>
      </w:r>
      <w:r>
        <w:t xml:space="preserve">[27]. Table 1 lists the policies. CNA uses settings fixed a priori (cap 60 cycles, battery 180; span 3; debounce 2), so that no selection touches the calibration units before the conformal step.</w:t>
      </w:r>
    </w:p>
    <w:p>
      <w:pPr>
        <w:pStyle w:val="TableCaption"/>
      </w:pPr>
      <w:r>
        <w:rPr>
          <w:bCs/>
          <w:b/>
        </w:rPr>
        <w:t xml:space="preserve">Table 1.</w:t>
      </w:r>
      <w:r>
        <w:t xml:space="preserve"> </w:t>
      </w:r>
      <w:r>
        <w:t xml:space="preserve">Policies compared. All settings of learned policies are selected on calibration units; the regressors are fitted on proper-training units. LB: lower bound; P1: policy 1 of Kamariotis et al.; 1-SE: one-standard-error rule.</w:t>
      </w:r>
    </w:p>
    <w:tbl>
      <w:tblPr>
        <w:tblStyle w:val="Table"/>
        <w:tblW w:type="pct" w:w="5000"/>
        <w:tblLook w:firstRow="1" w:lastRow="0" w:firstColumn="0" w:lastColumn="0" w:noHBand="0" w:noVBand="0" w:val="0020"/>
        <w:jc w:val="start"/>
        <w:tblCaption w:val="Table 1. Policies compared. All settings of learned policies are selected on calibration units; the regressors are fitted on proper-training units. LB: lower bound; P1: policy 1 of Kamariotis et al.; 1-SE: one-standard-error rule."/>
      </w:tblPr>
      <w:tblGrid>
        <w:gridCol w:w="1980"/>
        <w:gridCol w:w="1980"/>
        <w:gridCol w:w="1980"/>
        <w:gridCol w:w="1980"/>
      </w:tblGrid>
      <w:tr>
        <w:trPr>
          <w:tblHeader w:val="true"/>
        </w:trPr>
        <w:tc>
          <w:tcPr/>
          <w:p>
            <w:pPr>
              <w:pStyle w:val="Compact"/>
              <w:jc w:val="left"/>
            </w:pPr>
            <w:r>
              <w:t xml:space="preserve">Policy</w:t>
            </w:r>
          </w:p>
        </w:tc>
        <w:tc>
          <w:tcPr/>
          <w:p>
            <w:pPr>
              <w:pStyle w:val="Compact"/>
              <w:jc w:val="left"/>
            </w:pPr>
            <w:r>
              <w:t xml:space="preserve">Signal and trigger</w:t>
            </w:r>
          </w:p>
        </w:tc>
        <w:tc>
          <w:tcPr/>
          <w:p>
            <w:pPr>
              <w:pStyle w:val="Compact"/>
              <w:jc w:val="left"/>
            </w:pPr>
            <w:r>
              <w:t xml:space="preserve">Selected on calibration units</w:t>
            </w:r>
          </w:p>
        </w:tc>
        <w:tc>
          <w:tcPr/>
          <w:p>
            <w:pPr>
              <w:pStyle w:val="Compact"/>
              <w:jc w:val="left"/>
            </w:pPr>
            <w:r>
              <w:t xml:space="preserve">Guarantee</w:t>
            </w:r>
          </w:p>
        </w:tc>
      </w:tr>
      <w:tr>
        <w:tc>
          <w:tcPr/>
          <w:p>
            <w:pPr>
              <w:pStyle w:val="Compact"/>
              <w:jc w:val="left"/>
            </w:pPr>
            <w:r>
              <w:t xml:space="preserve">CNA (</w:t>
            </w:r>
            <m:oMath>
              <m:r>
                <m:t>α</m:t>
              </m:r>
            </m:oMath>
            <w:r>
              <w:t xml:space="preserve"> </w:t>
            </w:r>
            <w:r>
              <w:t xml:space="preserve">= 0.05, 0.10, 0.20)</w:t>
            </w:r>
          </w:p>
        </w:tc>
        <w:tc>
          <w:tcPr/>
          <w:p>
            <w:pPr>
              <w:pStyle w:val="Compact"/>
              <w:jc w:val="left"/>
            </w:pPr>
            <w:r>
              <w:t xml:space="preserve">GBM estimate (cap 60; battery 180 cycles), EWM span 3, debounce 2 (fixed a priori)</w:t>
            </w:r>
          </w:p>
        </w:tc>
        <w:tc>
          <w:tcPr/>
          <w:p>
            <w:pPr>
              <w:pStyle w:val="Compact"/>
              <w:jc w:val="left"/>
            </w:pPr>
            <w:r>
              <w:t xml:space="preserve">Warning level</w:t>
            </w:r>
            <w:r>
              <w:t xml:space="preserve"> </w:t>
            </w:r>
            <m:oMath>
              <m:acc>
                <m:accPr>
                  <m:chr m:val="̂"/>
                </m:accPr>
                <m:e>
                  <m:r>
                    <m:t>H</m:t>
                  </m:r>
                </m:e>
              </m:acc>
            </m:oMath>
            <w:r>
              <w:t xml:space="preserve"> </w:t>
            </w:r>
            <w:r>
              <w:t xml:space="preserve">= conformal quantile of critical levels</w:t>
            </w:r>
          </w:p>
        </w:tc>
        <w:tc>
          <w:tcPr/>
          <w:p>
            <w:pPr>
              <w:pStyle w:val="Compact"/>
              <w:jc w:val="left"/>
            </w:pPr>
            <m:oMath>
              <m:r>
                <m:t>P</m:t>
              </m:r>
              <m:d>
                <m:dPr>
                  <m:begChr m:val="("/>
                  <m:endChr m:val=")"/>
                  <m:sepChr m:val=""/>
                  <m:grow/>
                </m:dPr>
                <m:e>
                  <m:r>
                    <m:rPr>
                      <m:nor/>
                      <m:sty m:val="p"/>
                    </m:rPr>
                    <m:t>fail</m:t>
                  </m:r>
                </m:e>
              </m:d>
              <m:r>
                <m:rPr>
                  <m:sty m:val="p"/>
                </m:rPr>
                <m:t>≤</m:t>
              </m:r>
              <m:r>
                <m:t>α</m:t>
              </m:r>
            </m:oMath>
            <w:r>
              <w:t xml:space="preserve"> </w:t>
            </w:r>
            <w:r>
              <w:t xml:space="preserve">(Thm 2)</w:t>
            </w:r>
          </w:p>
        </w:tc>
      </w:tr>
      <w:tr>
        <w:tc>
          <w:tcPr/>
          <w:p>
            <w:pPr>
              <w:pStyle w:val="Compact"/>
              <w:jc w:val="left"/>
            </w:pPr>
            <w:r>
              <w:t xml:space="preserve">CNA-DA</w:t>
            </w:r>
          </w:p>
        </w:tc>
        <w:tc>
          <w:tcPr/>
          <w:p>
            <w:pPr>
              <w:pStyle w:val="Compact"/>
              <w:jc w:val="left"/>
            </w:pPr>
            <w:r>
              <w:t xml:space="preserve">As CNA</w:t>
            </w:r>
          </w:p>
        </w:tc>
        <w:tc>
          <w:tcPr/>
          <w:p>
            <w:pPr>
              <w:pStyle w:val="Compact"/>
              <w:jc w:val="left"/>
            </w:pPr>
            <w:r>
              <w:t xml:space="preserve">Order statistic</w:t>
            </w:r>
            <w:r>
              <w:t xml:space="preserve"> </w:t>
            </w:r>
            <m:oMath>
              <m:r>
                <m:t>q</m:t>
              </m:r>
              <m:r>
                <m:rPr>
                  <m:sty m:val="p"/>
                </m:rPr>
                <m:t>≥</m:t>
              </m:r>
              <m:sSub>
                <m:e>
                  <m:r>
                    <m:t>q</m:t>
                  </m:r>
                </m:e>
                <m:sub>
                  <m:r>
                    <m:t>0</m:t>
                  </m:r>
                </m:sub>
              </m:sSub>
            </m:oMath>
            <w:r>
              <w:t xml:space="preserve"> </w:t>
            </w:r>
            <w:r>
              <w:t xml:space="preserve">minimising the cost bound (</w:t>
            </w:r>
            <m:oMath>
              <m:sSub>
                <m:e>
                  <m:r>
                    <m:t>α</m:t>
                  </m:r>
                </m:e>
                <m:sub>
                  <m:r>
                    <m:rPr>
                      <m:sty m:val="p"/>
                    </m:rPr>
                    <m:t>max</m:t>
                  </m:r>
                </m:sub>
              </m:sSub>
            </m:oMath>
            <w:r>
              <w:t xml:space="preserve"> </w:t>
            </w:r>
            <w:r>
              <w:t xml:space="preserve">= 0.10)</w:t>
            </w:r>
          </w:p>
        </w:tc>
        <w:tc>
          <w:tcPr/>
          <w:p>
            <w:pPr>
              <w:pStyle w:val="Compact"/>
              <w:jc w:val="left"/>
            </w:pPr>
            <m:oMath>
              <m:r>
                <m:t>P</m:t>
              </m:r>
              <m:d>
                <m:dPr>
                  <m:begChr m:val="("/>
                  <m:endChr m:val=")"/>
                  <m:sepChr m:val=""/>
                  <m:grow/>
                </m:dPr>
                <m:e>
                  <m:r>
                    <m:rPr>
                      <m:nor/>
                      <m:sty m:val="p"/>
                    </m:rPr>
                    <m:t>fail</m:t>
                  </m:r>
                </m:e>
              </m:d>
              <m:r>
                <m:rPr>
                  <m:sty m:val="p"/>
                </m:rPr>
                <m:t>≤</m:t>
              </m:r>
              <m:r>
                <m:t>0.10</m:t>
              </m:r>
            </m:oMath>
            <w:r>
              <w:t xml:space="preserve"> </w:t>
            </w:r>
            <w:r>
              <w:t xml:space="preserve">(Cor. 1)</w:t>
            </w:r>
          </w:p>
        </w:tc>
      </w:tr>
      <w:tr>
        <w:tc>
          <w:tcPr/>
          <w:p>
            <w:pPr>
              <w:pStyle w:val="Compact"/>
              <w:jc w:val="left"/>
            </w:pPr>
            <w:r>
              <w:t xml:space="preserve">LB-all / LB-near</w:t>
            </w:r>
          </w:p>
        </w:tc>
        <w:tc>
          <w:tcPr/>
          <w:p>
            <w:pPr>
              <w:pStyle w:val="Compact"/>
              <w:jc w:val="left"/>
            </w:pPr>
            <w:r>
              <w:t xml:space="preserve">As CNA; alarm when</w:t>
            </w:r>
            <w:r>
              <w:t xml:space="preserve"> </w:t>
            </w:r>
            <m:oMath>
              <m:sSub>
                <m:e>
                  <m:r>
                    <m:t>s</m:t>
                  </m:r>
                </m:e>
                <m:sub>
                  <m:r>
                    <m:t>t</m:t>
                  </m:r>
                </m:sub>
              </m:sSub>
              <m:r>
                <m:rPr>
                  <m:sty m:val="p"/>
                </m:rPr>
                <m:t>−</m:t>
              </m:r>
              <m:sSub>
                <m:e>
                  <m:r>
                    <m:t>q</m:t>
                  </m:r>
                </m:e>
                <m:sub>
                  <m:r>
                    <m:t>α</m:t>
                  </m:r>
                </m:sub>
              </m:sSub>
              <m:r>
                <m:rPr>
                  <m:sty m:val="p"/>
                </m:rPr>
                <m:t>≤</m:t>
              </m:r>
              <m:r>
                <m:rPr>
                  <m:sty m:val="p"/>
                </m:rPr>
                <m:t>ℓ</m:t>
              </m:r>
              <m:r>
                <m:rPr>
                  <m:sty m:val="p"/>
                </m:rPr>
                <m:t>+</m:t>
              </m:r>
              <m:r>
                <m:t>1</m:t>
              </m:r>
            </m:oMath>
          </w:p>
        </w:tc>
        <w:tc>
          <w:tcPr/>
          <w:p>
            <w:pPr>
              <w:pStyle w:val="Compact"/>
              <w:jc w:val="left"/>
            </w:pPr>
            <w:r>
              <w:t xml:space="preserve">Conformal quantile of per-row residuals (all rows / rows with</w:t>
            </w:r>
            <w:r>
              <w:t xml:space="preserve"> </w:t>
            </w:r>
            <m:oMath>
              <m:r>
                <m:t>r</m:t>
              </m:r>
              <m:r>
                <m:rPr>
                  <m:sty m:val="p"/>
                </m:rPr>
                <m:t>≤</m:t>
              </m:r>
            </m:oMath>
            <w:r>
              <w:t xml:space="preserve"> </w:t>
            </w:r>
            <w:r>
              <w:t xml:space="preserve">cap)</w:t>
            </w:r>
          </w:p>
        </w:tc>
        <w:tc>
          <w:tcPr/>
          <w:p>
            <w:pPr>
              <w:pStyle w:val="Compact"/>
              <w:jc w:val="left"/>
            </w:pPr>
            <w:r>
              <w:t xml:space="preserve">Per-row coverage only</w:t>
            </w:r>
          </w:p>
        </w:tc>
      </w:tr>
      <w:tr>
        <w:tc>
          <w:tcPr/>
          <w:p>
            <w:pPr>
              <w:pStyle w:val="Compact"/>
              <w:jc w:val="left"/>
            </w:pPr>
            <w:r>
              <w:t xml:space="preserve">STW, window-tuned</w:t>
            </w:r>
          </w:p>
        </w:tc>
        <w:tc>
          <w:tcPr/>
          <w:p>
            <w:pPr>
              <w:pStyle w:val="Compact"/>
              <w:jc w:val="left"/>
            </w:pPr>
            <w:r>
              <w:t xml:space="preserve">GBM estimate (cap 40/60/90), span, debounce, shift</w:t>
            </w:r>
          </w:p>
        </w:tc>
        <w:tc>
          <w:tcPr/>
          <w:p>
            <w:pPr>
              <w:pStyle w:val="Compact"/>
              <w:jc w:val="left"/>
            </w:pPr>
            <w:r>
              <w:t xml:space="preserve">Most correct first warnings per</w:t>
            </w:r>
            <w:r>
              <w:t xml:space="preserve"> </w:t>
            </w:r>
            <m:oMath>
              <m:r>
                <m:t>H</m:t>
              </m:r>
            </m:oMath>
            <w:r>
              <w:t xml:space="preserve">;</w:t>
            </w:r>
            <w:r>
              <w:t xml:space="preserve"> </w:t>
            </w:r>
            <m:oMath>
              <m:r>
                <m:t>H</m:t>
              </m:r>
            </m:oMath>
            <w:r>
              <w:t xml:space="preserve"> </w:t>
            </w:r>
            <w:r>
              <w:t xml:space="preserve">by calibration cost</w:t>
            </w:r>
          </w:p>
        </w:tc>
        <w:tc>
          <w:tcPr/>
          <w:p>
            <w:pPr>
              <w:pStyle w:val="Compact"/>
              <w:jc w:val="left"/>
            </w:pPr>
            <w:r>
              <w:t xml:space="preserve">None</w:t>
            </w:r>
          </w:p>
        </w:tc>
      </w:tr>
      <w:tr>
        <w:tc>
          <w:tcPr/>
          <w:p>
            <w:pPr>
              <w:pStyle w:val="Compact"/>
              <w:jc w:val="left"/>
            </w:pPr>
            <w:r>
              <w:t xml:space="preserve">STW, cost-tuned (plain, 1-SE)</w:t>
            </w:r>
          </w:p>
        </w:tc>
        <w:tc>
          <w:tcPr/>
          <w:p>
            <w:pPr>
              <w:pStyle w:val="Compact"/>
              <w:jc w:val="left"/>
            </w:pPr>
            <w:r>
              <w:t xml:space="preserve">GBM estimate, span, debounce, threshold (2,160 settings)</w:t>
            </w:r>
          </w:p>
        </w:tc>
        <w:tc>
          <w:tcPr/>
          <w:p>
            <w:pPr>
              <w:pStyle w:val="Compact"/>
              <w:jc w:val="left"/>
            </w:pPr>
            <w:r>
              <w:t xml:space="preserve">Lowest calibration cost rate; 1-SE: largest notice within one bootstrap SE</w:t>
            </w:r>
          </w:p>
        </w:tc>
        <w:tc>
          <w:tcPr/>
          <w:p>
            <w:pPr>
              <w:pStyle w:val="Compact"/>
              <w:jc w:val="left"/>
            </w:pPr>
            <w:r>
              <w:t xml:space="preserve">None</w:t>
            </w:r>
          </w:p>
        </w:tc>
      </w:tr>
      <w:tr>
        <w:tc>
          <w:tcPr/>
          <w:p>
            <w:pPr>
              <w:pStyle w:val="Compact"/>
              <w:jc w:val="left"/>
            </w:pPr>
            <w:r>
              <w:t xml:space="preserve">Kamariotis P1 (</w:t>
            </w:r>
            <m:oMath>
              <m:r>
                <m:t>1</m:t>
              </m:r>
              <m:r>
                <m:rPr>
                  <m:sty m:val="p"/>
                </m:rPr>
                <m:t>/</m:t>
              </m:r>
              <m:r>
                <m:t>ρ</m:t>
              </m:r>
            </m:oMath>
            <w:r>
              <w:t xml:space="preserve">, optimised)</w:t>
            </w:r>
          </w:p>
        </w:tc>
        <w:tc>
          <w:tcPr/>
          <w:p>
            <w:pPr>
              <w:pStyle w:val="Compact"/>
              <w:jc w:val="left"/>
            </w:pPr>
            <m:oMath>
              <m:r>
                <m:t>P</m:t>
              </m:r>
              <m:r>
                <m:rPr>
                  <m:sty m:val="p"/>
                </m:rPr>
                <m:t>(</m:t>
              </m:r>
              <m:r>
                <m:t>r</m:t>
              </m:r>
              <m:r>
                <m:rPr>
                  <m:sty m:val="p"/>
                </m:rPr>
                <m:t>≤</m:t>
              </m:r>
              <m:r>
                <m:rPr>
                  <m:sty m:val="p"/>
                </m:rPr>
                <m:t>ℓ</m:t>
              </m:r>
              <m:r>
                <m:rPr>
                  <m:sty m:val="p"/>
                </m:rPr>
                <m:t>+</m:t>
              </m:r>
              <m:r>
                <m:t>Δ</m:t>
              </m:r>
              <m:r>
                <m:t>t</m:t>
              </m:r>
              <m:r>
                <m:rPr>
                  <m:sty m:val="p"/>
                </m:rPr>
                <m:t>∣</m:t>
              </m:r>
            </m:oMath>
            <w:r>
              <w:t xml:space="preserve"> </w:t>
            </w:r>
            <w:r>
              <w:t xml:space="preserve">estimate bin</w:t>
            </w:r>
            <m:oMath>
              <m:r>
                <m:rPr>
                  <m:sty m:val="p"/>
                </m:rPr>
                <m:t>)</m:t>
              </m:r>
            </m:oMath>
            <w:r>
              <w:t xml:space="preserve"> </w:t>
            </w:r>
            <w:r>
              <w:t xml:space="preserve">from calibration rows (P-res)</w:t>
            </w:r>
          </w:p>
        </w:tc>
        <w:tc>
          <w:tcPr/>
          <w:p>
            <w:pPr>
              <w:pStyle w:val="Compact"/>
              <w:jc w:val="left"/>
            </w:pPr>
            <w:r>
              <w:t xml:space="preserve">Threshold</w:t>
            </w:r>
            <w:r>
              <w:t xml:space="preserve"> </w:t>
            </w:r>
            <m:oMath>
              <m:r>
                <m:t>1</m:t>
              </m:r>
              <m:r>
                <m:rPr>
                  <m:sty m:val="p"/>
                </m:rPr>
                <m:t>/</m:t>
              </m:r>
              <m:r>
                <m:t>ρ</m:t>
              </m:r>
            </m:oMath>
            <w:r>
              <w:t xml:space="preserve">, or optimised on calibration cost</w:t>
            </w:r>
          </w:p>
        </w:tc>
        <w:tc>
          <w:tcPr/>
          <w:p>
            <w:pPr>
              <w:pStyle w:val="Compact"/>
              <w:jc w:val="left"/>
            </w:pPr>
            <w:r>
              <w:t xml:space="preserve">None</w:t>
            </w:r>
          </w:p>
        </w:tc>
      </w:tr>
      <w:tr>
        <w:tc>
          <w:tcPr/>
          <w:p>
            <w:pPr>
              <w:pStyle w:val="Compact"/>
              <w:jc w:val="left"/>
            </w:pPr>
            <w:r>
              <w:t xml:space="preserve">Age replacement</w:t>
            </w:r>
          </w:p>
        </w:tc>
        <w:tc>
          <w:tcPr/>
          <w:p>
            <w:pPr>
              <w:pStyle w:val="Compact"/>
              <w:jc w:val="left"/>
            </w:pPr>
            <w:r>
              <w:t xml:space="preserve">Age</w:t>
            </w:r>
          </w:p>
        </w:tc>
        <w:tc>
          <w:tcPr/>
          <w:p>
            <w:pPr>
              <w:pStyle w:val="Compact"/>
              <w:jc w:val="left"/>
            </w:pPr>
            <w:r>
              <w:t xml:space="preserve">Replacement age on training lives</w:t>
            </w:r>
          </w:p>
        </w:tc>
        <w:tc>
          <w:tcPr/>
          <w:p>
            <w:pPr>
              <w:pStyle w:val="Compact"/>
              <w:jc w:val="left"/>
            </w:pPr>
            <w:r>
              <w:t xml:space="preserve">None</w:t>
            </w:r>
          </w:p>
        </w:tc>
      </w:tr>
      <w:tr>
        <w:tc>
          <w:tcPr/>
          <w:p>
            <w:pPr>
              <w:pStyle w:val="Compact"/>
              <w:jc w:val="left"/>
            </w:pPr>
            <w:r>
              <w:t xml:space="preserve">Capacity trend (window-tuned, 1-SE; CNA-DA on trend)</w:t>
            </w:r>
          </w:p>
        </w:tc>
        <w:tc>
          <w:tcPr/>
          <w:p>
            <w:pPr>
              <w:pStyle w:val="Compact"/>
              <w:jc w:val="left"/>
            </w:pPr>
            <w:r>
              <w:t xml:space="preserve">Discharge capacity extrapolated to 0.88 Ah (battery only)</w:t>
            </w:r>
          </w:p>
        </w:tc>
        <w:tc>
          <w:tcPr/>
          <w:p>
            <w:pPr>
              <w:pStyle w:val="Compact"/>
              <w:jc w:val="left"/>
            </w:pPr>
            <w:r>
              <w:t xml:space="preserve">As the STW and CNA counterparts, on all training cells</w:t>
            </w:r>
          </w:p>
        </w:tc>
        <w:tc>
          <w:tcPr/>
          <w:p>
            <w:pPr>
              <w:pStyle w:val="Compact"/>
              <w:jc w:val="left"/>
            </w:pPr>
            <w:r>
              <w:t xml:space="preserve">CNA version: Thm 2</w:t>
            </w:r>
          </w:p>
        </w:tc>
      </w:tr>
    </w:tbl>
    <w:p>
      <w:pPr>
        <w:pStyle w:val="BodyText"/>
      </w:pPr>
      <w:r>
        <w:t xml:space="preserve">Costs follow Section 3 with lead times</w:t>
      </w:r>
      <w:r>
        <w:t xml:space="preserve"> </w:t>
      </w:r>
      <m:oMath>
        <m:r>
          <m:rPr>
            <m:sty m:val="p"/>
          </m:rPr>
          <m:t>ℓ</m:t>
        </m:r>
        <m:r>
          <m:rPr>
            <m:sty m:val="p"/>
          </m:rPr>
          <m:t>∈</m:t>
        </m:r>
        <m:r>
          <m:rPr>
            <m:sty m:val="p"/>
          </m:rPr>
          <m:t>{</m:t>
        </m:r>
        <m:r>
          <m:t>0</m:t>
        </m:r>
        <m:r>
          <m:rPr>
            <m:sty m:val="p"/>
          </m:rPr>
          <m:t>,</m:t>
        </m:r>
        <m:r>
          <m:t>5</m:t>
        </m:r>
        <m:r>
          <m:rPr>
            <m:sty m:val="p"/>
          </m:rPr>
          <m:t>,</m:t>
        </m:r>
        <m:r>
          <m:t>10</m:t>
        </m:r>
        <m:r>
          <m:rPr>
            <m:sty m:val="p"/>
          </m:rPr>
          <m:t>,</m:t>
        </m:r>
        <m:r>
          <m:t>15</m:t>
        </m:r>
        <m:r>
          <m:rPr>
            <m:sty m:val="p"/>
          </m:rPr>
          <m:t>}</m:t>
        </m:r>
      </m:oMath>
      <w:r>
        <w:t xml:space="preserve"> </w:t>
      </w:r>
      <w:r>
        <w:t xml:space="preserve">cycles (battery</w:t>
      </w:r>
      <w:r>
        <w:t xml:space="preserve"> </w:t>
      </w:r>
      <m:oMath>
        <m:r>
          <m:rPr>
            <m:sty m:val="p"/>
          </m:rPr>
          <m:t>{</m:t>
        </m:r>
        <m:r>
          <m:t>0</m:t>
        </m:r>
        <m:r>
          <m:rPr>
            <m:sty m:val="p"/>
          </m:rPr>
          <m:t>,</m:t>
        </m:r>
        <m:r>
          <m:t>15</m:t>
        </m:r>
        <m:r>
          <m:rPr>
            <m:sty m:val="p"/>
          </m:rPr>
          <m:t>,</m:t>
        </m:r>
        <m:r>
          <m:t>30</m:t>
        </m:r>
        <m:r>
          <m:rPr>
            <m:sty m:val="p"/>
          </m:rPr>
          <m:t>,</m:t>
        </m:r>
        <m:r>
          <m:t>45</m:t>
        </m:r>
        <m:r>
          <m:rPr>
            <m:sty m:val="p"/>
          </m:rPr>
          <m:t>}</m:t>
        </m:r>
      </m:oMath>
      <w:r>
        <w:t xml:space="preserve">) and cost ratios</w:t>
      </w:r>
      <w:r>
        <w:t xml:space="preserve"> </w:t>
      </w:r>
      <m:oMath>
        <m:r>
          <m:t>ρ</m:t>
        </m:r>
        <m:r>
          <m:rPr>
            <m:sty m:val="p"/>
          </m:rPr>
          <m:t>∈</m:t>
        </m:r>
        <m:r>
          <m:rPr>
            <m:sty m:val="p"/>
          </m:rPr>
          <m:t>{</m:t>
        </m:r>
        <m:r>
          <m:t>5</m:t>
        </m:r>
        <m:r>
          <m:rPr>
            <m:sty m:val="p"/>
          </m:rPr>
          <m:t>,</m:t>
        </m:r>
        <m:r>
          <m:t>10</m:t>
        </m:r>
        <m:r>
          <m:rPr>
            <m:sty m:val="p"/>
          </m:rPr>
          <m:t>,</m:t>
        </m:r>
        <m:r>
          <m:t>20</m:t>
        </m:r>
        <m:r>
          <m:rPr>
            <m:sty m:val="p"/>
          </m:rPr>
          <m:t>,</m:t>
        </m:r>
        <m:r>
          <m:t>50</m:t>
        </m:r>
        <m:r>
          <m:rPr>
            <m:sty m:val="p"/>
          </m:rPr>
          <m:t>}</m:t>
        </m:r>
      </m:oMath>
      <w:r>
        <w:t xml:space="preserve">; the primary lead time is 10 cycles (battery 30). The cost ratios are illustrative.</w:t>
      </w:r>
    </w:p>
    <w:bookmarkEnd w:id="32"/>
    <w:bookmarkStart w:id="33" w:name="metrics-tests-and-decision-rules"/>
    <w:p>
      <w:pPr>
        <w:pStyle w:val="Heading2"/>
      </w:pPr>
      <w:r>
        <w:t xml:space="preserve">6.4 Metrics, tests and decision rules</w:t>
      </w:r>
    </w:p>
    <w:p>
      <w:pPr>
        <w:pStyle w:val="FirstParagraph"/>
      </w:pPr>
      <w:r>
        <w:t xml:space="preserve">The primary metric of the new method is the</w:t>
      </w:r>
      <w:r>
        <w:t xml:space="preserve"> </w:t>
      </w:r>
      <w:r>
        <w:rPr>
          <w:iCs/>
          <w:i/>
        </w:rPr>
        <w:t xml:space="preserve">failure-before-replacement rate</w:t>
      </w:r>
      <w:r>
        <w:t xml:space="preserve"> </w:t>
      </w:r>
      <w:r>
        <w:t xml:space="preserve">on test units, with Clopper–Pearson intervals [28] and a one-sided exact binomial test of rate</w:t>
      </w:r>
      <w:r>
        <w:t xml:space="preserve"> </w:t>
      </w:r>
      <m:oMath>
        <m:r>
          <m:rPr>
            <m:sty m:val="p"/>
          </m:rPr>
          <m:t>&gt;</m:t>
        </m:r>
        <m:r>
          <m:t>α</m:t>
        </m:r>
      </m:oMath>
      <w:r>
        <w:t xml:space="preserve">, Holm-adjusted over datasets [29]. Notice at the alarm and wasted life (notice minus lead time among planned replacements) measure what the guarantee costs. Window scores of the estimate and the constant are compared with the Tango score interval for paired proportions [30] and two one-sided tests (TOST) [31] with a margin of 5 percentage points fixed in the protocol; the Theorem 1 bound is evaluated with</w:t>
      </w:r>
      <w:r>
        <w:t xml:space="preserve"> </w:t>
      </w:r>
      <m:oMath>
        <m:sSub>
          <m:e>
            <m:r>
              <m:t>π</m:t>
            </m:r>
          </m:e>
          <m:sub>
            <m:r>
              <m:t>a</m:t>
            </m:r>
          </m:sub>
        </m:sSub>
        <m:r>
          <m:rPr>
            <m:sty m:val="p"/>
          </m:rPr>
          <m:t>,</m:t>
        </m:r>
        <m:sSub>
          <m:e>
            <m:r>
              <m:t>π</m:t>
            </m:r>
          </m:e>
          <m:sub>
            <m:r>
              <m:t>b</m:t>
            </m:r>
          </m:sub>
        </m:sSub>
      </m:oMath>
      <w:r>
        <w:t xml:space="preserve"> </w:t>
      </w:r>
      <w:r>
        <w:t xml:space="preserve">estimated on calibration alarms (mass of the notice within ±3 cycles of each edge, per cycle) and</w:t>
      </w:r>
      <w:r>
        <w:t xml:space="preserve"> </w:t>
      </w:r>
      <m:oMath>
        <m:r>
          <m:t>E</m:t>
        </m:r>
        <m:r>
          <m:rPr>
            <m:sty m:val="p"/>
          </m:rPr>
          <m:t>⌈</m:t>
        </m:r>
        <m:d>
          <m:dPr>
            <m:begChr m:val="|"/>
            <m:endChr m:val="|"/>
            <m:sepChr m:val=""/>
            <m:grow/>
          </m:dPr>
          <m:e>
            <m:r>
              <m:t>D</m:t>
            </m:r>
          </m:e>
        </m:d>
        <m:r>
          <m:rPr>
            <m:sty m:val="p"/>
          </m:rPr>
          <m:t>⌉</m:t>
        </m:r>
      </m:oMath>
      <w:r>
        <w:t xml:space="preserve"> </w:t>
      </w:r>
      <w:r>
        <w:t xml:space="preserve">on calibration units. Cost rates are compared by paired bootstrap ratios over test units (2,000 resamples). The decision rules of the protocol are:</w:t>
      </w:r>
      <w:r>
        <w:t xml:space="preserve"> </w:t>
      </w:r>
      <w:r>
        <w:rPr>
          <w:bCs/>
          <w:b/>
        </w:rPr>
        <w:t xml:space="preserve">H1</w:t>
      </w:r>
      <w:r>
        <w:t xml:space="preserve"> </w:t>
      </w:r>
      <w:r>
        <w:t xml:space="preserve">CNA at</w:t>
      </w:r>
      <w:r>
        <w:t xml:space="preserve"> </w:t>
      </w:r>
      <m:oMath>
        <m:r>
          <m:t>α</m:t>
        </m:r>
        <m:r>
          <m:rPr>
            <m:sty m:val="p"/>
          </m:rPr>
          <m:t>=</m:t>
        </m:r>
        <m:r>
          <m:t>0.10</m:t>
        </m:r>
      </m:oMath>
      <w:r>
        <w:t xml:space="preserve"> </w:t>
      </w:r>
      <w:r>
        <w:t xml:space="preserve">and the primary lead time does not exceed 0.10 failure (Holm-adjusted binomial</w:t>
      </w:r>
      <w:r>
        <w:t xml:space="preserve"> </w:t>
      </w:r>
      <m:oMath>
        <m:r>
          <m:t>p</m:t>
        </m:r>
        <m:r>
          <m:rPr>
            <m:sty m:val="p"/>
          </m:rPr>
          <m:t>≥</m:t>
        </m:r>
        <m:r>
          <m:t>0.05</m:t>
        </m:r>
      </m:oMath>
      <w:r>
        <w:t xml:space="preserve"> </w:t>
      </w:r>
      <w:r>
        <w:t xml:space="preserve">on each of seven datasets);</w:t>
      </w:r>
      <w:r>
        <w:t xml:space="preserve"> </w:t>
      </w:r>
      <w:r>
        <w:rPr>
          <w:bCs/>
          <w:b/>
        </w:rPr>
        <w:t xml:space="preserve">H2</w:t>
      </w:r>
      <w:r>
        <w:t xml:space="preserve"> </w:t>
      </w:r>
      <w:r>
        <w:t xml:space="preserve">the per-cycle lower-bound alarm LB-all at</w:t>
      </w:r>
      <w:r>
        <w:t xml:space="preserve"> </w:t>
      </w:r>
      <m:oMath>
        <m:r>
          <m:t>α</m:t>
        </m:r>
        <m:r>
          <m:rPr>
            <m:sty m:val="p"/>
          </m:rPr>
          <m:t>=</m:t>
        </m:r>
        <m:r>
          <m:t>0.10</m:t>
        </m:r>
      </m:oMath>
      <w:r>
        <w:t xml:space="preserve"> </w:t>
      </w:r>
      <w:r>
        <w:t xml:space="preserve">exceeds 0.10 (</w:t>
      </w:r>
      <m:oMath>
        <m:r>
          <m:t>p</m:t>
        </m:r>
        <m:r>
          <m:rPr>
            <m:sty m:val="p"/>
          </m:rPr>
          <m:t>&lt;</m:t>
        </m:r>
        <m:r>
          <m:t>0.05</m:t>
        </m:r>
      </m:oMath>
      <w:r>
        <w:t xml:space="preserve">) on at least four of seven;</w:t>
      </w:r>
      <w:r>
        <w:t xml:space="preserve"> </w:t>
      </w:r>
      <w:r>
        <w:rPr>
          <w:bCs/>
          <w:b/>
        </w:rPr>
        <w:t xml:space="preserve">H3</w:t>
      </w:r>
      <w:r>
        <w:t xml:space="preserve"> </w:t>
      </w:r>
      <w:r>
        <w:t xml:space="preserve">model and constant estimates are equivalent within ±5 points on each dataset;</w:t>
      </w:r>
      <w:r>
        <w:t xml:space="preserve"> </w:t>
      </w:r>
      <w:r>
        <w:rPr>
          <w:bCs/>
          <w:b/>
        </w:rPr>
        <w:t xml:space="preserve">H4</w:t>
      </w:r>
      <w:r>
        <w:t xml:space="preserve"> </w:t>
      </w:r>
      <w:r>
        <w:t xml:space="preserve">CNA-DA is</w:t>
      </w:r>
      <w:r>
        <w:t xml:space="preserve"> </w:t>
      </w:r>
      <w:r>
        <w:t xml:space="preserve">“</w:t>
      </w:r>
      <w:r>
        <w:t xml:space="preserve">cheaper</w:t>
      </w:r>
      <w:r>
        <w:t xml:space="preserve">”</w:t>
      </w:r>
      <w:r>
        <w:t xml:space="preserve"> </w:t>
      </w:r>
      <w:r>
        <w:t xml:space="preserve">than a comparator on a dataset if cheaper in at least 8 of 16 cost cells and dearer in none (and conversely), and its failure rate stays at or below</w:t>
      </w:r>
      <w:r>
        <w:t xml:space="preserve"> </w:t>
      </w:r>
      <m:oMath>
        <m:sSub>
          <m:e>
            <m:r>
              <m:t>α</m:t>
            </m:r>
          </m:e>
          <m:sub>
            <m:r>
              <m:rPr>
                <m:sty m:val="p"/>
              </m:rPr>
              <m:t>max</m:t>
            </m:r>
          </m:sub>
        </m:sSub>
        <m:r>
          <m:rPr>
            <m:sty m:val="p"/>
          </m:rPr>
          <m:t>=</m:t>
        </m:r>
        <m:r>
          <m:t>0.10</m:t>
        </m:r>
      </m:oMath>
      <w:r>
        <w:t xml:space="preserve"> </w:t>
      </w:r>
      <w:r>
        <w:t xml:space="preserve">for every positive lead time and ratio;</w:t>
      </w:r>
      <w:r>
        <w:t xml:space="preserve"> </w:t>
      </w:r>
      <w:r>
        <w:rPr>
          <w:bCs/>
          <w:b/>
        </w:rPr>
        <w:t xml:space="preserve">H5</w:t>
      </w:r>
      <w:r>
        <w:t xml:space="preserve"> </w:t>
      </w:r>
      <w:r>
        <w:t xml:space="preserve">calibrated on other batches, CNA exceeds 0.10 on at least one held-out battery batch, and recalibration with 10 pilot cells of the new batch restores a mean failure rate at or below 0.10. Intervals cover the sampling of test units given fitted policies; the three repetitions show the variability from the proper-training/calibration split.</w:t>
      </w:r>
    </w:p>
    <w:bookmarkEnd w:id="33"/>
    <w:bookmarkEnd w:id="34"/>
    <w:bookmarkStart w:id="51" w:name="results"/>
    <w:p>
      <w:pPr>
        <w:pStyle w:val="Heading1"/>
      </w:pPr>
      <w:r>
        <w:t xml:space="preserve">7. Results</w:t>
      </w:r>
    </w:p>
    <w:p>
      <w:pPr>
        <w:pStyle w:val="FirstParagraph"/>
      </w:pPr>
      <w:r>
        <w:t xml:space="preserve">All numbers are on outer test units. Calibration sets had 32 units (FD001, FD003, N-CMAPSS), 39 (battery), 70 (PHM08), 80 (FD004) and 83 (FD002) under cross-validation. Unless stated, rates are averaged over the three repetitions of the proper-training/calibration split, and tests use repetition 0, in which every unit is tested once.</w:t>
      </w:r>
    </w:p>
    <w:bookmarkStart w:id="38" w:name="X22e3dbc1a9b126deff37068b62e9d226cd2725e"/>
    <w:p>
      <w:pPr>
        <w:pStyle w:val="Heading2"/>
      </w:pPr>
      <w:r>
        <w:t xml:space="preserve">7.1 The notice guarantee holds where exchangeability holds; interval calibration does not deliver it (H1, H2)</w:t>
      </w:r>
    </w:p>
    <w:p>
      <w:pPr>
        <w:pStyle w:val="FirstParagraph"/>
      </w:pPr>
      <w:r>
        <w:t xml:space="preserve">Table 2 and Fig. 2 give the failure-before-replacement rate at the primary lead time. With</w:t>
      </w:r>
      <w:r>
        <w:t xml:space="preserve"> </w:t>
      </w:r>
      <m:oMath>
        <m:r>
          <m:t>α</m:t>
        </m:r>
        <m:r>
          <m:rPr>
            <m:sty m:val="p"/>
          </m:rPr>
          <m:t>=</m:t>
        </m:r>
        <m:r>
          <m:t>0.10</m:t>
        </m:r>
      </m:oMath>
      <w:r>
        <w:t xml:space="preserve"> </w:t>
      </w:r>
      <w:r>
        <w:t xml:space="preserve">the conformal notice alarm failed on 6.0–11.7 % of test units across the seven datasets, and with</w:t>
      </w:r>
      <w:r>
        <w:t xml:space="preserve"> </w:t>
      </w:r>
      <m:oMath>
        <m:r>
          <m:t>α</m:t>
        </m:r>
        <m:r>
          <m:rPr>
            <m:sty m:val="p"/>
          </m:rPr>
          <m:t>=</m:t>
        </m:r>
        <m:r>
          <m:t>0.05</m:t>
        </m:r>
      </m:oMath>
      <w:r>
        <w:t xml:space="preserve"> </w:t>
      </w:r>
      <w:r>
        <w:t xml:space="preserve">and</w:t>
      </w:r>
      <w:r>
        <w:t xml:space="preserve"> </w:t>
      </w:r>
      <m:oMath>
        <m:r>
          <m:t>0.20</m:t>
        </m:r>
      </m:oMath>
      <w:r>
        <w:t xml:space="preserve"> </w:t>
      </w:r>
      <w:r>
        <w:t xml:space="preserve">on 1.3–5.1 % and 11.7–24.0 %. Pooled over the seven datasets, four lead times and three repetitions (13,788 unit–cell evaluations), the rates were 3.8 %, 9.3 % and 19.4 % for nominal 5 %, 10 % and 20 %. In repetition 0 the highest rates at</w:t>
      </w:r>
      <w:r>
        <w:t xml:space="preserve"> </w:t>
      </w:r>
      <m:oMath>
        <m:r>
          <m:t>α</m:t>
        </m:r>
        <m:r>
          <m:rPr>
            <m:sty m:val="p"/>
          </m:rPr>
          <m:t>=</m:t>
        </m:r>
        <m:r>
          <m:t>0.10</m:t>
        </m:r>
      </m:oMath>
      <w:r>
        <w:t xml:space="preserve"> </w:t>
      </w:r>
      <w:r>
        <w:t xml:space="preserve">were 14.0 % (FD003, 14 of 100) and 12.4 % (FD004, 31 of 249); no exact binomial test of rate</w:t>
      </w:r>
      <w:r>
        <w:t xml:space="preserve"> </w:t>
      </w:r>
      <m:oMath>
        <m:r>
          <m:rPr>
            <m:sty m:val="p"/>
          </m:rPr>
          <m:t>&gt;</m:t>
        </m:r>
        <m:r>
          <m:t>0.10</m:t>
        </m:r>
      </m:oMath>
      <w:r>
        <w:t xml:space="preserve"> </w:t>
      </w:r>
      <w:r>
        <w:t xml:space="preserve">was significant after Holm’s correction (smallest adjusted</w:t>
      </w:r>
      <w:r>
        <w:t xml:space="preserve"> </w:t>
      </w:r>
      <m:oMath>
        <m:r>
          <m:t>p</m:t>
        </m:r>
        <m:r>
          <m:rPr>
            <m:sty m:val="p"/>
          </m:rPr>
          <m:t>=</m:t>
        </m:r>
        <m:r>
          <m:t>0.84</m:t>
        </m:r>
      </m:oMath>
      <w:r>
        <w:t xml:space="preserve">), so</w:t>
      </w:r>
      <w:r>
        <w:t xml:space="preserve"> </w:t>
      </w:r>
      <w:r>
        <w:rPr>
          <w:bCs/>
          <w:b/>
        </w:rPr>
        <w:t xml:space="preserve">H1 is supported on all seven datasets</w:t>
      </w:r>
      <w:r>
        <w:t xml:space="preserve">. Rates slightly above 10 % (FD003 11.7 %, N-CMAPSS 11.1 %, battery 10.6 %, FD004 10.4 %) are within sampling error; for distinct critical levels the expected rate is</w:t>
      </w:r>
      <w:r>
        <w:t xml:space="preserve"> </w:t>
      </w:r>
      <m:oMath>
        <m:d>
          <m:dPr>
            <m:begChr m:val="("/>
            <m:endChr m:val=")"/>
            <m:sepChr m:val=""/>
            <m:grow/>
          </m:dPr>
          <m:e>
            <m:r>
              <m:t>n</m:t>
            </m:r>
            <m:r>
              <m:rPr>
                <m:sty m:val="p"/>
              </m:rPr>
              <m:t>+</m:t>
            </m:r>
            <m:r>
              <m:t>1</m:t>
            </m:r>
            <m:r>
              <m:rPr>
                <m:sty m:val="p"/>
              </m:rPr>
              <m:t>−</m:t>
            </m:r>
            <m:r>
              <m:t>q</m:t>
            </m:r>
          </m:e>
        </m:d>
        <m:r>
          <m:rPr>
            <m:sty m:val="p"/>
          </m:rPr>
          <m:t>/</m:t>
        </m:r>
        <m:d>
          <m:dPr>
            <m:begChr m:val="("/>
            <m:endChr m:val=")"/>
            <m:sepChr m:val=""/>
            <m:grow/>
          </m:dPr>
          <m:e>
            <m:r>
              <m:t>n</m:t>
            </m:r>
            <m:r>
              <m:rPr>
                <m:sty m:val="p"/>
              </m:rPr>
              <m:t>+</m:t>
            </m:r>
            <m:r>
              <m:t>1</m:t>
            </m:r>
          </m:e>
        </m:d>
      </m:oMath>
      <w:r>
        <w:t xml:space="preserve">, 9.1 % with 32 calibration units and 10.0 % with 39. The lowest rate, 6.0 % on FD001, lies slightly below the theoretical lower limit</w:t>
      </w:r>
      <w:r>
        <w:t xml:space="preserve"> </w:t>
      </w:r>
      <m:oMath>
        <m:r>
          <m:t>α</m:t>
        </m:r>
        <m:r>
          <m:rPr>
            <m:sty m:val="p"/>
          </m:rPr>
          <m:t>−</m:t>
        </m:r>
        <m:r>
          <m:t>1</m:t>
        </m:r>
        <m:r>
          <m:rPr>
            <m:sty m:val="p"/>
          </m:rPr>
          <m:t>/</m:t>
        </m:r>
        <m:d>
          <m:dPr>
            <m:begChr m:val="("/>
            <m:endChr m:val=")"/>
            <m:sepChr m:val=""/>
            <m:grow/>
          </m:dPr>
          <m:e>
            <m:r>
              <m:t>n</m:t>
            </m:r>
            <m:r>
              <m:rPr>
                <m:sty m:val="p"/>
              </m:rPr>
              <m:t>+</m:t>
            </m:r>
            <m:r>
              <m:t>1</m:t>
            </m:r>
          </m:e>
        </m:d>
        <m:r>
          <m:rPr>
            <m:sty m:val="p"/>
          </m:rPr>
          <m:t>=</m:t>
        </m:r>
        <m:r>
          <m:t>7.0</m:t>
        </m:r>
        <m:r>
          <m:rPr>
            <m:sty m:val="p"/>
          </m:rPr>
          <m:t>%</m:t>
        </m:r>
      </m:oMath>
      <w:r>
        <w:t xml:space="preserve">, again within the sampling error of 100 test units.</w:t>
      </w:r>
    </w:p>
    <w:p>
      <w:pPr>
        <w:pStyle w:val="BodyText"/>
      </w:pPr>
      <w:r>
        <w:t xml:space="preserve">The interval-calibrated alarm on the same signal and trigger did not deliver the nominal level. Calibrated with residuals over all rows (LB-all), the lower-bound alarm at nominal 10 % failed on 18.2 % (N-CMAPSS) to 69.6 % (battery) of units, 46.6 % pooled, with</w:t>
      </w:r>
      <w:r>
        <w:t xml:space="preserve"> </w:t>
      </w:r>
      <m:oMath>
        <m:r>
          <m:t>p</m:t>
        </m:r>
        <m:r>
          <m:rPr>
            <m:sty m:val="p"/>
          </m:rPr>
          <m:t>&lt;</m:t>
        </m:r>
        <m:r>
          <m:t>0.005</m:t>
        </m:r>
      </m:oMath>
      <w:r>
        <w:t xml:space="preserve"> </w:t>
      </w:r>
      <w:r>
        <w:t xml:space="preserve">on every dataset (</w:t>
      </w:r>
      <w:r>
        <w:rPr>
          <w:bCs/>
          <w:b/>
        </w:rPr>
        <w:t xml:space="preserve">H2 supported</w:t>
      </w:r>
      <w:r>
        <w:t xml:space="preserve">, 7 of 7). The reason is visible in Theorem 2’s construction: rows far from failure, where the capped target makes residuals small, dominate the pooled residual quantile, so the bound is tight far from failure and loose at the stopping time. Restricting the residuals to rows with</w:t>
      </w:r>
      <w:r>
        <w:t xml:space="preserve"> </w:t>
      </w:r>
      <m:oMath>
        <m:sSub>
          <m:e>
            <m:r>
              <m:t>r</m:t>
            </m:r>
          </m:e>
          <m:sub>
            <m:r>
              <m:t>t</m:t>
            </m:r>
          </m:sub>
        </m:sSub>
        <m:r>
          <m:rPr>
            <m:sty m:val="p"/>
          </m:rPr>
          <m:t>≤</m:t>
        </m:r>
        <m:r>
          <m:t>c</m:t>
        </m:r>
      </m:oMath>
      <w:r>
        <w:t xml:space="preserve"> </w:t>
      </w:r>
      <w:r>
        <w:t xml:space="preserve">(LB-near) brought the rate close to nominal on six datasets (4.0–8.6 %) but not on N-CMAPSS (15.2 %, and 17.8 % at the longest lead time), and it has no guarantee: its level depends on how the evaluator chooses the rows. The cost of the guarantee is notice. At</w:t>
      </w:r>
      <w:r>
        <w:t xml:space="preserve"> </w:t>
      </w:r>
      <m:oMath>
        <m:r>
          <m:t>α</m:t>
        </m:r>
        <m:r>
          <m:rPr>
            <m:sty m:val="p"/>
          </m:rPr>
          <m:t>=</m:t>
        </m:r>
        <m:r>
          <m:t>0.10</m:t>
        </m:r>
      </m:oMath>
      <w:r>
        <w:t xml:space="preserve"> </w:t>
      </w:r>
      <w:r>
        <w:t xml:space="preserve">CNA alarms left a median of 15–17 engine cycles at a lead time of 10, against 11–12 for LB-all; on the battery cells 43 cycles at a lead time of 30.</w:t>
      </w:r>
    </w:p>
    <w:p>
      <w:pPr>
        <w:pStyle w:val="TableCaption"/>
      </w:pPr>
      <w:r>
        <w:rPr>
          <w:bCs/>
          <w:b/>
        </w:rPr>
        <w:t xml:space="preserve">Table 2.</w:t>
      </w:r>
      <w:r>
        <w:t xml:space="preserve"> </w:t>
      </w:r>
      <w:r>
        <w:t xml:space="preserve">Failure before the planned replacement at the primary lead time (10 cycles; battery 30 cycles), five-fold cross-validation, mean of three repetitions; the second column gives repetition 0 for CNA at</w:t>
      </w:r>
      <w:r>
        <w:t xml:space="preserve"> </w:t>
      </w:r>
      <m:oMath>
        <m:r>
          <m:t>α</m:t>
        </m:r>
      </m:oMath>
      <w:r>
        <w:t xml:space="preserve"> </w:t>
      </w:r>
      <w:r>
        <w:t xml:space="preserve">= 0.10 with its Clopper–Pearson 95 % interval. Last column: median notice at the alarm (cycles), CNA 0.10 / LB-all 0.10.</w:t>
      </w:r>
    </w:p>
    <w:tbl>
      <w:tblPr>
        <w:tblStyle w:val="Table"/>
        <w:tblW w:type="pct" w:w="5000"/>
        <w:tblLook w:firstRow="1" w:lastRow="0" w:firstColumn="0" w:lastColumn="0" w:noHBand="0" w:noVBand="0" w:val="0020"/>
        <w:jc w:val="start"/>
        <w:tblCaption w:val="Table 2. Failure before the planned replacement at the primary lead time (10 cycles; battery 30 cycles), five-fold cross-validation, mean of three repetitions; the second column gives repetition 0 for CNA at \alpha = 0.10 with its Clopper–Pearson 95 % interval. Last column: median notice at the alarm (cycles), CNA 0.10 / LB-all 0.10."/>
      </w:tblPr>
      <w:tblGrid>
        <w:gridCol w:w="1335"/>
        <w:gridCol w:w="1908"/>
        <w:gridCol w:w="667"/>
        <w:gridCol w:w="667"/>
        <w:gridCol w:w="667"/>
        <w:gridCol w:w="667"/>
        <w:gridCol w:w="667"/>
        <w:gridCol w:w="667"/>
        <w:gridCol w:w="667"/>
      </w:tblGrid>
      <w:tr>
        <w:trPr>
          <w:tblHeader w:val="true"/>
        </w:trPr>
        <w:tc>
          <w:tcPr/>
          <w:p>
            <w:pPr>
              <w:pStyle w:val="Compact"/>
              <w:jc w:val="left"/>
            </w:pPr>
            <w:r>
              <w:t xml:space="preserve">Dataset (test units)</w:t>
            </w:r>
          </w:p>
        </w:tc>
        <w:tc>
          <w:tcPr/>
          <w:p>
            <w:pPr>
              <w:pStyle w:val="Compact"/>
              <w:jc w:val="left"/>
            </w:pPr>
            <w:r>
              <w:t xml:space="preserve">CNA 0.10, rep. 0</w:t>
            </w:r>
          </w:p>
        </w:tc>
        <w:tc>
          <w:tcPr/>
          <w:p>
            <w:pPr>
              <w:pStyle w:val="Compact"/>
              <w:jc w:val="left"/>
            </w:pPr>
            <w:r>
              <w:t xml:space="preserve">CNA 0.05</w:t>
            </w:r>
          </w:p>
        </w:tc>
        <w:tc>
          <w:tcPr/>
          <w:p>
            <w:pPr>
              <w:pStyle w:val="Compact"/>
              <w:jc w:val="left"/>
            </w:pPr>
            <w:r>
              <w:t xml:space="preserve">CNA 0.10</w:t>
            </w:r>
          </w:p>
        </w:tc>
        <w:tc>
          <w:tcPr/>
          <w:p>
            <w:pPr>
              <w:pStyle w:val="Compact"/>
              <w:jc w:val="left"/>
            </w:pPr>
            <w:r>
              <w:t xml:space="preserve">CNA 0.20</w:t>
            </w:r>
          </w:p>
        </w:tc>
        <w:tc>
          <w:tcPr/>
          <w:p>
            <w:pPr>
              <w:pStyle w:val="Compact"/>
              <w:jc w:val="left"/>
            </w:pPr>
            <w:r>
              <w:t xml:space="preserve">CNA-DA</w:t>
            </w:r>
          </w:p>
        </w:tc>
        <w:tc>
          <w:tcPr/>
          <w:p>
            <w:pPr>
              <w:pStyle w:val="Compact"/>
              <w:jc w:val="left"/>
            </w:pPr>
            <w:r>
              <w:t xml:space="preserve">LB-all 0.10</w:t>
            </w:r>
          </w:p>
        </w:tc>
        <w:tc>
          <w:tcPr/>
          <w:p>
            <w:pPr>
              <w:pStyle w:val="Compact"/>
              <w:jc w:val="left"/>
            </w:pPr>
            <w:r>
              <w:t xml:space="preserve">LB-near 0.10</w:t>
            </w:r>
          </w:p>
        </w:tc>
        <w:tc>
          <w:tcPr/>
          <w:p>
            <w:pPr>
              <w:pStyle w:val="Compact"/>
              <w:jc w:val="left"/>
            </w:pPr>
            <w:r>
              <w:t xml:space="preserve">Notice</w:t>
            </w:r>
          </w:p>
        </w:tc>
      </w:tr>
      <w:tr>
        <w:tc>
          <w:tcPr/>
          <w:p>
            <w:pPr>
              <w:pStyle w:val="Compact"/>
              <w:jc w:val="left"/>
            </w:pPr>
            <w:r>
              <w:t xml:space="preserve">PHM08 (218)</w:t>
            </w:r>
          </w:p>
        </w:tc>
        <w:tc>
          <w:tcPr/>
          <w:p>
            <w:pPr>
              <w:pStyle w:val="Compact"/>
              <w:jc w:val="left"/>
            </w:pPr>
            <w:r>
              <w:t xml:space="preserve">18 (0.083; 0.050–0.127)</w:t>
            </w:r>
          </w:p>
        </w:tc>
        <w:tc>
          <w:tcPr/>
          <w:p>
            <w:pPr>
              <w:pStyle w:val="Compact"/>
              <w:jc w:val="left"/>
            </w:pPr>
            <w:r>
              <w:t xml:space="preserve">0.034</w:t>
            </w:r>
          </w:p>
        </w:tc>
        <w:tc>
          <w:tcPr/>
          <w:p>
            <w:pPr>
              <w:pStyle w:val="Compact"/>
              <w:jc w:val="left"/>
            </w:pPr>
            <w:r>
              <w:t xml:space="preserve">0.086</w:t>
            </w:r>
          </w:p>
        </w:tc>
        <w:tc>
          <w:tcPr/>
          <w:p>
            <w:pPr>
              <w:pStyle w:val="Compact"/>
              <w:jc w:val="left"/>
            </w:pPr>
            <w:r>
              <w:t xml:space="preserve">0.177</w:t>
            </w:r>
          </w:p>
        </w:tc>
        <w:tc>
          <w:tcPr/>
          <w:p>
            <w:pPr>
              <w:pStyle w:val="Compact"/>
              <w:jc w:val="left"/>
            </w:pPr>
            <w:r>
              <w:t xml:space="preserve">0.009</w:t>
            </w:r>
          </w:p>
        </w:tc>
        <w:tc>
          <w:tcPr/>
          <w:p>
            <w:pPr>
              <w:pStyle w:val="Compact"/>
              <w:jc w:val="left"/>
            </w:pPr>
            <w:r>
              <w:t xml:space="preserve">0.446</w:t>
            </w:r>
          </w:p>
        </w:tc>
        <w:tc>
          <w:tcPr/>
          <w:p>
            <w:pPr>
              <w:pStyle w:val="Compact"/>
              <w:jc w:val="left"/>
            </w:pPr>
            <w:r>
              <w:t xml:space="preserve">0.080</w:t>
            </w:r>
          </w:p>
        </w:tc>
        <w:tc>
          <w:tcPr/>
          <w:p>
            <w:pPr>
              <w:pStyle w:val="Compact"/>
              <w:jc w:val="left"/>
            </w:pPr>
            <w:r>
              <w:t xml:space="preserve">16 / 11</w:t>
            </w:r>
          </w:p>
        </w:tc>
      </w:tr>
      <w:tr>
        <w:tc>
          <w:tcPr/>
          <w:p>
            <w:pPr>
              <w:pStyle w:val="Compact"/>
              <w:jc w:val="left"/>
            </w:pPr>
            <w:r>
              <w:t xml:space="preserve">FD001 (100)</w:t>
            </w:r>
          </w:p>
        </w:tc>
        <w:tc>
          <w:tcPr/>
          <w:p>
            <w:pPr>
              <w:pStyle w:val="Compact"/>
              <w:jc w:val="left"/>
            </w:pPr>
            <w:r>
              <w:t xml:space="preserve">7 (0.070; 0.029–0.139)</w:t>
            </w:r>
          </w:p>
        </w:tc>
        <w:tc>
          <w:tcPr/>
          <w:p>
            <w:pPr>
              <w:pStyle w:val="Compact"/>
              <w:jc w:val="left"/>
            </w:pPr>
            <w:r>
              <w:t xml:space="preserve">0.013</w:t>
            </w:r>
          </w:p>
        </w:tc>
        <w:tc>
          <w:tcPr/>
          <w:p>
            <w:pPr>
              <w:pStyle w:val="Compact"/>
              <w:jc w:val="left"/>
            </w:pPr>
            <w:r>
              <w:t xml:space="preserve">0.060</w:t>
            </w:r>
          </w:p>
        </w:tc>
        <w:tc>
          <w:tcPr/>
          <w:p>
            <w:pPr>
              <w:pStyle w:val="Compact"/>
              <w:jc w:val="left"/>
            </w:pPr>
            <w:r>
              <w:t xml:space="preserve">0.143</w:t>
            </w:r>
          </w:p>
        </w:tc>
        <w:tc>
          <w:tcPr/>
          <w:p>
            <w:pPr>
              <w:pStyle w:val="Compact"/>
              <w:jc w:val="left"/>
            </w:pPr>
            <w:r>
              <w:t xml:space="preserve">0.013</w:t>
            </w:r>
          </w:p>
        </w:tc>
        <w:tc>
          <w:tcPr/>
          <w:p>
            <w:pPr>
              <w:pStyle w:val="Compact"/>
              <w:jc w:val="left"/>
            </w:pPr>
            <w:r>
              <w:t xml:space="preserve">0.333</w:t>
            </w:r>
          </w:p>
        </w:tc>
        <w:tc>
          <w:tcPr/>
          <w:p>
            <w:pPr>
              <w:pStyle w:val="Compact"/>
              <w:jc w:val="left"/>
            </w:pPr>
            <w:r>
              <w:t xml:space="preserve">0.043</w:t>
            </w:r>
          </w:p>
        </w:tc>
        <w:tc>
          <w:tcPr/>
          <w:p>
            <w:pPr>
              <w:pStyle w:val="Compact"/>
              <w:jc w:val="left"/>
            </w:pPr>
            <w:r>
              <w:t xml:space="preserve">17 / 12</w:t>
            </w:r>
          </w:p>
        </w:tc>
      </w:tr>
      <w:tr>
        <w:tc>
          <w:tcPr/>
          <w:p>
            <w:pPr>
              <w:pStyle w:val="Compact"/>
              <w:jc w:val="left"/>
            </w:pPr>
            <w:r>
              <w:t xml:space="preserve">FD002 (260)</w:t>
            </w:r>
          </w:p>
        </w:tc>
        <w:tc>
          <w:tcPr/>
          <w:p>
            <w:pPr>
              <w:pStyle w:val="Compact"/>
              <w:jc w:val="left"/>
            </w:pPr>
            <w:r>
              <w:t xml:space="preserve">20 (0.077; 0.048–0.116)</w:t>
            </w:r>
          </w:p>
        </w:tc>
        <w:tc>
          <w:tcPr/>
          <w:p>
            <w:pPr>
              <w:pStyle w:val="Compact"/>
              <w:jc w:val="left"/>
            </w:pPr>
            <w:r>
              <w:t xml:space="preserve">0.042</w:t>
            </w:r>
          </w:p>
        </w:tc>
        <w:tc>
          <w:tcPr/>
          <w:p>
            <w:pPr>
              <w:pStyle w:val="Compact"/>
              <w:jc w:val="left"/>
            </w:pPr>
            <w:r>
              <w:t xml:space="preserve">0.088</w:t>
            </w:r>
          </w:p>
        </w:tc>
        <w:tc>
          <w:tcPr/>
          <w:p>
            <w:pPr>
              <w:pStyle w:val="Compact"/>
              <w:jc w:val="left"/>
            </w:pPr>
            <w:r>
              <w:t xml:space="preserve">0.191</w:t>
            </w:r>
          </w:p>
        </w:tc>
        <w:tc>
          <w:tcPr/>
          <w:p>
            <w:pPr>
              <w:pStyle w:val="Compact"/>
              <w:jc w:val="left"/>
            </w:pPr>
            <w:r>
              <w:t xml:space="preserve">0.008</w:t>
            </w:r>
          </w:p>
        </w:tc>
        <w:tc>
          <w:tcPr/>
          <w:p>
            <w:pPr>
              <w:pStyle w:val="Compact"/>
              <w:jc w:val="left"/>
            </w:pPr>
            <w:r>
              <w:t xml:space="preserve">0.381</w:t>
            </w:r>
          </w:p>
        </w:tc>
        <w:tc>
          <w:tcPr/>
          <w:p>
            <w:pPr>
              <w:pStyle w:val="Compact"/>
              <w:jc w:val="left"/>
            </w:pPr>
            <w:r>
              <w:t xml:space="preserve">0.040</w:t>
            </w:r>
          </w:p>
        </w:tc>
        <w:tc>
          <w:tcPr/>
          <w:p>
            <w:pPr>
              <w:pStyle w:val="Compact"/>
              <w:jc w:val="left"/>
            </w:pPr>
            <w:r>
              <w:t xml:space="preserve">15 / 12</w:t>
            </w:r>
          </w:p>
        </w:tc>
      </w:tr>
      <w:tr>
        <w:tc>
          <w:tcPr/>
          <w:p>
            <w:pPr>
              <w:pStyle w:val="Compact"/>
              <w:jc w:val="left"/>
            </w:pPr>
            <w:r>
              <w:t xml:space="preserve">FD003 (100)</w:t>
            </w:r>
          </w:p>
        </w:tc>
        <w:tc>
          <w:tcPr/>
          <w:p>
            <w:pPr>
              <w:pStyle w:val="Compact"/>
              <w:jc w:val="left"/>
            </w:pPr>
            <w:r>
              <w:t xml:space="preserve">14 (0.140; 0.079–0.224)</w:t>
            </w:r>
          </w:p>
        </w:tc>
        <w:tc>
          <w:tcPr/>
          <w:p>
            <w:pPr>
              <w:pStyle w:val="Compact"/>
              <w:jc w:val="left"/>
            </w:pPr>
            <w:r>
              <w:t xml:space="preserve">0.027</w:t>
            </w:r>
          </w:p>
        </w:tc>
        <w:tc>
          <w:tcPr/>
          <w:p>
            <w:pPr>
              <w:pStyle w:val="Compact"/>
              <w:jc w:val="left"/>
            </w:pPr>
            <w:r>
              <w:t xml:space="preserve">0.117</w:t>
            </w:r>
          </w:p>
        </w:tc>
        <w:tc>
          <w:tcPr/>
          <w:p>
            <w:pPr>
              <w:pStyle w:val="Compact"/>
              <w:jc w:val="left"/>
            </w:pPr>
            <w:r>
              <w:t xml:space="preserve">0.197</w:t>
            </w:r>
          </w:p>
        </w:tc>
        <w:tc>
          <w:tcPr/>
          <w:p>
            <w:pPr>
              <w:pStyle w:val="Compact"/>
              <w:jc w:val="left"/>
            </w:pPr>
            <w:r>
              <w:t xml:space="preserve">0.027</w:t>
            </w:r>
          </w:p>
        </w:tc>
        <w:tc>
          <w:tcPr/>
          <w:p>
            <w:pPr>
              <w:pStyle w:val="Compact"/>
              <w:jc w:val="left"/>
            </w:pPr>
            <w:r>
              <w:t xml:space="preserve">0.480</w:t>
            </w:r>
          </w:p>
        </w:tc>
        <w:tc>
          <w:tcPr/>
          <w:p>
            <w:pPr>
              <w:pStyle w:val="Compact"/>
              <w:jc w:val="left"/>
            </w:pPr>
            <w:r>
              <w:t xml:space="preserve">0.063</w:t>
            </w:r>
          </w:p>
        </w:tc>
        <w:tc>
          <w:tcPr/>
          <w:p>
            <w:pPr>
              <w:pStyle w:val="Compact"/>
              <w:jc w:val="left"/>
            </w:pPr>
            <w:r>
              <w:t xml:space="preserve">16 / 11</w:t>
            </w:r>
          </w:p>
        </w:tc>
      </w:tr>
      <w:tr>
        <w:tc>
          <w:tcPr/>
          <w:p>
            <w:pPr>
              <w:pStyle w:val="Compact"/>
              <w:jc w:val="left"/>
            </w:pPr>
            <w:r>
              <w:t xml:space="preserve">FD004 (249)</w:t>
            </w:r>
          </w:p>
        </w:tc>
        <w:tc>
          <w:tcPr/>
          <w:p>
            <w:pPr>
              <w:pStyle w:val="Compact"/>
              <w:jc w:val="left"/>
            </w:pPr>
            <w:r>
              <w:t xml:space="preserve">31 (0.124; 0.086–0.172)</w:t>
            </w:r>
          </w:p>
        </w:tc>
        <w:tc>
          <w:tcPr/>
          <w:p>
            <w:pPr>
              <w:pStyle w:val="Compact"/>
              <w:jc w:val="left"/>
            </w:pPr>
            <w:r>
              <w:t xml:space="preserve">0.051</w:t>
            </w:r>
          </w:p>
        </w:tc>
        <w:tc>
          <w:tcPr/>
          <w:p>
            <w:pPr>
              <w:pStyle w:val="Compact"/>
              <w:jc w:val="left"/>
            </w:pPr>
            <w:r>
              <w:t xml:space="preserve">0.104</w:t>
            </w:r>
          </w:p>
        </w:tc>
        <w:tc>
          <w:tcPr/>
          <w:p>
            <w:pPr>
              <w:pStyle w:val="Compact"/>
              <w:jc w:val="left"/>
            </w:pPr>
            <w:r>
              <w:t xml:space="preserve">0.206</w:t>
            </w:r>
          </w:p>
        </w:tc>
        <w:tc>
          <w:tcPr/>
          <w:p>
            <w:pPr>
              <w:pStyle w:val="Compact"/>
              <w:jc w:val="left"/>
            </w:pPr>
            <w:r>
              <w:t xml:space="preserve">0.011</w:t>
            </w:r>
          </w:p>
        </w:tc>
        <w:tc>
          <w:tcPr/>
          <w:p>
            <w:pPr>
              <w:pStyle w:val="Compact"/>
              <w:jc w:val="left"/>
            </w:pPr>
            <w:r>
              <w:t xml:space="preserve">0.466</w:t>
            </w:r>
          </w:p>
        </w:tc>
        <w:tc>
          <w:tcPr/>
          <w:p>
            <w:pPr>
              <w:pStyle w:val="Compact"/>
              <w:jc w:val="left"/>
            </w:pPr>
            <w:r>
              <w:t xml:space="preserve">0.086</w:t>
            </w:r>
          </w:p>
        </w:tc>
        <w:tc>
          <w:tcPr/>
          <w:p>
            <w:pPr>
              <w:pStyle w:val="Compact"/>
              <w:jc w:val="left"/>
            </w:pPr>
            <w:r>
              <w:t xml:space="preserve">16 / 11</w:t>
            </w:r>
          </w:p>
        </w:tc>
      </w:tr>
      <w:tr>
        <w:tc>
          <w:tcPr/>
          <w:p>
            <w:pPr>
              <w:pStyle w:val="Compact"/>
              <w:jc w:val="left"/>
            </w:pPr>
            <w:r>
              <w:t xml:space="preserve">N-CMAPSS (99)</w:t>
            </w:r>
          </w:p>
        </w:tc>
        <w:tc>
          <w:tcPr/>
          <w:p>
            <w:pPr>
              <w:pStyle w:val="Compact"/>
              <w:jc w:val="left"/>
            </w:pPr>
            <w:r>
              <w:t xml:space="preserve">11 (0.111; 0.057–0.190)</w:t>
            </w:r>
          </w:p>
        </w:tc>
        <w:tc>
          <w:tcPr/>
          <w:p>
            <w:pPr>
              <w:pStyle w:val="Compact"/>
              <w:jc w:val="left"/>
            </w:pPr>
            <w:r>
              <w:t xml:space="preserve">0.037</w:t>
            </w:r>
          </w:p>
        </w:tc>
        <w:tc>
          <w:tcPr/>
          <w:p>
            <w:pPr>
              <w:pStyle w:val="Compact"/>
              <w:jc w:val="left"/>
            </w:pPr>
            <w:r>
              <w:t xml:space="preserve">0.111</w:t>
            </w:r>
          </w:p>
        </w:tc>
        <w:tc>
          <w:tcPr/>
          <w:p>
            <w:pPr>
              <w:pStyle w:val="Compact"/>
              <w:jc w:val="left"/>
            </w:pPr>
            <w:r>
              <w:t xml:space="preserve">0.178</w:t>
            </w:r>
          </w:p>
        </w:tc>
        <w:tc>
          <w:tcPr/>
          <w:p>
            <w:pPr>
              <w:pStyle w:val="Compact"/>
              <w:jc w:val="left"/>
            </w:pPr>
            <w:r>
              <w:t xml:space="preserve">0.057</w:t>
            </w:r>
          </w:p>
        </w:tc>
        <w:tc>
          <w:tcPr/>
          <w:p>
            <w:pPr>
              <w:pStyle w:val="Compact"/>
              <w:jc w:val="left"/>
            </w:pPr>
            <w:r>
              <w:t xml:space="preserve">0.182</w:t>
            </w:r>
          </w:p>
        </w:tc>
        <w:tc>
          <w:tcPr/>
          <w:p>
            <w:pPr>
              <w:pStyle w:val="Compact"/>
              <w:jc w:val="left"/>
            </w:pPr>
            <w:r>
              <w:t xml:space="preserve">0.152</w:t>
            </w:r>
          </w:p>
        </w:tc>
        <w:tc>
          <w:tcPr/>
          <w:p>
            <w:pPr>
              <w:pStyle w:val="Compact"/>
              <w:jc w:val="left"/>
            </w:pPr>
            <w:r>
              <w:t xml:space="preserve">23 / 19</w:t>
            </w:r>
          </w:p>
        </w:tc>
      </w:tr>
      <w:tr>
        <w:tc>
          <w:tcPr/>
          <w:p>
            <w:pPr>
              <w:pStyle w:val="Compact"/>
              <w:jc w:val="left"/>
            </w:pPr>
            <w:r>
              <w:t xml:space="preserve">Battery (123)</w:t>
            </w:r>
          </w:p>
        </w:tc>
        <w:tc>
          <w:tcPr/>
          <w:p>
            <w:pPr>
              <w:pStyle w:val="Compact"/>
              <w:jc w:val="left"/>
            </w:pPr>
            <w:r>
              <w:t xml:space="preserve">15 (0.122; 0.070–0.193)</w:t>
            </w:r>
          </w:p>
        </w:tc>
        <w:tc>
          <w:tcPr/>
          <w:p>
            <w:pPr>
              <w:pStyle w:val="Compact"/>
              <w:jc w:val="left"/>
            </w:pPr>
            <w:r>
              <w:t xml:space="preserve">0.033</w:t>
            </w:r>
          </w:p>
        </w:tc>
        <w:tc>
          <w:tcPr/>
          <w:p>
            <w:pPr>
              <w:pStyle w:val="Compact"/>
              <w:jc w:val="left"/>
            </w:pPr>
            <w:r>
              <w:t xml:space="preserve">0.106</w:t>
            </w:r>
          </w:p>
        </w:tc>
        <w:tc>
          <w:tcPr/>
          <w:p>
            <w:pPr>
              <w:pStyle w:val="Compact"/>
              <w:jc w:val="left"/>
            </w:pPr>
            <w:r>
              <w:t xml:space="preserve">0.198</w:t>
            </w:r>
          </w:p>
        </w:tc>
        <w:tc>
          <w:tcPr/>
          <w:p>
            <w:pPr>
              <w:pStyle w:val="Compact"/>
              <w:jc w:val="left"/>
            </w:pPr>
            <w:r>
              <w:t xml:space="preserve">0.011</w:t>
            </w:r>
          </w:p>
        </w:tc>
        <w:tc>
          <w:tcPr/>
          <w:p>
            <w:pPr>
              <w:pStyle w:val="Compact"/>
              <w:jc w:val="left"/>
            </w:pPr>
            <w:r>
              <w:t xml:space="preserve">0.696</w:t>
            </w:r>
          </w:p>
        </w:tc>
        <w:tc>
          <w:tcPr/>
          <w:p>
            <w:pPr>
              <w:pStyle w:val="Compact"/>
              <w:jc w:val="left"/>
            </w:pPr>
            <w:r>
              <w:t xml:space="preserve">0.070</w:t>
            </w:r>
          </w:p>
        </w:tc>
        <w:tc>
          <w:tcPr/>
          <w:p>
            <w:pPr>
              <w:pStyle w:val="Compact"/>
              <w:jc w:val="left"/>
            </w:pPr>
            <w:r>
              <w:t xml:space="preserve">43 / 28</w:t>
            </w:r>
          </w:p>
        </w:tc>
      </w:tr>
    </w:tbl>
    <w:p>
      <w:pPr>
        <w:pStyle w:val="CaptionedFigure"/>
      </w:pPr>
      <w:r>
        <w:drawing>
          <wp:inline>
            <wp:extent cx="5334000" cy="2513563"/>
            <wp:effectExtent b="0" l="0" r="0" t="0"/>
            <wp:docPr descr="Fig. 2. Failure before the planned replacement at the primary lead time (10 cycles; battery 30) for the conformal notice alarm (CNA) and per-cycle split-conformal lower-bound alarms on the same signal and trigger, at three nominal levels (dashed). Dots: the three repetitions; bars: their mean. Five-fold cross-validation." title="" id="36" name="Picture"/>
            <a:graphic>
              <a:graphicData uri="http://schemas.openxmlformats.org/drawingml/2006/picture">
                <pic:pic>
                  <pic:nvPicPr>
                    <pic:cNvPr descr="figures/Fig2_validity.png" id="37" name="Picture"/>
                    <pic:cNvPicPr>
                      <a:picLocks noChangeArrowheads="1" noChangeAspect="1"/>
                    </pic:cNvPicPr>
                  </pic:nvPicPr>
                  <pic:blipFill>
                    <a:blip r:embed="rId35"/>
                    <a:stretch>
                      <a:fillRect/>
                    </a:stretch>
                  </pic:blipFill>
                  <pic:spPr bwMode="auto">
                    <a:xfrm>
                      <a:off x="0" y="0"/>
                      <a:ext cx="5334000" cy="2513563"/>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Failure before the planned replacement at the primary lead time (10 cycles; battery 30) for the conformal notice alarm (CNA) and per-cycle split-conformal lower-bound alarms on the same signal and trigger, at three nominal levels (dashed). Dots: the three repetitions; bars: their mean. Five-fold cross-validation.</w:t>
      </w:r>
    </w:p>
    <w:bookmarkEnd w:id="38"/>
    <w:bookmarkStart w:id="42" w:name="what-the-window-score-measured-h3"/>
    <w:p>
      <w:pPr>
        <w:pStyle w:val="Heading2"/>
      </w:pPr>
      <w:r>
        <w:t xml:space="preserve">7.2 What the window score measured (H3)</w:t>
      </w:r>
    </w:p>
    <w:p>
      <w:pPr>
        <w:pStyle w:val="FirstParagraph"/>
      </w:pPr>
      <w:r>
        <w:t xml:space="preserve">Theorem 1 says that the window scores of the estimate and of a constant can differ only through units whose notice falls near an edge of the constant’s acceptance band. On every dataset the reported estimate at the alarm was pinned below the level as part (iii) states (100 % of alarms within</w:t>
      </w:r>
      <w:r>
        <w:t xml:space="preserve"> </w:t>
      </w:r>
      <m:oMath>
        <m:d>
          <m:dPr>
            <m:begChr m:val="["/>
            <m:endChr m:val="]"/>
            <m:sepChr m:val=""/>
            <m:grow/>
          </m:dPr>
          <m:e>
            <m:r>
              <m:t>H</m:t>
            </m:r>
            <m:r>
              <m:rPr>
                <m:sty m:val="p"/>
              </m:rPr>
              <m:t>−</m:t>
            </m:r>
            <m:r>
              <m:t>k</m:t>
            </m:r>
            <m:sSup>
              <m:e>
                <m:r>
                  <m:t>δ</m:t>
                </m:r>
              </m:e>
              <m:sup>
                <m:r>
                  <m:rPr>
                    <m:sty m:val="p"/>
                  </m:rPr>
                  <m:t>+</m:t>
                </m:r>
              </m:sup>
            </m:sSup>
            <m:r>
              <m:rPr>
                <m:sty m:val="p"/>
              </m:rPr>
              <m:t>,</m:t>
            </m:r>
            <m:r>
              <m:t>H</m:t>
            </m:r>
          </m:e>
        </m:d>
      </m:oMath>
      <w:r>
        <w:t xml:space="preserve">) and varied much less than the notice: its standard deviation was 2.3–3.2 cycles on the engines against 4.9–18.0 cycles for the notice (battery 6.3 against 12.9). Discordant units, correct under one report and not the other, were 6.9–14.0 % on the C-MAPSS datasets and PHM08, 11.4 % on the battery cells and 30.3 % on N-CMAPSS (Table 3).</w:t>
      </w:r>
    </w:p>
    <w:p>
      <w:pPr>
        <w:pStyle w:val="BodyText"/>
      </w:pPr>
      <w:r>
        <w:t xml:space="preserve">The protocol’s equivalence test, however, was</w:t>
      </w:r>
      <w:r>
        <w:t xml:space="preserve"> </w:t>
      </w:r>
      <w:r>
        <w:rPr>
          <w:bCs/>
          <w:b/>
        </w:rPr>
        <w:t xml:space="preserve">not supported</w:t>
      </w:r>
      <w:r>
        <w:t xml:space="preserve">. With a margin of ±5 points, model and constant were equivalent only on FD002. On FD001, FD003 and N-CMAPSS the intervals were too wide to decide. On PHM08 and FD004 the constant was significantly</w:t>
      </w:r>
      <w:r>
        <w:t xml:space="preserve"> </w:t>
      </w:r>
      <w:r>
        <w:rPr>
          <w:iCs/>
          <w:i/>
        </w:rPr>
        <w:t xml:space="preserve">better</w:t>
      </w:r>
      <w:r>
        <w:t xml:space="preserve"> </w:t>
      </w:r>
      <w:r>
        <w:t xml:space="preserve">than the model’s estimate (−6.4 and −6.0 points; 90 % intervals −10.3 to −3.1 and −9.7 to −2.7), and on the battery cells the estimate was significantly better than the constant (+9.8 points, +5.4 to +15.3), the one dataset where the estimate’s spread at the alarm was a sizeable fraction of the window width (6.3 of 45 cycles). This corrects the earlier study’s summary that the estimate changed the score by at most 3.6 points [3]: in the present design, with 60 % of the training units used for fitting, the estimate moved the score by up to 10 points in either direction. What did hold is the qualitative reading of Theorem 1: the score is determined by the alarm time up to a band of discordant units that is small when the estimate’s spread at the alarm is small. The plug-in bound of part (ii), computed on calibration units, exceeded the realised score difference on 6 of 7 datasets and the realised discordance on 4 of 7 (Fig. 3b); it is an estimate, not a guarantee, because</w:t>
      </w:r>
      <w:r>
        <w:t xml:space="preserve"> </w:t>
      </w:r>
      <m:oMath>
        <m:sSub>
          <m:e>
            <m:r>
              <m:t>π</m:t>
            </m:r>
          </m:e>
          <m:sub>
            <m:r>
              <m:t>a</m:t>
            </m:r>
          </m:sub>
        </m:sSub>
      </m:oMath>
      <w:r>
        <w:t xml:space="preserve"> </w:t>
      </w:r>
      <w:r>
        <w:t xml:space="preserve">and</w:t>
      </w:r>
      <w:r>
        <w:t xml:space="preserve"> </w:t>
      </w:r>
      <m:oMath>
        <m:sSub>
          <m:e>
            <m:r>
              <m:t>π</m:t>
            </m:r>
          </m:e>
          <m:sub>
            <m:r>
              <m:t>b</m:t>
            </m:r>
          </m:sub>
        </m:sSub>
      </m:oMath>
      <w:r>
        <w:t xml:space="preserve"> </w:t>
      </w:r>
      <w:r>
        <w:t xml:space="preserve">are estimated. For the purpose of this paper the conclusion is the one that motivates Section 5: a window score bounds neither the notice nor the failure probability, so neither should be inferred from it.</w:t>
      </w:r>
    </w:p>
    <w:p>
      <w:pPr>
        <w:pStyle w:val="TableCaption"/>
      </w:pPr>
      <w:r>
        <w:rPr>
          <w:bCs/>
          <w:b/>
        </w:rPr>
        <w:t xml:space="preserve">Table 3.</w:t>
      </w:r>
      <w:r>
        <w:t xml:space="preserve"> </w:t>
      </w:r>
      <w:r>
        <w:t xml:space="preserve">Window score of the window-tuned alarm’s estimate and of one constant at the same alarm times (</w:t>
      </w:r>
      <m:oMath>
        <m:r>
          <m:t>H</m:t>
        </m:r>
      </m:oMath>
      <w:r>
        <w:t xml:space="preserve"> </w:t>
      </w:r>
      <w:r>
        <w:t xml:space="preserve">= 20 cycles; battery 60), repetition 0. Difference: estimate − constant with Tango 90 % interval; equivalence margin ±5 points (protocol). SD: standard deviation at the alarm (cycles). Bound: Theorem 1 (ii) estimated on calibration units; Disc.: realised share of discordant units.</w:t>
      </w:r>
    </w:p>
    <w:tbl>
      <w:tblPr>
        <w:tblStyle w:val="Table"/>
        <w:tblW w:type="pct" w:w="5000"/>
        <w:tblLook w:firstRow="1" w:lastRow="0" w:firstColumn="0" w:lastColumn="0" w:noHBand="0" w:noVBand="0" w:val="0020"/>
        <w:jc w:val="start"/>
        <w:tblCaption w:val="Table 3. Window score of the window-tuned alarm’s estimate and of one constant at the same alarm times (H = 20 cycles; battery 60), repetition 0. Difference: estimate − constant with Tango 90 % interval; equivalence margin ±5 points (protocol). SD: standard deviation at the alarm (cycles). Bound: Theorem 1 (ii) estimated on calibration units; Disc.: realised share of discordant units."/>
      </w:tblPr>
      <w:tblGrid>
        <w:gridCol w:w="879"/>
        <w:gridCol w:w="879"/>
        <w:gridCol w:w="879"/>
        <w:gridCol w:w="879"/>
        <w:gridCol w:w="879"/>
        <w:gridCol w:w="879"/>
        <w:gridCol w:w="879"/>
        <w:gridCol w:w="879"/>
        <w:gridCol w:w="879"/>
      </w:tblGrid>
      <w:tr>
        <w:trPr>
          <w:tblHeader w:val="true"/>
        </w:trPr>
        <w:tc>
          <w:tcPr/>
          <w:p>
            <w:pPr>
              <w:pStyle w:val="Compact"/>
              <w:jc w:val="left"/>
            </w:pPr>
            <w:r>
              <w:t xml:space="preserve">Dataset</w:t>
            </w:r>
          </w:p>
        </w:tc>
        <w:tc>
          <w:tcPr/>
          <w:p>
            <w:pPr>
              <w:pStyle w:val="Compact"/>
              <w:jc w:val="left"/>
            </w:pPr>
            <w:r>
              <w:t xml:space="preserve">n</w:t>
            </w:r>
          </w:p>
        </w:tc>
        <w:tc>
          <w:tcPr/>
          <w:p>
            <w:pPr>
              <w:pStyle w:val="Compact"/>
              <w:jc w:val="left"/>
            </w:pPr>
            <w:r>
              <w:t xml:space="preserve">Estimate (%)</w:t>
            </w:r>
          </w:p>
        </w:tc>
        <w:tc>
          <w:tcPr/>
          <w:p>
            <w:pPr>
              <w:pStyle w:val="Compact"/>
              <w:jc w:val="left"/>
            </w:pPr>
            <w:r>
              <w:t xml:space="preserve">Constant (%)</w:t>
            </w:r>
          </w:p>
        </w:tc>
        <w:tc>
          <w:tcPr/>
          <w:p>
            <w:pPr>
              <w:pStyle w:val="Compact"/>
              <w:jc w:val="left"/>
            </w:pPr>
            <w:r>
              <w:t xml:space="preserve">Discordant (est./const.)</w:t>
            </w:r>
          </w:p>
        </w:tc>
        <w:tc>
          <w:tcPr/>
          <w:p>
            <w:pPr>
              <w:pStyle w:val="Compact"/>
              <w:jc w:val="left"/>
            </w:pPr>
            <w:r>
              <w:t xml:space="preserve">Difference (90 % CI)</w:t>
            </w:r>
          </w:p>
        </w:tc>
        <w:tc>
          <w:tcPr/>
          <w:p>
            <w:pPr>
              <w:pStyle w:val="Compact"/>
              <w:jc w:val="left"/>
            </w:pPr>
            <w:r>
              <w:t xml:space="preserve">TOST p</w:t>
            </w:r>
          </w:p>
        </w:tc>
        <w:tc>
          <w:tcPr/>
          <w:p>
            <w:pPr>
              <w:pStyle w:val="Compact"/>
              <w:jc w:val="left"/>
            </w:pPr>
            <w:r>
              <w:t xml:space="preserve">SD estimate / notice</w:t>
            </w:r>
          </w:p>
        </w:tc>
        <w:tc>
          <w:tcPr/>
          <w:p>
            <w:pPr>
              <w:pStyle w:val="Compact"/>
              <w:jc w:val="left"/>
            </w:pPr>
            <w:r>
              <w:t xml:space="preserve">Bound / Disc. (points)</w:t>
            </w:r>
          </w:p>
        </w:tc>
      </w:tr>
      <w:tr>
        <w:tc>
          <w:tcPr/>
          <w:p>
            <w:pPr>
              <w:pStyle w:val="Compact"/>
              <w:jc w:val="left"/>
            </w:pPr>
            <w:r>
              <w:t xml:space="preserve">PHM08</w:t>
            </w:r>
          </w:p>
        </w:tc>
        <w:tc>
          <w:tcPr/>
          <w:p>
            <w:pPr>
              <w:pStyle w:val="Compact"/>
              <w:jc w:val="left"/>
            </w:pPr>
            <w:r>
              <w:t xml:space="preserve">218</w:t>
            </w:r>
          </w:p>
        </w:tc>
        <w:tc>
          <w:tcPr/>
          <w:p>
            <w:pPr>
              <w:pStyle w:val="Compact"/>
              <w:jc w:val="left"/>
            </w:pPr>
            <w:r>
              <w:t xml:space="preserve">87.6</w:t>
            </w:r>
          </w:p>
        </w:tc>
        <w:tc>
          <w:tcPr/>
          <w:p>
            <w:pPr>
              <w:pStyle w:val="Compact"/>
              <w:jc w:val="left"/>
            </w:pPr>
            <w:r>
              <w:t xml:space="preserve">94.0</w:t>
            </w:r>
          </w:p>
        </w:tc>
        <w:tc>
          <w:tcPr/>
          <w:p>
            <w:pPr>
              <w:pStyle w:val="Compact"/>
              <w:jc w:val="left"/>
            </w:pPr>
            <w:r>
              <w:t xml:space="preserve">4 / 18</w:t>
            </w:r>
          </w:p>
        </w:tc>
        <w:tc>
          <w:tcPr/>
          <w:p>
            <w:pPr>
              <w:pStyle w:val="Compact"/>
              <w:jc w:val="left"/>
            </w:pPr>
            <w:r>
              <w:t xml:space="preserve">−6.4 (−10.3, −3.1)</w:t>
            </w:r>
          </w:p>
        </w:tc>
        <w:tc>
          <w:tcPr/>
          <w:p>
            <w:pPr>
              <w:pStyle w:val="Compact"/>
              <w:jc w:val="left"/>
            </w:pPr>
            <w:r>
              <w:t xml:space="preserve">0.756</w:t>
            </w:r>
          </w:p>
        </w:tc>
        <w:tc>
          <w:tcPr/>
          <w:p>
            <w:pPr>
              <w:pStyle w:val="Compact"/>
              <w:jc w:val="left"/>
            </w:pPr>
            <w:r>
              <w:t xml:space="preserve">2.6 / 4.9</w:t>
            </w:r>
          </w:p>
        </w:tc>
        <w:tc>
          <w:tcPr/>
          <w:p>
            <w:pPr>
              <w:pStyle w:val="Compact"/>
              <w:jc w:val="left"/>
            </w:pPr>
            <w:r>
              <w:t xml:space="preserve">15.9 / 10.1</w:t>
            </w:r>
          </w:p>
        </w:tc>
      </w:tr>
      <w:tr>
        <w:tc>
          <w:tcPr/>
          <w:p>
            <w:pPr>
              <w:pStyle w:val="Compact"/>
              <w:jc w:val="left"/>
            </w:pPr>
            <w:r>
              <w:t xml:space="preserve">FD001</w:t>
            </w:r>
          </w:p>
        </w:tc>
        <w:tc>
          <w:tcPr/>
          <w:p>
            <w:pPr>
              <w:pStyle w:val="Compact"/>
              <w:jc w:val="left"/>
            </w:pPr>
            <w:r>
              <w:t xml:space="preserve">100</w:t>
            </w:r>
          </w:p>
        </w:tc>
        <w:tc>
          <w:tcPr/>
          <w:p>
            <w:pPr>
              <w:pStyle w:val="Compact"/>
              <w:jc w:val="left"/>
            </w:pPr>
            <w:r>
              <w:t xml:space="preserve">86.0</w:t>
            </w:r>
          </w:p>
        </w:tc>
        <w:tc>
          <w:tcPr/>
          <w:p>
            <w:pPr>
              <w:pStyle w:val="Compact"/>
              <w:jc w:val="left"/>
            </w:pPr>
            <w:r>
              <w:t xml:space="preserve">85.0</w:t>
            </w:r>
          </w:p>
        </w:tc>
        <w:tc>
          <w:tcPr/>
          <w:p>
            <w:pPr>
              <w:pStyle w:val="Compact"/>
              <w:jc w:val="left"/>
            </w:pPr>
            <w:r>
              <w:t xml:space="preserve">6 / 5</w:t>
            </w:r>
          </w:p>
        </w:tc>
        <w:tc>
          <w:tcPr/>
          <w:p>
            <w:pPr>
              <w:pStyle w:val="Compact"/>
              <w:jc w:val="left"/>
            </w:pPr>
            <w:r>
              <w:t xml:space="preserve">+1.0 (−4.9, +7.0)</w:t>
            </w:r>
          </w:p>
        </w:tc>
        <w:tc>
          <w:tcPr/>
          <w:p>
            <w:pPr>
              <w:pStyle w:val="Compact"/>
              <w:jc w:val="left"/>
            </w:pPr>
            <w:r>
              <w:t xml:space="preserve">0.126</w:t>
            </w:r>
          </w:p>
        </w:tc>
        <w:tc>
          <w:tcPr/>
          <w:p>
            <w:pPr>
              <w:pStyle w:val="Compact"/>
              <w:jc w:val="left"/>
            </w:pPr>
            <w:r>
              <w:t xml:space="preserve">3.0 / 5.3</w:t>
            </w:r>
          </w:p>
        </w:tc>
        <w:tc>
          <w:tcPr/>
          <w:p>
            <w:pPr>
              <w:pStyle w:val="Compact"/>
              <w:jc w:val="left"/>
            </w:pPr>
            <w:r>
              <w:t xml:space="preserve">19.1 / 11.0</w:t>
            </w:r>
          </w:p>
        </w:tc>
      </w:tr>
      <w:tr>
        <w:tc>
          <w:tcPr/>
          <w:p>
            <w:pPr>
              <w:pStyle w:val="Compact"/>
              <w:jc w:val="left"/>
            </w:pPr>
            <w:r>
              <w:t xml:space="preserve">FD002</w:t>
            </w:r>
          </w:p>
        </w:tc>
        <w:tc>
          <w:tcPr/>
          <w:p>
            <w:pPr>
              <w:pStyle w:val="Compact"/>
              <w:jc w:val="left"/>
            </w:pPr>
            <w:r>
              <w:t xml:space="preserve">260</w:t>
            </w:r>
          </w:p>
        </w:tc>
        <w:tc>
          <w:tcPr/>
          <w:p>
            <w:pPr>
              <w:pStyle w:val="Compact"/>
              <w:jc w:val="left"/>
            </w:pPr>
            <w:r>
              <w:t xml:space="preserve">90.4</w:t>
            </w:r>
          </w:p>
        </w:tc>
        <w:tc>
          <w:tcPr/>
          <w:p>
            <w:pPr>
              <w:pStyle w:val="Compact"/>
              <w:jc w:val="left"/>
            </w:pPr>
            <w:r>
              <w:t xml:space="preserve">91.9</w:t>
            </w:r>
          </w:p>
        </w:tc>
        <w:tc>
          <w:tcPr/>
          <w:p>
            <w:pPr>
              <w:pStyle w:val="Compact"/>
              <w:jc w:val="left"/>
            </w:pPr>
            <w:r>
              <w:t xml:space="preserve">7 / 11</w:t>
            </w:r>
          </w:p>
        </w:tc>
        <w:tc>
          <w:tcPr/>
          <w:p>
            <w:pPr>
              <w:pStyle w:val="Compact"/>
              <w:jc w:val="left"/>
            </w:pPr>
            <w:r>
              <w:t xml:space="preserve">−1.5 (−4.5, +1.2)</w:t>
            </w:r>
          </w:p>
        </w:tc>
        <w:tc>
          <w:tcPr/>
          <w:p>
            <w:pPr>
              <w:pStyle w:val="Compact"/>
              <w:jc w:val="left"/>
            </w:pPr>
            <w:r>
              <w:t xml:space="preserve">0.028</w:t>
            </w:r>
          </w:p>
        </w:tc>
        <w:tc>
          <w:tcPr/>
          <w:p>
            <w:pPr>
              <w:pStyle w:val="Compact"/>
              <w:jc w:val="left"/>
            </w:pPr>
            <w:r>
              <w:t xml:space="preserve">2.4 / 5.2</w:t>
            </w:r>
          </w:p>
        </w:tc>
        <w:tc>
          <w:tcPr/>
          <w:p>
            <w:pPr>
              <w:pStyle w:val="Compact"/>
              <w:jc w:val="left"/>
            </w:pPr>
            <w:r>
              <w:t xml:space="preserve">13.6 / 6.9</w:t>
            </w:r>
          </w:p>
        </w:tc>
      </w:tr>
      <w:tr>
        <w:tc>
          <w:tcPr/>
          <w:p>
            <w:pPr>
              <w:pStyle w:val="Compact"/>
              <w:jc w:val="left"/>
            </w:pPr>
            <w:r>
              <w:t xml:space="preserve">FD003</w:t>
            </w:r>
          </w:p>
        </w:tc>
        <w:tc>
          <w:tcPr/>
          <w:p>
            <w:pPr>
              <w:pStyle w:val="Compact"/>
              <w:jc w:val="left"/>
            </w:pPr>
            <w:r>
              <w:t xml:space="preserve">100</w:t>
            </w:r>
          </w:p>
        </w:tc>
        <w:tc>
          <w:tcPr/>
          <w:p>
            <w:pPr>
              <w:pStyle w:val="Compact"/>
              <w:jc w:val="left"/>
            </w:pPr>
            <w:r>
              <w:t xml:space="preserve">84.0</w:t>
            </w:r>
          </w:p>
        </w:tc>
        <w:tc>
          <w:tcPr/>
          <w:p>
            <w:pPr>
              <w:pStyle w:val="Compact"/>
              <w:jc w:val="left"/>
            </w:pPr>
            <w:r>
              <w:t xml:space="preserve">86.0</w:t>
            </w:r>
          </w:p>
        </w:tc>
        <w:tc>
          <w:tcPr/>
          <w:p>
            <w:pPr>
              <w:pStyle w:val="Compact"/>
              <w:jc w:val="left"/>
            </w:pPr>
            <w:r>
              <w:t xml:space="preserve">6 / 8</w:t>
            </w:r>
          </w:p>
        </w:tc>
        <w:tc>
          <w:tcPr/>
          <w:p>
            <w:pPr>
              <w:pStyle w:val="Compact"/>
              <w:jc w:val="left"/>
            </w:pPr>
            <w:r>
              <w:t xml:space="preserve">−2.0 (−8.6, +4.5)</w:t>
            </w:r>
          </w:p>
        </w:tc>
        <w:tc>
          <w:tcPr/>
          <w:p>
            <w:pPr>
              <w:pStyle w:val="Compact"/>
              <w:jc w:val="left"/>
            </w:pPr>
            <w:r>
              <w:t xml:space="preserve">0.216</w:t>
            </w:r>
          </w:p>
        </w:tc>
        <w:tc>
          <w:tcPr/>
          <w:p>
            <w:pPr>
              <w:pStyle w:val="Compact"/>
              <w:jc w:val="left"/>
            </w:pPr>
            <w:r>
              <w:t xml:space="preserve">2.9 / 5.3</w:t>
            </w:r>
          </w:p>
        </w:tc>
        <w:tc>
          <w:tcPr/>
          <w:p>
            <w:pPr>
              <w:pStyle w:val="Compact"/>
              <w:jc w:val="left"/>
            </w:pPr>
            <w:r>
              <w:t xml:space="preserve">13.6 / 14.0</w:t>
            </w:r>
          </w:p>
        </w:tc>
      </w:tr>
      <w:tr>
        <w:tc>
          <w:tcPr/>
          <w:p>
            <w:pPr>
              <w:pStyle w:val="Compact"/>
              <w:jc w:val="left"/>
            </w:pPr>
            <w:r>
              <w:t xml:space="preserve">FD004</w:t>
            </w:r>
          </w:p>
        </w:tc>
        <w:tc>
          <w:tcPr/>
          <w:p>
            <w:pPr>
              <w:pStyle w:val="Compact"/>
              <w:jc w:val="left"/>
            </w:pPr>
            <w:r>
              <w:t xml:space="preserve">249</w:t>
            </w:r>
          </w:p>
        </w:tc>
        <w:tc>
          <w:tcPr/>
          <w:p>
            <w:pPr>
              <w:pStyle w:val="Compact"/>
              <w:jc w:val="left"/>
            </w:pPr>
            <w:r>
              <w:t xml:space="preserve">79.1</w:t>
            </w:r>
          </w:p>
        </w:tc>
        <w:tc>
          <w:tcPr/>
          <w:p>
            <w:pPr>
              <w:pStyle w:val="Compact"/>
              <w:jc w:val="left"/>
            </w:pPr>
            <w:r>
              <w:t xml:space="preserve">85.1</w:t>
            </w:r>
          </w:p>
        </w:tc>
        <w:tc>
          <w:tcPr/>
          <w:p>
            <w:pPr>
              <w:pStyle w:val="Compact"/>
              <w:jc w:val="left"/>
            </w:pPr>
            <w:r>
              <w:t xml:space="preserve">6 / 21</w:t>
            </w:r>
          </w:p>
        </w:tc>
        <w:tc>
          <w:tcPr/>
          <w:p>
            <w:pPr>
              <w:pStyle w:val="Compact"/>
              <w:jc w:val="left"/>
            </w:pPr>
            <w:r>
              <w:t xml:space="preserve">−6.0 (−9.7, −2.7)</w:t>
            </w:r>
          </w:p>
        </w:tc>
        <w:tc>
          <w:tcPr/>
          <w:p>
            <w:pPr>
              <w:pStyle w:val="Compact"/>
              <w:jc w:val="left"/>
            </w:pPr>
            <w:r>
              <w:t xml:space="preserve">0.694</w:t>
            </w:r>
          </w:p>
        </w:tc>
        <w:tc>
          <w:tcPr/>
          <w:p>
            <w:pPr>
              <w:pStyle w:val="Compact"/>
              <w:jc w:val="left"/>
            </w:pPr>
            <w:r>
              <w:t xml:space="preserve">2.3 / 18.0</w:t>
            </w:r>
          </w:p>
        </w:tc>
        <w:tc>
          <w:tcPr/>
          <w:p>
            <w:pPr>
              <w:pStyle w:val="Compact"/>
              <w:jc w:val="left"/>
            </w:pPr>
            <w:r>
              <w:t xml:space="preserve">15.2 / 10.8</w:t>
            </w:r>
          </w:p>
        </w:tc>
      </w:tr>
      <w:tr>
        <w:tc>
          <w:tcPr/>
          <w:p>
            <w:pPr>
              <w:pStyle w:val="Compact"/>
              <w:jc w:val="left"/>
            </w:pPr>
            <w:r>
              <w:t xml:space="preserve">N-CMAPSS</w:t>
            </w:r>
          </w:p>
        </w:tc>
        <w:tc>
          <w:tcPr/>
          <w:p>
            <w:pPr>
              <w:pStyle w:val="Compact"/>
              <w:jc w:val="left"/>
            </w:pPr>
            <w:r>
              <w:t xml:space="preserve">99</w:t>
            </w:r>
          </w:p>
        </w:tc>
        <w:tc>
          <w:tcPr/>
          <w:p>
            <w:pPr>
              <w:pStyle w:val="Compact"/>
              <w:jc w:val="left"/>
            </w:pPr>
            <w:r>
              <w:t xml:space="preserve">52.5</w:t>
            </w:r>
          </w:p>
        </w:tc>
        <w:tc>
          <w:tcPr/>
          <w:p>
            <w:pPr>
              <w:pStyle w:val="Compact"/>
              <w:jc w:val="left"/>
            </w:pPr>
            <w:r>
              <w:t xml:space="preserve">56.6</w:t>
            </w:r>
          </w:p>
        </w:tc>
        <w:tc>
          <w:tcPr/>
          <w:p>
            <w:pPr>
              <w:pStyle w:val="Compact"/>
              <w:jc w:val="left"/>
            </w:pPr>
            <w:r>
              <w:t xml:space="preserve">13 / 17</w:t>
            </w:r>
          </w:p>
        </w:tc>
        <w:tc>
          <w:tcPr/>
          <w:p>
            <w:pPr>
              <w:pStyle w:val="Compact"/>
              <w:jc w:val="left"/>
            </w:pPr>
            <w:r>
              <w:t xml:space="preserve">−4.0 (−13.3, +5.2)</w:t>
            </w:r>
          </w:p>
        </w:tc>
        <w:tc>
          <w:tcPr/>
          <w:p>
            <w:pPr>
              <w:pStyle w:val="Compact"/>
              <w:jc w:val="left"/>
            </w:pPr>
            <w:r>
              <w:t xml:space="preserve">0.431</w:t>
            </w:r>
          </w:p>
        </w:tc>
        <w:tc>
          <w:tcPr/>
          <w:p>
            <w:pPr>
              <w:pStyle w:val="Compact"/>
              <w:jc w:val="left"/>
            </w:pPr>
            <w:r>
              <w:t xml:space="preserve">3.2 / 11.0</w:t>
            </w:r>
          </w:p>
        </w:tc>
        <w:tc>
          <w:tcPr/>
          <w:p>
            <w:pPr>
              <w:pStyle w:val="Compact"/>
              <w:jc w:val="left"/>
            </w:pPr>
            <w:r>
              <w:t xml:space="preserve">28.1 / 30.3</w:t>
            </w:r>
          </w:p>
        </w:tc>
      </w:tr>
      <w:tr>
        <w:tc>
          <w:tcPr/>
          <w:p>
            <w:pPr>
              <w:pStyle w:val="Compact"/>
              <w:jc w:val="left"/>
            </w:pPr>
            <w:r>
              <w:t xml:space="preserve">Battery</w:t>
            </w:r>
          </w:p>
        </w:tc>
        <w:tc>
          <w:tcPr/>
          <w:p>
            <w:pPr>
              <w:pStyle w:val="Compact"/>
              <w:jc w:val="left"/>
            </w:pPr>
            <w:r>
              <w:t xml:space="preserve">123</w:t>
            </w:r>
          </w:p>
        </w:tc>
        <w:tc>
          <w:tcPr/>
          <w:p>
            <w:pPr>
              <w:pStyle w:val="Compact"/>
              <w:jc w:val="left"/>
            </w:pPr>
            <w:r>
              <w:t xml:space="preserve">95.1</w:t>
            </w:r>
          </w:p>
        </w:tc>
        <w:tc>
          <w:tcPr/>
          <w:p>
            <w:pPr>
              <w:pStyle w:val="Compact"/>
              <w:jc w:val="left"/>
            </w:pPr>
            <w:r>
              <w:t xml:space="preserve">85.4</w:t>
            </w:r>
          </w:p>
        </w:tc>
        <w:tc>
          <w:tcPr/>
          <w:p>
            <w:pPr>
              <w:pStyle w:val="Compact"/>
              <w:jc w:val="left"/>
            </w:pPr>
            <w:r>
              <w:t xml:space="preserve">13 / 1</w:t>
            </w:r>
          </w:p>
        </w:tc>
        <w:tc>
          <w:tcPr/>
          <w:p>
            <w:pPr>
              <w:pStyle w:val="Compact"/>
              <w:jc w:val="left"/>
            </w:pPr>
            <w:r>
              <w:t xml:space="preserve">+9.8 (+5.4, +15.3)</w:t>
            </w:r>
          </w:p>
        </w:tc>
        <w:tc>
          <w:tcPr/>
          <w:p>
            <w:pPr>
              <w:pStyle w:val="Compact"/>
              <w:jc w:val="left"/>
            </w:pPr>
            <w:r>
              <w:t xml:space="preserve">0.964</w:t>
            </w:r>
          </w:p>
        </w:tc>
        <w:tc>
          <w:tcPr/>
          <w:p>
            <w:pPr>
              <w:pStyle w:val="Compact"/>
              <w:jc w:val="left"/>
            </w:pPr>
            <w:r>
              <w:t xml:space="preserve">6.3 / 12.9</w:t>
            </w:r>
          </w:p>
        </w:tc>
        <w:tc>
          <w:tcPr/>
          <w:p>
            <w:pPr>
              <w:pStyle w:val="Compact"/>
              <w:jc w:val="left"/>
            </w:pPr>
            <w:r>
              <w:t xml:space="preserve">8.9 / 11.4</w:t>
            </w:r>
          </w:p>
        </w:tc>
      </w:tr>
    </w:tbl>
    <w:p>
      <w:pPr>
        <w:pStyle w:val="CaptionedFigure"/>
      </w:pPr>
      <w:r>
        <w:drawing>
          <wp:inline>
            <wp:extent cx="5334000" cy="2569242"/>
            <wp:effectExtent b="0" l="0" r="0" t="0"/>
            <wp:docPr descr="Fig. 3. (a) Difference in window score between the model’s estimate and a constant at the same alarm times (window-tuned alarm at H = 20 cycles, battery 60), with Tango 90 % intervals; shaded: equivalence margin of ±5 points fixed in the protocol. (b) Theorem 1 bound estimated on calibration units, against the realised discordance and score difference on test units." title="" id="40" name="Picture"/>
            <a:graphic>
              <a:graphicData uri="http://schemas.openxmlformats.org/drawingml/2006/picture">
                <pic:pic>
                  <pic:nvPicPr>
                    <pic:cNvPr descr="figures/Fig3_equivalence.png" id="41" name="Picture"/>
                    <pic:cNvPicPr>
                      <a:picLocks noChangeArrowheads="1" noChangeAspect="1"/>
                    </pic:cNvPicPr>
                  </pic:nvPicPr>
                  <pic:blipFill>
                    <a:blip r:embed="rId39"/>
                    <a:stretch>
                      <a:fillRect/>
                    </a:stretch>
                  </pic:blipFill>
                  <pic:spPr bwMode="auto">
                    <a:xfrm>
                      <a:off x="0" y="0"/>
                      <a:ext cx="5334000" cy="2569242"/>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(a) Difference in window score between the model’s estimate and a constant at the same alarm times (window-tuned alarm at</w:t>
      </w:r>
      <w:r>
        <w:t xml:space="preserve"> </w:t>
      </w:r>
      <m:oMath>
        <m:r>
          <m:t>H</m:t>
        </m:r>
      </m:oMath>
      <w:r>
        <w:t xml:space="preserve"> </w:t>
      </w:r>
      <w:r>
        <w:t xml:space="preserve">= 20 cycles, battery 60), with Tango 90 % intervals; shaded: equivalence margin of ±5 points fixed in the protocol. (b) Theorem 1 bound estimated on calibration units, against the realised discordance and score difference on test units.</w:t>
      </w:r>
    </w:p>
    <w:bookmarkEnd w:id="42"/>
    <w:bookmarkStart w:id="46" w:name="cost-a-certificate-not-a-saving-h4"/>
    <w:p>
      <w:pPr>
        <w:pStyle w:val="Heading2"/>
      </w:pPr>
      <w:r>
        <w:t xml:space="preserve">7.3 Cost: a certificate, not a saving (H4)</w:t>
      </w:r>
    </w:p>
    <w:p>
      <w:pPr>
        <w:pStyle w:val="FirstParagraph"/>
      </w:pPr>
      <w:r>
        <w:t xml:space="preserve">Table 4 and Fig. 4 compare the decision-aware CNA (</w:t>
      </w:r>
      <m:oMath>
        <m:sSub>
          <m:e>
            <m:r>
              <m:t>α</m:t>
            </m:r>
          </m:e>
          <m:sub>
            <m:r>
              <m:rPr>
                <m:sty m:val="p"/>
              </m:rPr>
              <m:t>max</m:t>
            </m:r>
          </m:sub>
        </m:sSub>
        <m:r>
          <m:rPr>
            <m:sty m:val="p"/>
          </m:rPr>
          <m:t>=</m:t>
        </m:r>
        <m:r>
          <m:t>0.10</m:t>
        </m:r>
      </m:oMath>
      <w:r>
        <w:t xml:space="preserve">) with every other policy in the 16 lead-time and cost-ratio cells. Its failure rate stayed at or below</w:t>
      </w:r>
      <w:r>
        <w:t xml:space="preserve"> </w:t>
      </w:r>
      <m:oMath>
        <m:sSub>
          <m:e>
            <m:r>
              <m:t>α</m:t>
            </m:r>
          </m:e>
          <m:sub>
            <m:r>
              <m:rPr>
                <m:sty m:val="p"/>
              </m:rPr>
              <m:t>max</m:t>
            </m:r>
          </m:sub>
        </m:sSub>
      </m:oMath>
      <w:r>
        <w:t xml:space="preserve"> </w:t>
      </w:r>
      <w:r>
        <w:t xml:space="preserve">in every cell with a positive lead time on every dataset (largest 6.1 %; no binomial test significant;</w:t>
      </w:r>
      <w:r>
        <w:t xml:space="preserve"> </w:t>
      </w:r>
      <w:r>
        <w:rPr>
          <w:bCs/>
          <w:b/>
        </w:rPr>
        <w:t xml:space="preserve">H4b supported</w:t>
      </w:r>
      <w:r>
        <w:t xml:space="preserve">), and over all cells and repetitions it failed on 1.8 % of units. By the protocol’s rule it was cheaper than age replacement on PHM08, FD002, FD004 and the battery cells (12–16 of 16 cells) and with a battery batch held out (15 of 16), and never significantly dearer on any dataset; cheaper than the probability-threshold policy with the heuristic threshold</w:t>
      </w:r>
      <w:r>
        <w:t xml:space="preserve"> </w:t>
      </w:r>
      <m:oMath>
        <m:r>
          <m:t>1</m:t>
        </m:r>
        <m:r>
          <m:rPr>
            <m:sty m:val="p"/>
          </m:rPr>
          <m:t>/</m:t>
        </m:r>
        <m:r>
          <m:t>ρ</m:t>
        </m:r>
      </m:oMath>
      <w:r>
        <w:t xml:space="preserve"> </w:t>
      </w:r>
      <w:r>
        <w:t xml:space="preserve">on PHM08, FD002 and FD004 and with N-CMAPSS subsets held out; cheaper than the LB-near alarm on five of seven datasets; cheaper than plain cost tuning on PHM08 and across battery batches; and cheaper than the optimised probability-threshold policy of Kamariotis et al. on PHM08, FD001 and the battery cells (8 of 16 cells each, never dearer there).</w:t>
      </w:r>
    </w:p>
    <w:p>
      <w:pPr>
        <w:pStyle w:val="BodyText"/>
      </w:pPr>
      <w:r>
        <w:t xml:space="preserve">It was</w:t>
      </w:r>
      <w:r>
        <w:t xml:space="preserve"> </w:t>
      </w:r>
      <w:r>
        <w:rPr>
          <w:bCs/>
          <w:b/>
        </w:rPr>
        <w:t xml:space="preserve">not the cheapest policy</w:t>
      </w:r>
      <w:r>
        <w:t xml:space="preserve">. The one-standard-error cost-tuned alarm, which chooses the most conservative setting within one bootstrap standard error of the minimum calibration cost, was cheaper than CNA-DA in 8 of 16 cells on FD001, 11 on FD003, 5 on FD002 and 4 on FD004, and dearer only in 4 cells on PHM08 and 1 each on FD002 and N-CMAPSS; its mean excess over the cheapest policy in each cell was 0–6 % on the engine and battery datasets, against 9–84 % for CNA-DA. Against the window-tuned alarm the comparison was mixed on every dataset, and against the optimised probability-threshold policy on FD002–FD004 and N-CMAPSS. On the battery cells the capacity trend was cheaper than CNA-DA in 12 of 16 cells (window-tuned) and was the cheapest policy overall, as in the earlier study. By the protocol’s rule,</w:t>
      </w:r>
      <w:r>
        <w:t xml:space="preserve"> </w:t>
      </w:r>
      <w:r>
        <w:rPr>
          <w:bCs/>
          <w:b/>
        </w:rPr>
        <w:t xml:space="preserve">H4 is not supported</w:t>
      </w:r>
      <w:r>
        <w:t xml:space="preserve"> </w:t>
      </w:r>
      <w:r>
        <w:t xml:space="preserve">for the claim that the guaranteed alarm saves cost.</w:t>
      </w:r>
    </w:p>
    <w:p>
      <w:pPr>
        <w:pStyle w:val="BodyText"/>
      </w:pPr>
      <w:r>
        <w:t xml:space="preserve">Proposition 2 explains most of the gap. CNA-DA can only choose among calibration critical levels, so its failure probability is at least</w:t>
      </w:r>
      <w:r>
        <w:t xml:space="preserve"> </w:t>
      </w:r>
      <m:oMath>
        <m:r>
          <m:t>1</m:t>
        </m:r>
        <m:r>
          <m:rPr>
            <m:sty m:val="p"/>
          </m:rPr>
          <m:t>/</m:t>
        </m:r>
        <m:d>
          <m:dPr>
            <m:begChr m:val="("/>
            <m:endChr m:val=")"/>
            <m:sepChr m:val=""/>
            <m:grow/>
          </m:dPr>
          <m:e>
            <m:r>
              <m:t>n</m:t>
            </m:r>
            <m:r>
              <m:rPr>
                <m:sty m:val="p"/>
              </m:rPr>
              <m:t>+</m:t>
            </m:r>
            <m:r>
              <m:t>1</m:t>
            </m:r>
          </m:e>
        </m:d>
      </m:oMath>
      <w:r>
        <w:t xml:space="preserve">, about 3 % with 32 calibration units. At</w:t>
      </w:r>
      <w:r>
        <w:t xml:space="preserve"> </w:t>
      </w:r>
      <m:oMath>
        <m:r>
          <m:t>ρ</m:t>
        </m:r>
        <m:r>
          <m:rPr>
            <m:sty m:val="p"/>
          </m:rPr>
          <m:t>=</m:t>
        </m:r>
        <m:r>
          <m:t>50</m:t>
        </m:r>
      </m:oMath>
      <w:r>
        <w:t xml:space="preserve"> </w:t>
      </w:r>
      <w:r>
        <w:t xml:space="preserve">each such failure costs as much as 49 extra planned replacements, so the floor alone adds roughly 1.5 replacement costs per 33 renewals. The cost-tuned and window-tuned rules are free to choose levels beyond the most conservative calibration unit; when they do, they fail less on these test units, but nothing certifies that they will on others. The cost ratios against the one-standard-error rule grew with</w:t>
      </w:r>
      <w:r>
        <w:t xml:space="preserve"> </w:t>
      </w:r>
      <m:oMath>
        <m:r>
          <m:t>ρ</m:t>
        </m:r>
      </m:oMath>
      <w:r>
        <w:t xml:space="preserve"> </w:t>
      </w:r>
      <w:r>
        <w:t xml:space="preserve">and were largest on the small calibration sets of FD001 and FD003 (</w:t>
      </w:r>
      <m:oMath>
        <m:r>
          <m:t>n</m:t>
        </m:r>
        <m:r>
          <m:rPr>
            <m:sty m:val="p"/>
          </m:rPr>
          <m:t>=</m:t>
        </m:r>
        <m:r>
          <m:t>32</m:t>
        </m:r>
      </m:oMath>
      <w:r>
        <w:t xml:space="preserve">; median ratio 1.37 and 1.45) and smallest on PHM08 and FD002 (</w:t>
      </w:r>
      <m:oMath>
        <m:r>
          <m:t>n</m:t>
        </m:r>
        <m:r>
          <m:rPr>
            <m:sty m:val="p"/>
          </m:rPr>
          <m:t>=</m:t>
        </m:r>
        <m:r>
          <m:t>70</m:t>
        </m:r>
      </m:oMath>
      <w:r>
        <w:t xml:space="preserve">–83; 1.00 and 1.04). N-CMAPSS, also with</w:t>
      </w:r>
      <w:r>
        <w:t xml:space="preserve"> </w:t>
      </w:r>
      <m:oMath>
        <m:r>
          <m:t>n</m:t>
        </m:r>
        <m:r>
          <m:rPr>
            <m:sty m:val="p"/>
          </m:rPr>
          <m:t>=</m:t>
        </m:r>
        <m:r>
          <m:t>32</m:t>
        </m:r>
      </m:oMath>
      <w:r>
        <w:t xml:space="preserve">, was an exception (1.06) because every policy failed often there.</w:t>
      </w:r>
    </w:p>
    <w:p>
      <w:pPr>
        <w:pStyle w:val="TableCaption"/>
      </w:pPr>
      <w:r>
        <w:rPr>
          <w:bCs/>
          <w:b/>
        </w:rPr>
        <w:t xml:space="preserve">Table 4.</w:t>
      </w:r>
      <w:r>
        <w:t xml:space="preserve"> </w:t>
      </w:r>
      <w:r>
        <w:t xml:space="preserve">Cost of the decision-aware conformal alarm (CNA-DA,</w:t>
      </w:r>
      <w:r>
        <w:t xml:space="preserve"> </w:t>
      </w:r>
      <m:oMath>
        <m:sSub>
          <m:e>
            <m:r>
              <m:t>α</m:t>
            </m:r>
          </m:e>
          <m:sub>
            <m:r>
              <m:rPr>
                <m:sty m:val="p"/>
              </m:rPr>
              <m:t>max</m:t>
            </m:r>
          </m:sub>
        </m:sSub>
      </m:oMath>
      <w:r>
        <w:t xml:space="preserve"> </w:t>
      </w:r>
      <w:r>
        <w:t xml:space="preserve">= 0.10) against each policy over the 16 lead-time and cost-ratio cells (repetition 0): cells in which the paired bootstrap 95 % interval of the cost-rate ratio CNA-DA / comparator lies below 1 / above 1, and the median ratio. LOGO: leave one group (N-CMAPSS subset, battery batch) out. Bottom rows: mean excess cost over the cheapest policy in each cell.</w:t>
      </w:r>
    </w:p>
    <w:tbl>
      <w:tblPr>
        <w:tblStyle w:val="Table"/>
        <w:tblW w:type="pct" w:w="5000"/>
        <w:tblLook w:firstRow="1" w:lastRow="0" w:firstColumn="0" w:lastColumn="0" w:noHBand="0" w:noVBand="0" w:val="0020"/>
        <w:jc w:val="start"/>
        <w:tblCaption w:val="Table 4. Cost of the decision-aware conformal alarm (CNA-DA, \alpha_{\max} = 0.10) against each policy over the 16 lead-time and cost-ratio cells (repetition 0): cells in which the paired bootstrap 95 % interval of the cost-rate ratio CNA-DA / comparator lies below 1 / above 1, and the median ratio. LOGO: leave one group (N-CMAPSS subset, battery batch) out. Bottom rows: mean excess cost over the cheapest policy in each cell."/>
      </w:tblPr>
      <w:tblGrid>
        <w:gridCol w:w="1568"/>
        <w:gridCol w:w="705"/>
        <w:gridCol w:w="705"/>
        <w:gridCol w:w="705"/>
        <w:gridCol w:w="705"/>
        <w:gridCol w:w="705"/>
        <w:gridCol w:w="705"/>
        <w:gridCol w:w="705"/>
        <w:gridCol w:w="705"/>
        <w:gridCol w:w="705"/>
      </w:tblGrid>
      <w:tr>
        <w:trPr>
          <w:tblHeader w:val="true"/>
        </w:trPr>
        <w:tc>
          <w:tcPr/>
          <w:p>
            <w:pPr>
              <w:pStyle w:val="Compact"/>
              <w:jc w:val="left"/>
            </w:pPr>
            <w:r>
              <w:t xml:space="preserve">CNA-DA vs</w:t>
            </w:r>
          </w:p>
        </w:tc>
        <w:tc>
          <w:tcPr/>
          <w:p>
            <w:pPr>
              <w:pStyle w:val="Compact"/>
              <w:jc w:val="left"/>
            </w:pPr>
            <w:r>
              <w:t xml:space="preserve">PHM08</w:t>
            </w:r>
          </w:p>
        </w:tc>
        <w:tc>
          <w:tcPr/>
          <w:p>
            <w:pPr>
              <w:pStyle w:val="Compact"/>
              <w:jc w:val="left"/>
            </w:pPr>
            <w:r>
              <w:t xml:space="preserve">FD001</w:t>
            </w:r>
          </w:p>
        </w:tc>
        <w:tc>
          <w:tcPr/>
          <w:p>
            <w:pPr>
              <w:pStyle w:val="Compact"/>
              <w:jc w:val="left"/>
            </w:pPr>
            <w:r>
              <w:t xml:space="preserve">FD002</w:t>
            </w:r>
          </w:p>
        </w:tc>
        <w:tc>
          <w:tcPr/>
          <w:p>
            <w:pPr>
              <w:pStyle w:val="Compact"/>
              <w:jc w:val="left"/>
            </w:pPr>
            <w:r>
              <w:t xml:space="preserve">FD003</w:t>
            </w:r>
          </w:p>
        </w:tc>
        <w:tc>
          <w:tcPr/>
          <w:p>
            <w:pPr>
              <w:pStyle w:val="Compact"/>
              <w:jc w:val="left"/>
            </w:pPr>
            <w:r>
              <w:t xml:space="preserve">FD004</w:t>
            </w:r>
          </w:p>
        </w:tc>
        <w:tc>
          <w:tcPr/>
          <w:p>
            <w:pPr>
              <w:pStyle w:val="Compact"/>
              <w:jc w:val="left"/>
            </w:pPr>
            <w:r>
              <w:t xml:space="preserve">N-CMAPSS</w:t>
            </w:r>
          </w:p>
        </w:tc>
        <w:tc>
          <w:tcPr/>
          <w:p>
            <w:pPr>
              <w:pStyle w:val="Compact"/>
              <w:jc w:val="left"/>
            </w:pPr>
            <w:r>
              <w:t xml:space="preserve">Battery</w:t>
            </w:r>
          </w:p>
        </w:tc>
        <w:tc>
          <w:tcPr/>
          <w:p>
            <w:pPr>
              <w:pStyle w:val="Compact"/>
              <w:jc w:val="left"/>
            </w:pPr>
            <w:r>
              <w:t xml:space="preserve">N-CMAPSS LOGO</w:t>
            </w:r>
          </w:p>
        </w:tc>
        <w:tc>
          <w:tcPr/>
          <w:p>
            <w:pPr>
              <w:pStyle w:val="Compact"/>
              <w:jc w:val="left"/>
            </w:pPr>
            <w:r>
              <w:t xml:space="preserve">Battery LOGO</w:t>
            </w:r>
          </w:p>
        </w:tc>
      </w:tr>
      <w:tr>
        <w:tc>
          <w:tcPr/>
          <w:p>
            <w:pPr>
              <w:pStyle w:val="Compact"/>
              <w:jc w:val="left"/>
            </w:pPr>
            <w:r>
              <w:t xml:space="preserve">Age replacement</w:t>
            </w:r>
          </w:p>
        </w:tc>
        <w:tc>
          <w:tcPr/>
          <w:p>
            <w:pPr>
              <w:pStyle w:val="Compact"/>
              <w:jc w:val="left"/>
            </w:pPr>
            <w:r>
              <w:t xml:space="preserve">15/0 (0.61)</w:t>
            </w:r>
          </w:p>
        </w:tc>
        <w:tc>
          <w:tcPr/>
          <w:p>
            <w:pPr>
              <w:pStyle w:val="Compact"/>
              <w:jc w:val="left"/>
            </w:pPr>
            <w:r>
              <w:t xml:space="preserve">6/0 (0.86)</w:t>
            </w:r>
          </w:p>
        </w:tc>
        <w:tc>
          <w:tcPr/>
          <w:p>
            <w:pPr>
              <w:pStyle w:val="Compact"/>
              <w:jc w:val="left"/>
            </w:pPr>
            <w:r>
              <w:t xml:space="preserve">12/0 (0.69)</w:t>
            </w:r>
          </w:p>
        </w:tc>
        <w:tc>
          <w:tcPr/>
          <w:p>
            <w:pPr>
              <w:pStyle w:val="Compact"/>
              <w:jc w:val="left"/>
            </w:pPr>
            <w:r>
              <w:t xml:space="preserve">5/0 (0.82)</w:t>
            </w:r>
          </w:p>
        </w:tc>
        <w:tc>
          <w:tcPr/>
          <w:p>
            <w:pPr>
              <w:pStyle w:val="Compact"/>
              <w:jc w:val="left"/>
            </w:pPr>
            <w:r>
              <w:t xml:space="preserve">12/0 (0.63)</w:t>
            </w:r>
          </w:p>
        </w:tc>
        <w:tc>
          <w:tcPr/>
          <w:p>
            <w:pPr>
              <w:pStyle w:val="Compact"/>
              <w:jc w:val="left"/>
            </w:pPr>
            <w:r>
              <w:t xml:space="preserve">0/0 (1.17)</w:t>
            </w:r>
          </w:p>
        </w:tc>
        <w:tc>
          <w:tcPr/>
          <w:p>
            <w:pPr>
              <w:pStyle w:val="Compact"/>
              <w:jc w:val="left"/>
            </w:pPr>
            <w:r>
              <w:t xml:space="preserve">16/0 (0.51)</w:t>
            </w:r>
          </w:p>
        </w:tc>
        <w:tc>
          <w:tcPr/>
          <w:p>
            <w:pPr>
              <w:pStyle w:val="Compact"/>
              <w:jc w:val="left"/>
            </w:pPr>
            <w:r>
              <w:t xml:space="preserve">2/0 (1.03)</w:t>
            </w:r>
          </w:p>
        </w:tc>
        <w:tc>
          <w:tcPr/>
          <w:p>
            <w:pPr>
              <w:pStyle w:val="Compact"/>
              <w:jc w:val="left"/>
            </w:pPr>
            <w:r>
              <w:t xml:space="preserve">15/0 (0.57)</w:t>
            </w:r>
          </w:p>
        </w:tc>
      </w:tr>
      <w:tr>
        <w:tc>
          <w:tcPr/>
          <w:p>
            <w:pPr>
              <w:pStyle w:val="Compact"/>
              <w:jc w:val="left"/>
            </w:pPr>
            <w:r>
              <w:t xml:space="preserve">STW, window-tuned</w:t>
            </w:r>
          </w:p>
        </w:tc>
        <w:tc>
          <w:tcPr/>
          <w:p>
            <w:pPr>
              <w:pStyle w:val="Compact"/>
              <w:jc w:val="left"/>
            </w:pPr>
            <w:r>
              <w:t xml:space="preserve">4/0 (0.99)</w:t>
            </w:r>
          </w:p>
        </w:tc>
        <w:tc>
          <w:tcPr/>
          <w:p>
            <w:pPr>
              <w:pStyle w:val="Compact"/>
              <w:jc w:val="left"/>
            </w:pPr>
            <w:r>
              <w:t xml:space="preserve">0/0 (1.12)</w:t>
            </w:r>
          </w:p>
        </w:tc>
        <w:tc>
          <w:tcPr/>
          <w:p>
            <w:pPr>
              <w:pStyle w:val="Compact"/>
              <w:jc w:val="left"/>
            </w:pPr>
            <w:r>
              <w:t xml:space="preserve">4/0 (1.04)</w:t>
            </w:r>
          </w:p>
        </w:tc>
        <w:tc>
          <w:tcPr/>
          <w:p>
            <w:pPr>
              <w:pStyle w:val="Compact"/>
              <w:jc w:val="left"/>
            </w:pPr>
            <w:r>
              <w:t xml:space="preserve">0/3 (1.15)</w:t>
            </w:r>
          </w:p>
        </w:tc>
        <w:tc>
          <w:tcPr/>
          <w:p>
            <w:pPr>
              <w:pStyle w:val="Compact"/>
              <w:jc w:val="left"/>
            </w:pPr>
            <w:r>
              <w:t xml:space="preserve">0/1 (1.03)</w:t>
            </w:r>
          </w:p>
        </w:tc>
        <w:tc>
          <w:tcPr/>
          <w:p>
            <w:pPr>
              <w:pStyle w:val="Compact"/>
              <w:jc w:val="left"/>
            </w:pPr>
            <w:r>
              <w:t xml:space="preserve">0/2 (1.10)</w:t>
            </w:r>
          </w:p>
        </w:tc>
        <w:tc>
          <w:tcPr/>
          <w:p>
            <w:pPr>
              <w:pStyle w:val="Compact"/>
              <w:jc w:val="left"/>
            </w:pPr>
            <w:r>
              <w:t xml:space="preserve">0/4 (1.00)</w:t>
            </w:r>
          </w:p>
        </w:tc>
        <w:tc>
          <w:tcPr/>
          <w:p>
            <w:pPr>
              <w:pStyle w:val="Compact"/>
              <w:jc w:val="left"/>
            </w:pPr>
            <w:r>
              <w:t xml:space="preserve">2/4 (1.09)</w:t>
            </w:r>
          </w:p>
        </w:tc>
        <w:tc>
          <w:tcPr/>
          <w:p>
            <w:pPr>
              <w:pStyle w:val="Compact"/>
              <w:jc w:val="left"/>
            </w:pPr>
            <w:r>
              <w:t xml:space="preserve">0/16 (2.58)</w:t>
            </w:r>
          </w:p>
        </w:tc>
      </w:tr>
      <w:tr>
        <w:tc>
          <w:tcPr/>
          <w:p>
            <w:pPr>
              <w:pStyle w:val="Compact"/>
              <w:jc w:val="left"/>
            </w:pPr>
            <w:r>
              <w:t xml:space="preserve">STW, cost-tuned, plain</w:t>
            </w:r>
          </w:p>
        </w:tc>
        <w:tc>
          <w:tcPr/>
          <w:p>
            <w:pPr>
              <w:pStyle w:val="Compact"/>
              <w:jc w:val="left"/>
            </w:pPr>
            <w:r>
              <w:t xml:space="preserve">12/0 (0.87)</w:t>
            </w:r>
          </w:p>
        </w:tc>
        <w:tc>
          <w:tcPr/>
          <w:p>
            <w:pPr>
              <w:pStyle w:val="Compact"/>
              <w:jc w:val="left"/>
            </w:pPr>
            <w:r>
              <w:t xml:space="preserve">4/0 (0.88)</w:t>
            </w:r>
          </w:p>
        </w:tc>
        <w:tc>
          <w:tcPr/>
          <w:p>
            <w:pPr>
              <w:pStyle w:val="Compact"/>
              <w:jc w:val="left"/>
            </w:pPr>
            <w:r>
              <w:t xml:space="preserve">0/0 (0.97)</w:t>
            </w:r>
          </w:p>
        </w:tc>
        <w:tc>
          <w:tcPr/>
          <w:p>
            <w:pPr>
              <w:pStyle w:val="Compact"/>
              <w:jc w:val="left"/>
            </w:pPr>
            <w:r>
              <w:t xml:space="preserve">0/0 (0.87)</w:t>
            </w:r>
          </w:p>
        </w:tc>
        <w:tc>
          <w:tcPr/>
          <w:p>
            <w:pPr>
              <w:pStyle w:val="Compact"/>
              <w:jc w:val="left"/>
            </w:pPr>
            <w:r>
              <w:t xml:space="preserve">7/0 (0.83)</w:t>
            </w:r>
          </w:p>
        </w:tc>
        <w:tc>
          <w:tcPr/>
          <w:p>
            <w:pPr>
              <w:pStyle w:val="Compact"/>
              <w:jc w:val="left"/>
            </w:pPr>
            <w:r>
              <w:t xml:space="preserve">3/0 (0.91)</w:t>
            </w:r>
          </w:p>
        </w:tc>
        <w:tc>
          <w:tcPr/>
          <w:p>
            <w:pPr>
              <w:pStyle w:val="Compact"/>
              <w:jc w:val="left"/>
            </w:pPr>
            <w:r>
              <w:t xml:space="preserve">0/0 (0.87)</w:t>
            </w:r>
          </w:p>
        </w:tc>
        <w:tc>
          <w:tcPr/>
          <w:p>
            <w:pPr>
              <w:pStyle w:val="Compact"/>
              <w:jc w:val="left"/>
            </w:pPr>
            <w:r>
              <w:t xml:space="preserve">7/1 (0.91)</w:t>
            </w:r>
          </w:p>
        </w:tc>
        <w:tc>
          <w:tcPr/>
          <w:p>
            <w:pPr>
              <w:pStyle w:val="Compact"/>
              <w:jc w:val="left"/>
            </w:pPr>
            <w:r>
              <w:t xml:space="preserve">8/0 (0.90)</w:t>
            </w:r>
          </w:p>
        </w:tc>
      </w:tr>
      <w:tr>
        <w:tc>
          <w:tcPr/>
          <w:p>
            <w:pPr>
              <w:pStyle w:val="Compact"/>
              <w:jc w:val="left"/>
            </w:pPr>
            <w:r>
              <w:t xml:space="preserve">STW, cost-tuned, 1-SE</w:t>
            </w:r>
          </w:p>
        </w:tc>
        <w:tc>
          <w:tcPr/>
          <w:p>
            <w:pPr>
              <w:pStyle w:val="Compact"/>
              <w:jc w:val="left"/>
            </w:pPr>
            <w:r>
              <w:t xml:space="preserve">4/0 (1.00)</w:t>
            </w:r>
          </w:p>
        </w:tc>
        <w:tc>
          <w:tcPr/>
          <w:p>
            <w:pPr>
              <w:pStyle w:val="Compact"/>
              <w:jc w:val="left"/>
            </w:pPr>
            <w:r>
              <w:t xml:space="preserve">0/8 (1.37)</w:t>
            </w:r>
          </w:p>
        </w:tc>
        <w:tc>
          <w:tcPr/>
          <w:p>
            <w:pPr>
              <w:pStyle w:val="Compact"/>
              <w:jc w:val="left"/>
            </w:pPr>
            <w:r>
              <w:t xml:space="preserve">1/5 (1.04)</w:t>
            </w:r>
          </w:p>
        </w:tc>
        <w:tc>
          <w:tcPr/>
          <w:p>
            <w:pPr>
              <w:pStyle w:val="Compact"/>
              <w:jc w:val="left"/>
            </w:pPr>
            <w:r>
              <w:t xml:space="preserve">0/11 (1.45)</w:t>
            </w:r>
          </w:p>
        </w:tc>
        <w:tc>
          <w:tcPr/>
          <w:p>
            <w:pPr>
              <w:pStyle w:val="Compact"/>
              <w:jc w:val="left"/>
            </w:pPr>
            <w:r>
              <w:t xml:space="preserve">0/4 (1.13)</w:t>
            </w:r>
          </w:p>
        </w:tc>
        <w:tc>
          <w:tcPr/>
          <w:p>
            <w:pPr>
              <w:pStyle w:val="Compact"/>
              <w:jc w:val="left"/>
            </w:pPr>
            <w:r>
              <w:t xml:space="preserve">1/0 (1.06)</w:t>
            </w:r>
          </w:p>
        </w:tc>
        <w:tc>
          <w:tcPr/>
          <w:p>
            <w:pPr>
              <w:pStyle w:val="Compact"/>
              <w:jc w:val="left"/>
            </w:pPr>
            <w:r>
              <w:t xml:space="preserve">0/0 (1.10)</w:t>
            </w:r>
          </w:p>
        </w:tc>
        <w:tc>
          <w:tcPr/>
          <w:p>
            <w:pPr>
              <w:pStyle w:val="Compact"/>
              <w:jc w:val="left"/>
            </w:pPr>
            <w:r>
              <w:t xml:space="preserve">0/5 (1.02)</w:t>
            </w:r>
          </w:p>
        </w:tc>
        <w:tc>
          <w:tcPr/>
          <w:p>
            <w:pPr>
              <w:pStyle w:val="Compact"/>
              <w:jc w:val="left"/>
            </w:pPr>
            <w:r>
              <w:t xml:space="preserve">0/16 (4.17)</w:t>
            </w:r>
          </w:p>
        </w:tc>
      </w:tr>
      <w:tr>
        <w:tc>
          <w:tcPr/>
          <w:p>
            <w:pPr>
              <w:pStyle w:val="Compact"/>
              <w:jc w:val="left"/>
            </w:pPr>
            <w:r>
              <w:t xml:space="preserve">Kamariotis P1,</w:t>
            </w:r>
            <w:r>
              <w:t xml:space="preserve"> </w:t>
            </w:r>
            <m:oMath>
              <m:r>
                <m:t>p</m:t>
              </m:r>
              <m:r>
                <m:rPr>
                  <m:sty m:val="p"/>
                </m:rPr>
                <m:t>=</m:t>
              </m:r>
              <m:r>
                <m:t>1</m:t>
              </m:r>
              <m:r>
                <m:rPr>
                  <m:sty m:val="p"/>
                </m:rPr>
                <m:t>/</m:t>
              </m:r>
              <m:r>
                <m:t>ρ</m:t>
              </m:r>
            </m:oMath>
          </w:p>
        </w:tc>
        <w:tc>
          <w:tcPr/>
          <w:p>
            <w:pPr>
              <w:pStyle w:val="Compact"/>
              <w:jc w:val="left"/>
            </w:pPr>
            <w:r>
              <w:t xml:space="preserve">12/0 (0.62)</w:t>
            </w:r>
          </w:p>
        </w:tc>
        <w:tc>
          <w:tcPr/>
          <w:p>
            <w:pPr>
              <w:pStyle w:val="Compact"/>
              <w:jc w:val="left"/>
            </w:pPr>
            <w:r>
              <w:t xml:space="preserve">7/0 (0.79)</w:t>
            </w:r>
          </w:p>
        </w:tc>
        <w:tc>
          <w:tcPr/>
          <w:p>
            <w:pPr>
              <w:pStyle w:val="Compact"/>
              <w:jc w:val="left"/>
            </w:pPr>
            <w:r>
              <w:t xml:space="preserve">13/0 (0.69)</w:t>
            </w:r>
          </w:p>
        </w:tc>
        <w:tc>
          <w:tcPr/>
          <w:p>
            <w:pPr>
              <w:pStyle w:val="Compact"/>
              <w:jc w:val="left"/>
            </w:pPr>
            <w:r>
              <w:t xml:space="preserve">9/2 (0.69)</w:t>
            </w:r>
          </w:p>
        </w:tc>
        <w:tc>
          <w:tcPr/>
          <w:p>
            <w:pPr>
              <w:pStyle w:val="Compact"/>
              <w:jc w:val="left"/>
            </w:pPr>
            <w:r>
              <w:t xml:space="preserve">13/0 (0.64)</w:t>
            </w:r>
          </w:p>
        </w:tc>
        <w:tc>
          <w:tcPr/>
          <w:p>
            <w:pPr>
              <w:pStyle w:val="Compact"/>
              <w:jc w:val="left"/>
            </w:pPr>
            <w:r>
              <w:t xml:space="preserve">12/1 (0.67)</w:t>
            </w:r>
          </w:p>
        </w:tc>
        <w:tc>
          <w:tcPr/>
          <w:p>
            <w:pPr>
              <w:pStyle w:val="Compact"/>
              <w:jc w:val="left"/>
            </w:pPr>
            <w:r>
              <w:t xml:space="preserve">6/4 (0.80)</w:t>
            </w:r>
          </w:p>
        </w:tc>
        <w:tc>
          <w:tcPr/>
          <w:p>
            <w:pPr>
              <w:pStyle w:val="Compact"/>
              <w:jc w:val="left"/>
            </w:pPr>
            <w:r>
              <w:t xml:space="preserve">14/0 (0.56)</w:t>
            </w:r>
          </w:p>
        </w:tc>
        <w:tc>
          <w:tcPr/>
          <w:p>
            <w:pPr>
              <w:pStyle w:val="Compact"/>
              <w:jc w:val="left"/>
            </w:pPr>
            <w:r>
              <w:t xml:space="preserve">7/8 (1.12)</w:t>
            </w:r>
          </w:p>
        </w:tc>
      </w:tr>
      <w:tr>
        <w:tc>
          <w:tcPr/>
          <w:p>
            <w:pPr>
              <w:pStyle w:val="Compact"/>
              <w:jc w:val="left"/>
            </w:pPr>
            <w:r>
              <w:t xml:space="preserve">Kamariotis P1, optimised</w:t>
            </w:r>
          </w:p>
        </w:tc>
        <w:tc>
          <w:tcPr/>
          <w:p>
            <w:pPr>
              <w:pStyle w:val="Compact"/>
              <w:jc w:val="left"/>
            </w:pPr>
            <w:r>
              <w:t xml:space="preserve">8/0 (0.99)</w:t>
            </w:r>
          </w:p>
        </w:tc>
        <w:tc>
          <w:tcPr/>
          <w:p>
            <w:pPr>
              <w:pStyle w:val="Compact"/>
              <w:jc w:val="left"/>
            </w:pPr>
            <w:r>
              <w:t xml:space="preserve">8/0 (1.00)</w:t>
            </w:r>
          </w:p>
        </w:tc>
        <w:tc>
          <w:tcPr/>
          <w:p>
            <w:pPr>
              <w:pStyle w:val="Compact"/>
              <w:jc w:val="left"/>
            </w:pPr>
            <w:r>
              <w:t xml:space="preserve">8/3 (1.00)</w:t>
            </w:r>
          </w:p>
        </w:tc>
        <w:tc>
          <w:tcPr/>
          <w:p>
            <w:pPr>
              <w:pStyle w:val="Compact"/>
              <w:jc w:val="left"/>
            </w:pPr>
            <w:r>
              <w:t xml:space="preserve">0/4 (1.15)</w:t>
            </w:r>
          </w:p>
        </w:tc>
        <w:tc>
          <w:tcPr/>
          <w:p>
            <w:pPr>
              <w:pStyle w:val="Compact"/>
              <w:jc w:val="left"/>
            </w:pPr>
            <w:r>
              <w:t xml:space="preserve">3/1 (1.03)</w:t>
            </w:r>
          </w:p>
        </w:tc>
        <w:tc>
          <w:tcPr/>
          <w:p>
            <w:pPr>
              <w:pStyle w:val="Compact"/>
              <w:jc w:val="left"/>
            </w:pPr>
            <w:r>
              <w:t xml:space="preserve">0/3 (1.12)</w:t>
            </w:r>
          </w:p>
        </w:tc>
        <w:tc>
          <w:tcPr/>
          <w:p>
            <w:pPr>
              <w:pStyle w:val="Compact"/>
              <w:jc w:val="left"/>
            </w:pPr>
            <w:r>
              <w:t xml:space="preserve">8/0 (0.99)</w:t>
            </w:r>
          </w:p>
        </w:tc>
        <w:tc>
          <w:tcPr/>
          <w:p>
            <w:pPr>
              <w:pStyle w:val="Compact"/>
              <w:jc w:val="left"/>
            </w:pPr>
            <w:r>
              <w:t xml:space="preserve">1/0 (1.06)</w:t>
            </w:r>
          </w:p>
        </w:tc>
        <w:tc>
          <w:tcPr/>
          <w:p>
            <w:pPr>
              <w:pStyle w:val="Compact"/>
              <w:jc w:val="left"/>
            </w:pPr>
            <w:r>
              <w:t xml:space="preserve">0/16 (2.41)</w:t>
            </w:r>
          </w:p>
        </w:tc>
      </w:tr>
      <w:tr>
        <w:tc>
          <w:tcPr/>
          <w:p>
            <w:pPr>
              <w:pStyle w:val="Compact"/>
              <w:jc w:val="left"/>
            </w:pPr>
            <w:r>
              <w:t xml:space="preserve">LB-near (</w:t>
            </w:r>
            <m:oMath>
              <m:r>
                <m:t>α</m:t>
              </m:r>
            </m:oMath>
            <w:r>
              <w:t xml:space="preserve"> </w:t>
            </w:r>
            <w:r>
              <w:t xml:space="preserve">= 0.10)</w:t>
            </w:r>
          </w:p>
        </w:tc>
        <w:tc>
          <w:tcPr/>
          <w:p>
            <w:pPr>
              <w:pStyle w:val="Compact"/>
              <w:jc w:val="left"/>
            </w:pPr>
            <w:r>
              <w:t xml:space="preserve">16/0 (0.47)</w:t>
            </w:r>
          </w:p>
        </w:tc>
        <w:tc>
          <w:tcPr/>
          <w:p>
            <w:pPr>
              <w:pStyle w:val="Compact"/>
              <w:jc w:val="left"/>
            </w:pPr>
            <w:r>
              <w:t xml:space="preserve">4/0 (0.84)</w:t>
            </w:r>
          </w:p>
        </w:tc>
        <w:tc>
          <w:tcPr/>
          <w:p>
            <w:pPr>
              <w:pStyle w:val="Compact"/>
              <w:jc w:val="left"/>
            </w:pPr>
            <w:r>
              <w:t xml:space="preserve">11/0 (0.81)</w:t>
            </w:r>
          </w:p>
        </w:tc>
        <w:tc>
          <w:tcPr/>
          <w:p>
            <w:pPr>
              <w:pStyle w:val="Compact"/>
              <w:jc w:val="left"/>
            </w:pPr>
            <w:r>
              <w:t xml:space="preserve">0/0 (0.88)</w:t>
            </w:r>
          </w:p>
        </w:tc>
        <w:tc>
          <w:tcPr/>
          <w:p>
            <w:pPr>
              <w:pStyle w:val="Compact"/>
              <w:jc w:val="left"/>
            </w:pPr>
            <w:r>
              <w:t xml:space="preserve">16/0 (0.58)</w:t>
            </w:r>
          </w:p>
        </w:tc>
        <w:tc>
          <w:tcPr/>
          <w:p>
            <w:pPr>
              <w:pStyle w:val="Compact"/>
              <w:jc w:val="left"/>
            </w:pPr>
            <w:r>
              <w:t xml:space="preserve">13/0 (0.63)</w:t>
            </w:r>
          </w:p>
        </w:tc>
        <w:tc>
          <w:tcPr/>
          <w:p>
            <w:pPr>
              <w:pStyle w:val="Compact"/>
              <w:jc w:val="left"/>
            </w:pPr>
            <w:r>
              <w:t xml:space="preserve">11/0 (0.71)</w:t>
            </w:r>
          </w:p>
        </w:tc>
        <w:tc>
          <w:tcPr/>
          <w:p>
            <w:pPr>
              <w:pStyle w:val="Compact"/>
              <w:jc w:val="left"/>
            </w:pPr>
            <w:r>
              <w:t xml:space="preserve">13/1 (0.53)</w:t>
            </w:r>
          </w:p>
        </w:tc>
        <w:tc>
          <w:tcPr/>
          <w:p>
            <w:pPr>
              <w:pStyle w:val="Compact"/>
              <w:jc w:val="left"/>
            </w:pPr>
            <w:r>
              <w:t xml:space="preserve">8/4 (0.92)</w:t>
            </w:r>
          </w:p>
        </w:tc>
      </w:tr>
      <w:tr>
        <w:tc>
          <w:tcPr/>
          <w:p>
            <w:pPr>
              <w:pStyle w:val="Compact"/>
              <w:jc w:val="left"/>
            </w:pPr>
            <w:r>
              <w:t xml:space="preserve">Capacity trend, window-tuned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0/12 (1.17)</w:t>
            </w:r>
          </w:p>
        </w:tc>
        <w:tc>
          <w:tcPr/>
          <w:p>
            <w:pPr>
              <w:pStyle w:val="Compact"/>
              <w:jc w:val="left"/>
            </w:pPr>
            <w:r>
              <w:t xml:space="preserve">–</w:t>
            </w:r>
          </w:p>
        </w:tc>
        <w:tc>
          <w:tcPr/>
          <w:p>
            <w:pPr>
              <w:pStyle w:val="Compact"/>
              <w:jc w:val="left"/>
            </w:pPr>
            <w:r>
              <w:t xml:space="preserve">0/16 (5.48)</w:t>
            </w:r>
          </w:p>
        </w:tc>
      </w:tr>
      <w:tr>
        <w:tc>
          <w:tcPr/>
          <w:p>
            <w:pPr>
              <w:pStyle w:val="Compact"/>
              <w:jc w:val="left"/>
            </w:pPr>
            <w:r>
              <w:t xml:space="preserve">Capacity trend, 1-SE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0/4 (1.15)</w:t>
            </w:r>
          </w:p>
        </w:tc>
        <w:tc>
          <w:tcPr/>
          <w:p>
            <w:pPr>
              <w:pStyle w:val="Compact"/>
              <w:jc w:val="left"/>
            </w:pPr>
            <w:r>
              <w:t xml:space="preserve">–</w:t>
            </w:r>
          </w:p>
        </w:tc>
        <w:tc>
          <w:tcPr/>
          <w:p>
            <w:pPr>
              <w:pStyle w:val="Compact"/>
              <w:jc w:val="left"/>
            </w:pPr>
            <w:r>
              <w:t xml:space="preserve">0/16 (5.41)</w:t>
            </w:r>
          </w:p>
        </w:tc>
      </w:tr>
      <w:tr>
        <w:tc>
          <w:tcPr/>
          <w:p>
            <w:pPr>
              <w:pStyle w:val="Compact"/>
              <w:jc w:val="left"/>
            </w:pPr>
            <w:r>
              <w:t xml:space="preserve">CNA-DA on capacity trend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 (1.03)</w:t>
            </w:r>
          </w:p>
        </w:tc>
        <w:tc>
          <w:tcPr/>
          <w:p>
            <w:pPr>
              <w:pStyle w:val="Compact"/>
              <w:jc w:val="left"/>
            </w:pPr>
            <w:r>
              <w:t xml:space="preserve">–</w:t>
            </w:r>
          </w:p>
        </w:tc>
        <w:tc>
          <w:tcPr/>
          <w:p>
            <w:pPr>
              <w:pStyle w:val="Compact"/>
              <w:jc w:val="left"/>
            </w:pPr>
            <w:r>
              <w:t xml:space="preserve">0/16 (3.76)</w:t>
            </w:r>
          </w:p>
        </w:tc>
      </w:tr>
      <w:tr>
        <w:tc>
          <w:tcPr/>
          <w:p>
            <w:pPr>
              <w:pStyle w:val="Compact"/>
              <w:jc w:val="left"/>
            </w:pPr>
            <w:r>
              <w:rPr>
                <w:iCs/>
                <w:i/>
              </w:rPr>
              <w:t xml:space="preserve">Mean excess: CNA-DA</w:t>
            </w:r>
          </w:p>
        </w:tc>
        <w:tc>
          <w:tcPr/>
          <w:p>
            <w:pPr>
              <w:pStyle w:val="Compact"/>
              <w:jc w:val="left"/>
            </w:pPr>
            <w:r>
              <w:t xml:space="preserve">9 %</w:t>
            </w:r>
          </w:p>
        </w:tc>
        <w:tc>
          <w:tcPr/>
          <w:p>
            <w:pPr>
              <w:pStyle w:val="Compact"/>
              <w:jc w:val="left"/>
            </w:pPr>
            <w:r>
              <w:t xml:space="preserve">63 %</w:t>
            </w:r>
          </w:p>
        </w:tc>
        <w:tc>
          <w:tcPr/>
          <w:p>
            <w:pPr>
              <w:pStyle w:val="Compact"/>
              <w:jc w:val="left"/>
            </w:pPr>
            <w:r>
              <w:t xml:space="preserve">12 %</w:t>
            </w:r>
          </w:p>
        </w:tc>
        <w:tc>
          <w:tcPr/>
          <w:p>
            <w:pPr>
              <w:pStyle w:val="Compact"/>
              <w:jc w:val="left"/>
            </w:pPr>
            <w:r>
              <w:t xml:space="preserve">84 %</w:t>
            </w:r>
          </w:p>
        </w:tc>
        <w:tc>
          <w:tcPr/>
          <w:p>
            <w:pPr>
              <w:pStyle w:val="Compact"/>
              <w:jc w:val="left"/>
            </w:pPr>
            <w:r>
              <w:t xml:space="preserve">16 %</w:t>
            </w:r>
          </w:p>
        </w:tc>
        <w:tc>
          <w:tcPr/>
          <w:p>
            <w:pPr>
              <w:pStyle w:val="Compact"/>
              <w:jc w:val="left"/>
            </w:pPr>
            <w:r>
              <w:t xml:space="preserve">41 %</w:t>
            </w:r>
          </w:p>
        </w:tc>
        <w:tc>
          <w:tcPr/>
          <w:p>
            <w:pPr>
              <w:pStyle w:val="Compact"/>
              <w:jc w:val="left"/>
            </w:pPr>
            <w:r>
              <w:t xml:space="preserve">30 %</w:t>
            </w:r>
          </w:p>
        </w:tc>
        <w:tc>
          <w:tcPr/>
          <w:p>
            <w:pPr>
              <w:pStyle w:val="Compact"/>
              <w:jc w:val="left"/>
            </w:pPr>
            <w:r>
              <w:t xml:space="preserve">33 %</w:t>
            </w:r>
          </w:p>
        </w:tc>
        <w:tc>
          <w:tcPr/>
          <w:p>
            <w:pPr>
              <w:pStyle w:val="Compact"/>
              <w:jc w:val="left"/>
            </w:pPr>
            <w:r>
              <w:t xml:space="preserve">708 %</w:t>
            </w:r>
          </w:p>
        </w:tc>
      </w:tr>
      <w:tr>
        <w:tc>
          <w:tcPr/>
          <w:p>
            <w:pPr>
              <w:pStyle w:val="Compact"/>
              <w:jc w:val="left"/>
            </w:pPr>
            <w:r>
              <w:rPr>
                <w:iCs/>
                <w:i/>
              </w:rPr>
              <w:t xml:space="preserve">STW, cost-tuned, 1-SE</w:t>
            </w:r>
          </w:p>
        </w:tc>
        <w:tc>
          <w:tcPr/>
          <w:p>
            <w:pPr>
              <w:pStyle w:val="Compact"/>
              <w:jc w:val="left"/>
            </w:pPr>
            <w:r>
              <w:t xml:space="preserve">1 %</w:t>
            </w:r>
          </w:p>
        </w:tc>
        <w:tc>
          <w:tcPr/>
          <w:p>
            <w:pPr>
              <w:pStyle w:val="Compact"/>
              <w:jc w:val="left"/>
            </w:pPr>
            <w:r>
              <w:t xml:space="preserve">0 %</w:t>
            </w:r>
          </w:p>
        </w:tc>
        <w:tc>
          <w:tcPr/>
          <w:p>
            <w:pPr>
              <w:pStyle w:val="Compact"/>
              <w:jc w:val="left"/>
            </w:pPr>
            <w:r>
              <w:t xml:space="preserve">3 %</w:t>
            </w:r>
          </w:p>
        </w:tc>
        <w:tc>
          <w:tcPr/>
          <w:p>
            <w:pPr>
              <w:pStyle w:val="Compact"/>
              <w:jc w:val="left"/>
            </w:pPr>
            <w:r>
              <w:t xml:space="preserve">5 %</w:t>
            </w:r>
          </w:p>
        </w:tc>
        <w:tc>
          <w:tcPr/>
          <w:p>
            <w:pPr>
              <w:pStyle w:val="Compact"/>
              <w:jc w:val="left"/>
            </w:pPr>
            <w:r>
              <w:t xml:space="preserve">0 %</w:t>
            </w:r>
          </w:p>
        </w:tc>
        <w:tc>
          <w:tcPr/>
          <w:p>
            <w:pPr>
              <w:pStyle w:val="Compact"/>
              <w:jc w:val="left"/>
            </w:pPr>
            <w:r>
              <w:t xml:space="preserve">41 %</w:t>
            </w:r>
          </w:p>
        </w:tc>
        <w:tc>
          <w:tcPr/>
          <w:p>
            <w:pPr>
              <w:pStyle w:val="Compact"/>
              <w:jc w:val="left"/>
            </w:pPr>
            <w:r>
              <w:t xml:space="preserve">6 %</w:t>
            </w:r>
          </w:p>
        </w:tc>
        <w:tc>
          <w:tcPr/>
          <w:p>
            <w:pPr>
              <w:pStyle w:val="Compact"/>
              <w:jc w:val="left"/>
            </w:pPr>
            <w:r>
              <w:t xml:space="preserve">35 %</w:t>
            </w:r>
          </w:p>
        </w:tc>
        <w:tc>
          <w:tcPr/>
          <w:p>
            <w:pPr>
              <w:pStyle w:val="Compact"/>
              <w:jc w:val="left"/>
            </w:pPr>
            <w:r>
              <w:t xml:space="preserve">53 %</w:t>
            </w:r>
          </w:p>
        </w:tc>
      </w:tr>
      <w:tr>
        <w:tc>
          <w:tcPr/>
          <w:p>
            <w:pPr>
              <w:pStyle w:val="Compact"/>
              <w:jc w:val="left"/>
            </w:pPr>
            <w:r>
              <w:rPr>
                <w:iCs/>
                <w:i/>
              </w:rPr>
              <w:t xml:space="preserve">Kamariotis P1, optimised</w:t>
            </w:r>
          </w:p>
        </w:tc>
        <w:tc>
          <w:tcPr/>
          <w:p>
            <w:pPr>
              <w:pStyle w:val="Compact"/>
              <w:jc w:val="left"/>
            </w:pPr>
            <w:r>
              <w:t xml:space="preserve">4 %</w:t>
            </w:r>
          </w:p>
        </w:tc>
        <w:tc>
          <w:tcPr/>
          <w:p>
            <w:pPr>
              <w:pStyle w:val="Compact"/>
              <w:jc w:val="left"/>
            </w:pPr>
            <w:r>
              <w:t xml:space="preserve">51 %</w:t>
            </w:r>
          </w:p>
        </w:tc>
        <w:tc>
          <w:tcPr/>
          <w:p>
            <w:pPr>
              <w:pStyle w:val="Compact"/>
              <w:jc w:val="left"/>
            </w:pPr>
            <w:r>
              <w:t xml:space="preserve">7 %</w:t>
            </w:r>
          </w:p>
        </w:tc>
        <w:tc>
          <w:tcPr/>
          <w:p>
            <w:pPr>
              <w:pStyle w:val="Compact"/>
              <w:jc w:val="left"/>
            </w:pPr>
            <w:r>
              <w:t xml:space="preserve">42 %</w:t>
            </w:r>
          </w:p>
        </w:tc>
        <w:tc>
          <w:tcPr/>
          <w:p>
            <w:pPr>
              <w:pStyle w:val="Compact"/>
              <w:jc w:val="left"/>
            </w:pPr>
            <w:r>
              <w:t xml:space="preserve">13 %</w:t>
            </w:r>
          </w:p>
        </w:tc>
        <w:tc>
          <w:tcPr/>
          <w:p>
            <w:pPr>
              <w:pStyle w:val="Compact"/>
              <w:jc w:val="left"/>
            </w:pPr>
            <w:r>
              <w:t xml:space="preserve">8 %</w:t>
            </w:r>
          </w:p>
        </w:tc>
        <w:tc>
          <w:tcPr/>
          <w:p>
            <w:pPr>
              <w:pStyle w:val="Compact"/>
              <w:jc w:val="left"/>
            </w:pPr>
            <w:r>
              <w:t xml:space="preserve">27 %</w:t>
            </w:r>
          </w:p>
        </w:tc>
        <w:tc>
          <w:tcPr/>
          <w:p>
            <w:pPr>
              <w:pStyle w:val="Compact"/>
              <w:jc w:val="left"/>
            </w:pPr>
            <w:r>
              <w:t xml:space="preserve">22 %</w:t>
            </w:r>
          </w:p>
        </w:tc>
        <w:tc>
          <w:tcPr/>
          <w:p>
            <w:pPr>
              <w:pStyle w:val="Compact"/>
              <w:jc w:val="left"/>
            </w:pPr>
            <w:r>
              <w:t xml:space="preserve">188 %</w:t>
            </w:r>
          </w:p>
        </w:tc>
      </w:tr>
      <w:tr>
        <w:tc>
          <w:tcPr/>
          <w:p>
            <w:pPr>
              <w:pStyle w:val="Compact"/>
              <w:jc w:val="left"/>
            </w:pPr>
            <w:r>
              <w:rPr>
                <w:iCs/>
                <w:i/>
              </w:rPr>
              <w:t xml:space="preserve">STW, window-tuned</w:t>
            </w:r>
          </w:p>
        </w:tc>
        <w:tc>
          <w:tcPr/>
          <w:p>
            <w:pPr>
              <w:pStyle w:val="Compact"/>
              <w:jc w:val="left"/>
            </w:pPr>
            <w:r>
              <w:t xml:space="preserve">2 %</w:t>
            </w:r>
          </w:p>
        </w:tc>
        <w:tc>
          <w:tcPr/>
          <w:p>
            <w:pPr>
              <w:pStyle w:val="Compact"/>
              <w:jc w:val="left"/>
            </w:pPr>
            <w:r>
              <w:t xml:space="preserve">35 %</w:t>
            </w:r>
          </w:p>
        </w:tc>
        <w:tc>
          <w:tcPr/>
          <w:p>
            <w:pPr>
              <w:pStyle w:val="Compact"/>
              <w:jc w:val="left"/>
            </w:pPr>
            <w:r>
              <w:t xml:space="preserve">3 %</w:t>
            </w:r>
          </w:p>
        </w:tc>
        <w:tc>
          <w:tcPr/>
          <w:p>
            <w:pPr>
              <w:pStyle w:val="Compact"/>
              <w:jc w:val="left"/>
            </w:pPr>
            <w:r>
              <w:t xml:space="preserve">38 %</w:t>
            </w:r>
          </w:p>
        </w:tc>
        <w:tc>
          <w:tcPr/>
          <w:p>
            <w:pPr>
              <w:pStyle w:val="Compact"/>
              <w:jc w:val="left"/>
            </w:pPr>
            <w:r>
              <w:t xml:space="preserve">11 %</w:t>
            </w:r>
          </w:p>
        </w:tc>
        <w:tc>
          <w:tcPr/>
          <w:p>
            <w:pPr>
              <w:pStyle w:val="Compact"/>
              <w:jc w:val="left"/>
            </w:pPr>
            <w:r>
              <w:t xml:space="preserve">22 %</w:t>
            </w:r>
          </w:p>
        </w:tc>
        <w:tc>
          <w:tcPr/>
          <w:p>
            <w:pPr>
              <w:pStyle w:val="Compact"/>
              <w:jc w:val="left"/>
            </w:pPr>
            <w:r>
              <w:t xml:space="preserve">30 %</w:t>
            </w:r>
          </w:p>
        </w:tc>
        <w:tc>
          <w:tcPr/>
          <w:p>
            <w:pPr>
              <w:pStyle w:val="Compact"/>
              <w:jc w:val="left"/>
            </w:pPr>
            <w:r>
              <w:t xml:space="preserve">13 %</w:t>
            </w:r>
          </w:p>
        </w:tc>
        <w:tc>
          <w:tcPr/>
          <w:p>
            <w:pPr>
              <w:pStyle w:val="Compact"/>
              <w:jc w:val="left"/>
            </w:pPr>
            <w:r>
              <w:t xml:space="preserve">214 %</w:t>
            </w:r>
          </w:p>
        </w:tc>
      </w:tr>
    </w:tbl>
    <w:p>
      <w:pPr>
        <w:pStyle w:val="CaptionedFigure"/>
      </w:pPr>
      <w:r>
        <w:drawing>
          <wp:inline>
            <wp:extent cx="5334000" cy="2365331"/>
            <wp:effectExtent b="0" l="0" r="0" t="0"/>
            <wp:docPr descr="Fig. 4. Long-run cost rate relative to perfect foresight (log scale) at cost ratios 10 and 50 as a function of the lead time (cycles; battery charge–discharge cycles), five-fold cross-validation, repetition 0." title="" id="44" name="Picture"/>
            <a:graphic>
              <a:graphicData uri="http://schemas.openxmlformats.org/drawingml/2006/picture">
                <pic:pic>
                  <pic:nvPicPr>
                    <pic:cNvPr descr="figures/Fig4_cost.png" id="45" name="Picture"/>
                    <pic:cNvPicPr>
                      <a:picLocks noChangeArrowheads="1" noChangeAspect="1"/>
                    </pic:cNvPicPr>
                  </pic:nvPicPr>
                  <pic:blipFill>
                    <a:blip r:embed="rId43"/>
                    <a:stretch>
                      <a:fillRect/>
                    </a:stretch>
                  </pic:blipFill>
                  <pic:spPr bwMode="auto">
                    <a:xfrm>
                      <a:off x="0" y="0"/>
                      <a:ext cx="5334000" cy="2365331"/>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Long-run cost rate relative to perfect foresight (log scale) at cost ratios 10 and 50 as a function of the lead time (cycles; battery charge–discharge cycles), five-fold cross-validation, repetition 0.</w:t>
      </w:r>
    </w:p>
    <w:bookmarkEnd w:id="46"/>
    <w:bookmarkStart w:id="50" w:name="X439994a4e529945228aea6b40d5c0b1eaf9033f"/>
    <w:p>
      <w:pPr>
        <w:pStyle w:val="Heading2"/>
      </w:pPr>
      <w:r>
        <w:t xml:space="preserve">7.4 Transfer: the guarantee does not survive a new batch unless it is recalibrated (H5)</w:t>
      </w:r>
    </w:p>
    <w:p>
      <w:pPr>
        <w:pStyle w:val="FirstParagraph"/>
      </w:pPr>
      <w:r>
        <w:t xml:space="preserve">With a whole battery batch held out, calibration units and test units are no longer exchangeable, and the guarantee failed as predicted (</w:t>
      </w:r>
      <w:r>
        <w:rPr>
          <w:bCs/>
          <w:b/>
        </w:rPr>
        <w:t xml:space="preserve">H5a supported</w:t>
      </w:r>
      <w:r>
        <w:t xml:space="preserve">). Calibrated on the other two batches, CNA at</w:t>
      </w:r>
      <w:r>
        <w:t xml:space="preserve"> </w:t>
      </w:r>
      <m:oMath>
        <m:r>
          <m:t>α</m:t>
        </m:r>
        <m:r>
          <m:rPr>
            <m:sty m:val="p"/>
          </m:rPr>
          <m:t>=</m:t>
        </m:r>
        <m:r>
          <m:t>0.10</m:t>
        </m:r>
      </m:oMath>
      <w:r>
        <w:t xml:space="preserve"> </w:t>
      </w:r>
      <w:r>
        <w:t xml:space="preserve">failed on 0 % of batch 1, but on 74 % of batch 2 and 61 % of batch 3 (Table 5, Fig. 5). The shortest-lived batch was the worst, which is the direction expected when a regressor trained mostly on longer-lived cells overestimates remaining life. CNA-DA failed on 45 % and 36 %, and in the worst cell its cost was 24 times that of the cheapest policy. The same loss of validity appeared on N-CMAPSS with a flight-data subset held out: 29–40 % failures on three of nine subsets and 0–2 % on the other six. Conservative uncertified rules did much better under this shift: the one-standard-error cost-tuned alarm failed on 0–2 % of the held-out battery cells and the capacity-trend policies on none. Their extra margin, which cost them little within batches, protected them across batches; a calibrated alarm has, by design, no margin beyond what the calibration units require.</w:t>
      </w:r>
    </w:p>
    <w:p>
      <w:pPr>
        <w:pStyle w:val="BodyText"/>
      </w:pPr>
      <w:r>
        <w:t xml:space="preserve">Recalibration with pilot units of the new batch restored the guarantee (</w:t>
      </w:r>
      <w:r>
        <w:rPr>
          <w:bCs/>
          <w:b/>
        </w:rPr>
        <w:t xml:space="preserve">H5b supported</w:t>
      </w:r>
      <w:r>
        <w:t xml:space="preserve">). Using 10 randomly chosen cells of the held-out batch as the calibration set and testing on the rest, the mean failure rate over 300 draws was 7.5–10.1 % at</w:t>
      </w:r>
      <w:r>
        <w:t xml:space="preserve"> </w:t>
      </w:r>
      <m:oMath>
        <m:r>
          <m:t>α</m:t>
        </m:r>
        <m:r>
          <m:rPr>
            <m:sty m:val="p"/>
          </m:rPr>
          <m:t>=</m:t>
        </m:r>
        <m:r>
          <m:t>0.10</m:t>
        </m:r>
      </m:oMath>
      <w:r>
        <w:t xml:space="preserve"> </w:t>
      </w:r>
      <w:r>
        <w:t xml:space="preserve">across batches, lead times and repetitions (8.4–9.5 % at the primary lead time), around the exact value</w:t>
      </w:r>
      <w:r>
        <w:t xml:space="preserve"> </w:t>
      </w:r>
      <m:oMath>
        <m:r>
          <m:t>1</m:t>
        </m:r>
        <m:r>
          <m:rPr>
            <m:sty m:val="p"/>
          </m:rPr>
          <m:t>/</m:t>
        </m:r>
        <m:r>
          <m:t>11</m:t>
        </m:r>
        <m:r>
          <m:rPr>
            <m:sty m:val="p"/>
          </m:rPr>
          <m:t>=</m:t>
        </m:r>
        <m:r>
          <m:t>9.1</m:t>
        </m:r>
        <m:r>
          <m:rPr>
            <m:sty m:val="p"/>
          </m:rPr>
          <m:t>%</m:t>
        </m:r>
      </m:oMath>
      <w:r>
        <w:t xml:space="preserve"> </w:t>
      </w:r>
      <w:r>
        <w:t xml:space="preserve">of Proposition 2; with 20 pilot cells it was 8.3–10.4 %. The price is notice and pilot units. Mean notice at a planned replacement was 48–60 cycles with 10 pilot cells, against 37 cycles on batches 2 and 3 under cross-batch calibration, where most cells failed; five pilot cells cannot certify</w:t>
      </w:r>
      <w:r>
        <w:t xml:space="preserve"> </w:t>
      </w:r>
      <m:oMath>
        <m:r>
          <m:t>α</m:t>
        </m:r>
        <m:r>
          <m:rPr>
            <m:sty m:val="p"/>
          </m:rPr>
          <m:t>=</m:t>
        </m:r>
        <m:r>
          <m:t>0.10</m:t>
        </m:r>
      </m:oMath>
      <w:r>
        <w:t xml:space="preserve"> </w:t>
      </w:r>
      <w:r>
        <w:t xml:space="preserve">at all (</w:t>
      </w:r>
      <m:oMath>
        <m:r>
          <m:t>1</m:t>
        </m:r>
        <m:r>
          <m:rPr>
            <m:sty m:val="p"/>
          </m:rPr>
          <m:t>/</m:t>
        </m:r>
        <m:d>
          <m:dPr>
            <m:begChr m:val="("/>
            <m:endChr m:val=")"/>
            <m:sepChr m:val=""/>
            <m:grow/>
          </m:dPr>
          <m:e>
            <m:r>
              <m:t>m</m:t>
            </m:r>
            <m:r>
              <m:rPr>
                <m:sty m:val="p"/>
              </m:rPr>
              <m:t>+</m:t>
            </m:r>
            <m:r>
              <m:t>1</m:t>
            </m:r>
          </m:e>
        </m:d>
        <m:r>
          <m:rPr>
            <m:sty m:val="p"/>
          </m:rPr>
          <m:t>&gt;</m:t>
        </m:r>
        <m:r>
          <m:t>α</m:t>
        </m:r>
      </m:oMath>
      <w:r>
        <w:t xml:space="preserve">), and certify</w:t>
      </w:r>
      <w:r>
        <w:t xml:space="preserve"> </w:t>
      </w:r>
      <m:oMath>
        <m:r>
          <m:t>α</m:t>
        </m:r>
        <m:r>
          <m:rPr>
            <m:sty m:val="p"/>
          </m:rPr>
          <m:t>=</m:t>
        </m:r>
        <m:r>
          <m:t>0.20</m:t>
        </m:r>
      </m:oMath>
      <w:r>
        <w:t xml:space="preserve"> </w:t>
      </w:r>
      <w:r>
        <w:t xml:space="preserve">with a failure rate of 16.5–16.7 %. The capacity-trend signal behaved the same way: calibrated across batches it failed on 56 % of batch 2, and with 10 pilot cells on 9 %.</w:t>
      </w:r>
    </w:p>
    <w:p>
      <w:pPr>
        <w:pStyle w:val="TableCaption"/>
      </w:pPr>
      <w:r>
        <w:rPr>
          <w:bCs/>
          <w:b/>
        </w:rPr>
        <w:t xml:space="preserve">Table 5.</w:t>
      </w:r>
      <w:r>
        <w:t xml:space="preserve"> </w:t>
      </w:r>
      <w:r>
        <w:t xml:space="preserve">Failure before replacement with a whole group held out (battery: lead time 30 cycles; N-CMAPSS: 10 cycles), mean of three repetitions. Pilot: CNA calibrated on</w:t>
      </w:r>
      <w:r>
        <w:t xml:space="preserve"> </w:t>
      </w:r>
      <m:oMath>
        <m:r>
          <m:t>m</m:t>
        </m:r>
      </m:oMath>
      <w:r>
        <w:t xml:space="preserve"> </w:t>
      </w:r>
      <w:r>
        <w:t xml:space="preserve">randomly chosen units of the held-out group and tested on the rest (mean over 300 draws); with</w:t>
      </w:r>
      <w:r>
        <w:t xml:space="preserve"> </w:t>
      </w:r>
      <m:oMath>
        <m:r>
          <m:t>m</m:t>
        </m:r>
        <m:r>
          <m:rPr>
            <m:sty m:val="p"/>
          </m:rPr>
          <m:t>=</m:t>
        </m:r>
        <m:r>
          <m:t>5</m:t>
        </m:r>
      </m:oMath>
      <w:r>
        <w:t xml:space="preserve">,</w:t>
      </w:r>
      <w:r>
        <w:t xml:space="preserve"> </w:t>
      </w:r>
      <m:oMath>
        <m:r>
          <m:t>α</m:t>
        </m:r>
        <m:r>
          <m:rPr>
            <m:sty m:val="p"/>
          </m:rPr>
          <m:t>=</m:t>
        </m:r>
        <m:r>
          <m:t>0.10</m:t>
        </m:r>
      </m:oMath>
      <w:r>
        <w:t xml:space="preserve"> </w:t>
      </w:r>
      <w:r>
        <w:t xml:space="preserve">is not attainable and</w:t>
      </w:r>
      <w:r>
        <w:t xml:space="preserve"> </w:t>
      </w:r>
      <m:oMath>
        <m:r>
          <m:t>α</m:t>
        </m:r>
        <m:r>
          <m:rPr>
            <m:sty m:val="p"/>
          </m:rPr>
          <m:t>=</m:t>
        </m:r>
        <m:r>
          <m:t>0.20</m:t>
        </m:r>
      </m:oMath>
      <w:r>
        <w:t xml:space="preserve"> </w:t>
      </w:r>
      <w:r>
        <w:t xml:space="preserve">is shown.</w:t>
      </w:r>
    </w:p>
    <w:tbl>
      <w:tblPr>
        <w:tblStyle w:val="Table"/>
        <w:tblW w:type="pct" w:w="5000"/>
        <w:tblLook w:firstRow="1" w:lastRow="0" w:firstColumn="0" w:lastColumn="0" w:noHBand="0" w:noVBand="0" w:val="0020"/>
        <w:jc w:val="start"/>
        <w:tblCaption w:val="Table 5. Failure before replacement with a whole group held out (battery: lead time 30 cycles; N-CMAPSS: 10 cycles), mean of three repetitions. Pilot: CNA calibrated on m randomly chosen units of the held-out group and tested on the rest (mean over 300 draws); with m = 5, \alpha = 0.10 is not attainable and \alpha = 0.20 is shown."/>
      </w:tblPr>
      <w:tblGrid>
        <w:gridCol w:w="879"/>
        <w:gridCol w:w="879"/>
        <w:gridCol w:w="879"/>
        <w:gridCol w:w="879"/>
        <w:gridCol w:w="879"/>
        <w:gridCol w:w="879"/>
        <w:gridCol w:w="879"/>
        <w:gridCol w:w="879"/>
        <w:gridCol w:w="879"/>
      </w:tblGrid>
      <w:tr>
        <w:trPr>
          <w:tblHeader w:val="true"/>
        </w:trPr>
        <w:tc>
          <w:tcPr/>
          <w:p>
            <w:pPr>
              <w:pStyle w:val="Compact"/>
              <w:jc w:val="left"/>
            </w:pPr>
            <w:r>
              <w:t xml:space="preserve">Held-out group (units)</w:t>
            </w:r>
          </w:p>
        </w:tc>
        <w:tc>
          <w:tcPr/>
          <w:p>
            <w:pPr>
              <w:pStyle w:val="Compact"/>
              <w:jc w:val="left"/>
            </w:pPr>
            <w:r>
              <w:t xml:space="preserve">CNA 0.10, other groups</w:t>
            </w:r>
          </w:p>
        </w:tc>
        <w:tc>
          <w:tcPr/>
          <w:p>
            <w:pPr>
              <w:pStyle w:val="Compact"/>
              <w:jc w:val="left"/>
            </w:pPr>
            <w:r>
              <w:t xml:space="preserve">CNA-DA</w:t>
            </w:r>
          </w:p>
        </w:tc>
        <w:tc>
          <w:tcPr/>
          <w:p>
            <w:pPr>
              <w:pStyle w:val="Compact"/>
              <w:jc w:val="left"/>
            </w:pPr>
            <w:r>
              <w:t xml:space="preserve">Pilot</w:t>
            </w:r>
            <w:r>
              <w:t xml:space="preserve"> </w:t>
            </w:r>
            <m:oMath>
              <m:r>
                <m:t>m</m:t>
              </m:r>
            </m:oMath>
            <w:r>
              <w:t xml:space="preserve"> </w:t>
            </w:r>
            <w:r>
              <w:t xml:space="preserve">= 10,</w:t>
            </w:r>
            <w:r>
              <w:t xml:space="preserve"> </w:t>
            </w:r>
            <m:oMath>
              <m:r>
                <m:t>α</m:t>
              </m:r>
            </m:oMath>
            <w:r>
              <w:t xml:space="preserve"> </w:t>
            </w:r>
            <w:r>
              <w:t xml:space="preserve">= 0.10</w:t>
            </w:r>
          </w:p>
        </w:tc>
        <w:tc>
          <w:tcPr/>
          <w:p>
            <w:pPr>
              <w:pStyle w:val="Compact"/>
              <w:jc w:val="left"/>
            </w:pPr>
            <w:r>
              <w:t xml:space="preserve">Pilot</w:t>
            </w:r>
            <w:r>
              <w:t xml:space="preserve"> </w:t>
            </w:r>
            <m:oMath>
              <m:r>
                <m:t>m</m:t>
              </m:r>
            </m:oMath>
            <w:r>
              <w:t xml:space="preserve"> </w:t>
            </w:r>
            <w:r>
              <w:t xml:space="preserve">= 5,</w:t>
            </w:r>
            <w:r>
              <w:t xml:space="preserve"> </w:t>
            </w:r>
            <m:oMath>
              <m:r>
                <m:t>α</m:t>
              </m:r>
            </m:oMath>
            <w:r>
              <w:t xml:space="preserve"> </w:t>
            </w:r>
            <w:r>
              <w:t xml:space="preserve">= 0.20</w:t>
            </w:r>
          </w:p>
        </w:tc>
        <w:tc>
          <w:tcPr/>
          <w:p>
            <w:pPr>
              <w:pStyle w:val="Compact"/>
              <w:jc w:val="left"/>
            </w:pPr>
            <w:r>
              <w:t xml:space="preserve">STW window</w:t>
            </w:r>
          </w:p>
        </w:tc>
        <w:tc>
          <w:tcPr/>
          <w:p>
            <w:pPr>
              <w:pStyle w:val="Compact"/>
              <w:jc w:val="left"/>
            </w:pPr>
            <w:r>
              <w:t xml:space="preserve">STW 1-SE</w:t>
            </w:r>
          </w:p>
        </w:tc>
        <w:tc>
          <w:tcPr/>
          <w:p>
            <w:pPr>
              <w:pStyle w:val="Compact"/>
              <w:jc w:val="left"/>
            </w:pPr>
            <w:r>
              <w:t xml:space="preserve">Kamariotis P1 opt.</w:t>
            </w:r>
          </w:p>
        </w:tc>
        <w:tc>
          <w:tcPr/>
          <w:p>
            <w:pPr>
              <w:pStyle w:val="Compact"/>
              <w:jc w:val="left"/>
            </w:pPr>
            <w:r>
              <w:t xml:space="preserve">Trend 1-SE</w:t>
            </w:r>
          </w:p>
        </w:tc>
      </w:tr>
      <w:tr>
        <w:tc>
          <w:tcPr/>
          <w:p>
            <w:pPr>
              <w:pStyle w:val="Compact"/>
              <w:jc w:val="left"/>
            </w:pPr>
            <w:r>
              <w:t xml:space="preserve">Battery batch 1 (36)</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0.095</w:t>
            </w:r>
          </w:p>
        </w:tc>
        <w:tc>
          <w:tcPr/>
          <w:p>
            <w:pPr>
              <w:pStyle w:val="Compact"/>
              <w:jc w:val="left"/>
            </w:pPr>
            <w:r>
              <w:t xml:space="preserve">0.167</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Battery batch 2 (43)</w:t>
            </w:r>
          </w:p>
        </w:tc>
        <w:tc>
          <w:tcPr/>
          <w:p>
            <w:pPr>
              <w:pStyle w:val="Compact"/>
              <w:jc w:val="left"/>
            </w:pPr>
            <w:r>
              <w:t xml:space="preserve">0.74</w:t>
            </w:r>
          </w:p>
        </w:tc>
        <w:tc>
          <w:tcPr/>
          <w:p>
            <w:pPr>
              <w:pStyle w:val="Compact"/>
              <w:jc w:val="left"/>
            </w:pPr>
            <w:r>
              <w:t xml:space="preserve">0.45</w:t>
            </w:r>
          </w:p>
        </w:tc>
        <w:tc>
          <w:tcPr/>
          <w:p>
            <w:pPr>
              <w:pStyle w:val="Compact"/>
              <w:jc w:val="left"/>
            </w:pPr>
            <w:r>
              <w:t xml:space="preserve">0.094</w:t>
            </w:r>
          </w:p>
        </w:tc>
        <w:tc>
          <w:tcPr/>
          <w:p>
            <w:pPr>
              <w:pStyle w:val="Compact"/>
              <w:jc w:val="left"/>
            </w:pPr>
            <w:r>
              <w:t xml:space="preserve">0.165</w:t>
            </w:r>
          </w:p>
        </w:tc>
        <w:tc>
          <w:tcPr/>
          <w:p>
            <w:pPr>
              <w:pStyle w:val="Compact"/>
              <w:jc w:val="left"/>
            </w:pPr>
            <w:r>
              <w:t xml:space="preserve">0.35</w:t>
            </w:r>
          </w:p>
        </w:tc>
        <w:tc>
          <w:tcPr/>
          <w:p>
            <w:pPr>
              <w:pStyle w:val="Compact"/>
              <w:jc w:val="left"/>
            </w:pPr>
            <w:r>
              <w:t xml:space="preserve">0.00</w:t>
            </w:r>
          </w:p>
        </w:tc>
        <w:tc>
          <w:tcPr/>
          <w:p>
            <w:pPr>
              <w:pStyle w:val="Compact"/>
              <w:jc w:val="left"/>
            </w:pPr>
            <w:r>
              <w:t xml:space="preserve">0.12</w:t>
            </w:r>
          </w:p>
        </w:tc>
        <w:tc>
          <w:tcPr/>
          <w:p>
            <w:pPr>
              <w:pStyle w:val="Compact"/>
              <w:jc w:val="left"/>
            </w:pPr>
            <w:r>
              <w:t xml:space="preserve">0.00</w:t>
            </w:r>
          </w:p>
        </w:tc>
      </w:tr>
      <w:tr>
        <w:tc>
          <w:tcPr/>
          <w:p>
            <w:pPr>
              <w:pStyle w:val="Compact"/>
              <w:jc w:val="left"/>
            </w:pPr>
            <w:r>
              <w:t xml:space="preserve">Battery batch 3 (44)</w:t>
            </w:r>
          </w:p>
        </w:tc>
        <w:tc>
          <w:tcPr/>
          <w:p>
            <w:pPr>
              <w:pStyle w:val="Compact"/>
              <w:jc w:val="left"/>
            </w:pPr>
            <w:r>
              <w:t xml:space="preserve">0.61</w:t>
            </w:r>
          </w:p>
        </w:tc>
        <w:tc>
          <w:tcPr/>
          <w:p>
            <w:pPr>
              <w:pStyle w:val="Compact"/>
              <w:jc w:val="left"/>
            </w:pPr>
            <w:r>
              <w:t xml:space="preserve">0.36</w:t>
            </w:r>
          </w:p>
        </w:tc>
        <w:tc>
          <w:tcPr/>
          <w:p>
            <w:pPr>
              <w:pStyle w:val="Compact"/>
              <w:jc w:val="left"/>
            </w:pPr>
            <w:r>
              <w:t xml:space="preserve">0.084</w:t>
            </w:r>
          </w:p>
        </w:tc>
        <w:tc>
          <w:tcPr/>
          <w:p>
            <w:pPr>
              <w:pStyle w:val="Compact"/>
              <w:jc w:val="left"/>
            </w:pPr>
            <w:r>
              <w:t xml:space="preserve">0.167</w:t>
            </w:r>
          </w:p>
        </w:tc>
        <w:tc>
          <w:tcPr/>
          <w:p>
            <w:pPr>
              <w:pStyle w:val="Compact"/>
              <w:jc w:val="left"/>
            </w:pPr>
            <w:r>
              <w:t xml:space="preserve">0.06</w:t>
            </w:r>
          </w:p>
        </w:tc>
        <w:tc>
          <w:tcPr/>
          <w:p>
            <w:pPr>
              <w:pStyle w:val="Compact"/>
              <w:jc w:val="left"/>
            </w:pPr>
            <w:r>
              <w:t xml:space="preserve">0.02</w:t>
            </w:r>
          </w:p>
        </w:tc>
        <w:tc>
          <w:tcPr/>
          <w:p>
            <w:pPr>
              <w:pStyle w:val="Compact"/>
              <w:jc w:val="left"/>
            </w:pPr>
            <w:r>
              <w:t xml:space="preserve">0.17</w:t>
            </w:r>
          </w:p>
        </w:tc>
        <w:tc>
          <w:tcPr/>
          <w:p>
            <w:pPr>
              <w:pStyle w:val="Compact"/>
              <w:jc w:val="left"/>
            </w:pPr>
            <w:r>
              <w:t xml:space="preserve">0.00</w:t>
            </w:r>
          </w:p>
        </w:tc>
      </w:tr>
      <w:tr>
        <w:tc>
          <w:tcPr/>
          <w:p>
            <w:pPr>
              <w:pStyle w:val="Compact"/>
              <w:jc w:val="left"/>
            </w:pPr>
            <w:r>
              <w:t xml:space="preserve">N-CMAPSS, 6 subsets (9–15 each)</w:t>
            </w:r>
          </w:p>
        </w:tc>
        <w:tc>
          <w:tcPr/>
          <w:p>
            <w:pPr>
              <w:pStyle w:val="Compact"/>
              <w:jc w:val="left"/>
            </w:pPr>
            <w:r>
              <w:t xml:space="preserve">0.00–0.02</w:t>
            </w:r>
          </w:p>
        </w:tc>
        <w:tc>
          <w:tcPr/>
          <w:p>
            <w:pPr>
              <w:pStyle w:val="Compact"/>
              <w:jc w:val="left"/>
            </w:pPr>
            <w:r>
              <w:t xml:space="preserve">0.00</w:t>
            </w:r>
          </w:p>
        </w:tc>
        <w:tc>
          <w:tcPr/>
          <w:p>
            <w:pPr>
              <w:pStyle w:val="Compact"/>
              <w:jc w:val="left"/>
            </w:pPr>
            <w:r>
              <w:t xml:space="preserve">–</w:t>
            </w:r>
          </w:p>
        </w:tc>
        <w:tc>
          <w:tcPr/>
          <w:p>
            <w:pPr>
              <w:pStyle w:val="Compact"/>
              <w:jc w:val="left"/>
            </w:pPr>
            <w:r>
              <w:t xml:space="preserve">0.165–0.177</w:t>
            </w:r>
          </w:p>
        </w:tc>
        <w:tc>
          <w:tcPr/>
          <w:p>
            <w:pPr>
              <w:pStyle w:val="Compact"/>
              <w:jc w:val="left"/>
            </w:pPr>
            <w:r>
              <w:t xml:space="preserve">0.00–0.02</w:t>
            </w:r>
          </w:p>
        </w:tc>
        <w:tc>
          <w:tcPr/>
          <w:p>
            <w:pPr>
              <w:pStyle w:val="Compact"/>
              <w:jc w:val="left"/>
            </w:pPr>
            <w:r>
              <w:t xml:space="preserve">0.00</w:t>
            </w:r>
          </w:p>
        </w:tc>
        <w:tc>
          <w:tcPr/>
          <w:p>
            <w:pPr>
              <w:pStyle w:val="Compact"/>
              <w:jc w:val="left"/>
            </w:pPr>
            <w:r>
              <w:t xml:space="preserve">0.00</w:t>
            </w:r>
          </w:p>
        </w:tc>
        <w:tc>
          <w:tcPr/>
          <w:p>
            <w:pPr>
              <w:pStyle w:val="Compact"/>
              <w:jc w:val="left"/>
            </w:pPr>
            <w:r>
              <w:t xml:space="preserve">–</w:t>
            </w:r>
          </w:p>
        </w:tc>
      </w:tr>
      <w:tr>
        <w:tc>
          <w:tcPr/>
          <w:p>
            <w:pPr>
              <w:pStyle w:val="Compact"/>
              <w:jc w:val="left"/>
            </w:pPr>
            <w:r>
              <w:t xml:space="preserve">N-CMAPSS subset 4 (10)</w:t>
            </w:r>
          </w:p>
        </w:tc>
        <w:tc>
          <w:tcPr/>
          <w:p>
            <w:pPr>
              <w:pStyle w:val="Compact"/>
              <w:jc w:val="left"/>
            </w:pPr>
            <w:r>
              <w:t xml:space="preserve">0.33</w:t>
            </w:r>
          </w:p>
        </w:tc>
        <w:tc>
          <w:tcPr/>
          <w:p>
            <w:pPr>
              <w:pStyle w:val="Compact"/>
              <w:jc w:val="left"/>
            </w:pPr>
            <w:r>
              <w:t xml:space="preserve">0.10</w:t>
            </w:r>
          </w:p>
        </w:tc>
        <w:tc>
          <w:tcPr/>
          <w:p>
            <w:pPr>
              <w:pStyle w:val="Compact"/>
              <w:jc w:val="left"/>
            </w:pPr>
            <w:r>
              <w:t xml:space="preserve">–</w:t>
            </w:r>
          </w:p>
        </w:tc>
        <w:tc>
          <w:tcPr/>
          <w:p>
            <w:pPr>
              <w:pStyle w:val="Compact"/>
              <w:jc w:val="left"/>
            </w:pPr>
            <w:r>
              <w:t xml:space="preserve">0.165</w:t>
            </w:r>
          </w:p>
        </w:tc>
        <w:tc>
          <w:tcPr/>
          <w:p>
            <w:pPr>
              <w:pStyle w:val="Compact"/>
              <w:jc w:val="left"/>
            </w:pPr>
            <w:r>
              <w:t xml:space="preserve">0.07</w:t>
            </w:r>
          </w:p>
        </w:tc>
        <w:tc>
          <w:tcPr/>
          <w:p>
            <w:pPr>
              <w:pStyle w:val="Compact"/>
              <w:jc w:val="left"/>
            </w:pPr>
            <w:r>
              <w:t xml:space="preserve">0.10</w:t>
            </w:r>
          </w:p>
        </w:tc>
        <w:tc>
          <w:tcPr/>
          <w:p>
            <w:pPr>
              <w:pStyle w:val="Compact"/>
              <w:jc w:val="left"/>
            </w:pPr>
            <w:r>
              <w:t xml:space="preserve">0.07</w:t>
            </w:r>
          </w:p>
        </w:tc>
        <w:tc>
          <w:tcPr/>
          <w:p>
            <w:pPr>
              <w:pStyle w:val="Compact"/>
              <w:jc w:val="left"/>
            </w:pPr>
            <w:r>
              <w:t xml:space="preserve">–</w:t>
            </w:r>
          </w:p>
        </w:tc>
      </w:tr>
      <w:tr>
        <w:tc>
          <w:tcPr/>
          <w:p>
            <w:pPr>
              <w:pStyle w:val="Compact"/>
              <w:jc w:val="left"/>
            </w:pPr>
            <w:r>
              <w:t xml:space="preserve">N-CMAPSS subset 8 (15)</w:t>
            </w:r>
          </w:p>
        </w:tc>
        <w:tc>
          <w:tcPr/>
          <w:p>
            <w:pPr>
              <w:pStyle w:val="Compact"/>
              <w:jc w:val="left"/>
            </w:pPr>
            <w:r>
              <w:t xml:space="preserve">0.29</w:t>
            </w:r>
          </w:p>
        </w:tc>
        <w:tc>
          <w:tcPr/>
          <w:p>
            <w:pPr>
              <w:pStyle w:val="Compact"/>
              <w:jc w:val="left"/>
            </w:pPr>
            <w:r>
              <w:t xml:space="preserve">0.18</w:t>
            </w:r>
          </w:p>
        </w:tc>
        <w:tc>
          <w:tcPr/>
          <w:p>
            <w:pPr>
              <w:pStyle w:val="Compact"/>
              <w:jc w:val="left"/>
            </w:pPr>
            <w:r>
              <w:t xml:space="preserve">–</w:t>
            </w:r>
          </w:p>
        </w:tc>
        <w:tc>
          <w:tcPr/>
          <w:p>
            <w:pPr>
              <w:pStyle w:val="Compact"/>
              <w:jc w:val="left"/>
            </w:pPr>
            <w:r>
              <w:t xml:space="preserve">0.169</w:t>
            </w:r>
          </w:p>
        </w:tc>
        <w:tc>
          <w:tcPr/>
          <w:p>
            <w:pPr>
              <w:pStyle w:val="Compact"/>
              <w:jc w:val="left"/>
            </w:pPr>
            <w:r>
              <w:t xml:space="preserve">0.11</w:t>
            </w:r>
          </w:p>
        </w:tc>
        <w:tc>
          <w:tcPr/>
          <w:p>
            <w:pPr>
              <w:pStyle w:val="Compact"/>
              <w:jc w:val="left"/>
            </w:pPr>
            <w:r>
              <w:t xml:space="preserve">0.18</w:t>
            </w:r>
          </w:p>
        </w:tc>
        <w:tc>
          <w:tcPr/>
          <w:p>
            <w:pPr>
              <w:pStyle w:val="Compact"/>
              <w:jc w:val="left"/>
            </w:pPr>
            <w:r>
              <w:t xml:space="preserve">0.11</w:t>
            </w:r>
          </w:p>
        </w:tc>
        <w:tc>
          <w:tcPr/>
          <w:p>
            <w:pPr>
              <w:pStyle w:val="Compact"/>
              <w:jc w:val="left"/>
            </w:pPr>
            <w:r>
              <w:t xml:space="preserve">–</w:t>
            </w:r>
          </w:p>
        </w:tc>
      </w:tr>
      <w:tr>
        <w:tc>
          <w:tcPr/>
          <w:p>
            <w:pPr>
              <w:pStyle w:val="Compact"/>
              <w:jc w:val="left"/>
            </w:pPr>
            <w:r>
              <w:t xml:space="preserve">N-CMAPSS subset 9 (10)</w:t>
            </w:r>
          </w:p>
        </w:tc>
        <w:tc>
          <w:tcPr/>
          <w:p>
            <w:pPr>
              <w:pStyle w:val="Compact"/>
              <w:jc w:val="left"/>
            </w:pPr>
            <w:r>
              <w:t xml:space="preserve">0.40</w:t>
            </w:r>
          </w:p>
        </w:tc>
        <w:tc>
          <w:tcPr/>
          <w:p>
            <w:pPr>
              <w:pStyle w:val="Compact"/>
              <w:jc w:val="left"/>
            </w:pPr>
            <w:r>
              <w:t xml:space="preserve">0.07</w:t>
            </w:r>
          </w:p>
        </w:tc>
        <w:tc>
          <w:tcPr/>
          <w:p>
            <w:pPr>
              <w:pStyle w:val="Compact"/>
              <w:jc w:val="left"/>
            </w:pPr>
            <w:r>
              <w:t xml:space="preserve">–</w:t>
            </w:r>
          </w:p>
        </w:tc>
        <w:tc>
          <w:tcPr/>
          <w:p>
            <w:pPr>
              <w:pStyle w:val="Compact"/>
              <w:jc w:val="left"/>
            </w:pPr>
            <w:r>
              <w:t xml:space="preserve">0.169</w:t>
            </w:r>
          </w:p>
        </w:tc>
        <w:tc>
          <w:tcPr/>
          <w:p>
            <w:pPr>
              <w:pStyle w:val="Compact"/>
              <w:jc w:val="left"/>
            </w:pPr>
            <w:r>
              <w:t xml:space="preserve">0.10</w:t>
            </w:r>
          </w:p>
        </w:tc>
        <w:tc>
          <w:tcPr/>
          <w:p>
            <w:pPr>
              <w:pStyle w:val="Compact"/>
              <w:jc w:val="left"/>
            </w:pPr>
            <w:r>
              <w:t xml:space="preserve">0.13</w:t>
            </w:r>
          </w:p>
        </w:tc>
        <w:tc>
          <w:tcPr/>
          <w:p>
            <w:pPr>
              <w:pStyle w:val="Compact"/>
              <w:jc w:val="left"/>
            </w:pPr>
            <w:r>
              <w:t xml:space="preserve">0.03</w:t>
            </w:r>
          </w:p>
        </w:tc>
        <w:tc>
          <w:tcPr/>
          <w:p>
            <w:pPr>
              <w:pStyle w:val="Compact"/>
              <w:jc w:val="left"/>
            </w:pPr>
            <w:r>
              <w:t xml:space="preserve">–</w:t>
            </w:r>
          </w:p>
        </w:tc>
      </w:tr>
    </w:tbl>
    <w:p>
      <w:pPr>
        <w:pStyle w:val="CaptionedFigure"/>
      </w:pPr>
      <w:r>
        <w:drawing>
          <wp:inline>
            <wp:extent cx="5334000" cy="2902002"/>
            <wp:effectExtent b="0" l="0" r="0" t="0"/>
            <wp:docPr descr="Fig. 5. Battery cells with a whole batch held out (\alpha = 0.10, lead time 30 cycles). (a) Failure before replacement when the alarm is calibrated on the other batches (dots: three repetitions) or on 10 pilot cells of the held-out batch (diamonds: mean over 300 random draws). (b) Failure against mean notice at planned replacements for the gradient-boosted signal." title="" id="48" name="Picture"/>
            <a:graphic>
              <a:graphicData uri="http://schemas.openxmlformats.org/drawingml/2006/picture">
                <pic:pic>
                  <pic:nvPicPr>
                    <pic:cNvPr descr="figures/Fig5_transfer.png" id="49" name="Picture"/>
                    <pic:cNvPicPr>
                      <a:picLocks noChangeArrowheads="1" noChangeAspect="1"/>
                    </pic:cNvPicPr>
                  </pic:nvPicPr>
                  <pic:blipFill>
                    <a:blip r:embed="rId47"/>
                    <a:stretch>
                      <a:fillRect/>
                    </a:stretch>
                  </pic:blipFill>
                  <pic:spPr bwMode="auto">
                    <a:xfrm>
                      <a:off x="0" y="0"/>
                      <a:ext cx="5334000" cy="2902002"/>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Battery cells with a whole batch held out (</w:t>
      </w:r>
      <m:oMath>
        <m:r>
          <m:t>α</m:t>
        </m:r>
      </m:oMath>
      <w:r>
        <w:t xml:space="preserve"> </w:t>
      </w:r>
      <w:r>
        <w:t xml:space="preserve">= 0.10, lead time 30 cycles). (a) Failure before replacement when the alarm is calibrated on the other batches (dots: three repetitions) or on 10 pilot cells of the held-out batch (diamonds: mean over 300 random draws). (b) Failure against mean notice at planned replacements for the gradient-boosted signal.</w:t>
      </w:r>
    </w:p>
    <w:bookmarkEnd w:id="50"/>
    <w:bookmarkEnd w:id="51"/>
    <w:bookmarkStart w:id="57" w:name="discussion"/>
    <w:p>
      <w:pPr>
        <w:pStyle w:val="Heading1"/>
      </w:pPr>
      <w:r>
        <w:t xml:space="preserve">8. Discussion</w:t>
      </w:r>
    </w:p>
    <w:bookmarkStart w:id="52" w:name="what-the-results-establish"/>
    <w:p>
      <w:pPr>
        <w:pStyle w:val="Heading2"/>
      </w:pPr>
      <w:r>
        <w:t xml:space="preserve">8.1 What the results establish</w:t>
      </w:r>
    </w:p>
    <w:p>
      <w:pPr>
        <w:pStyle w:val="FirstParagraph"/>
      </w:pPr>
      <w:r>
        <w:t xml:space="preserve">Calibrating the alarm rather than the interval did what Theorem 2 says it does. On seven datasets, with between 32 and 83 calibration units, the failure-before-replacement rate of the conformal notice alarm followed its nominal level (pooled 3.8, 9.3 and 19.4 % for 5, 10 and 20 %), while a per-cycle lower bound at the same nominal level on the same signal and trigger failed on up to 70 % of units. The difference is not a matter of tuning. Per-cycle coverage averages over cycles chosen independently of the data; an alarm is read at the first cycle at which the signal crosses a level, the cycle at which an optimistic error is most likely. Restricting the per-cycle residuals to the near-failure region repaired most of the gap on six datasets, but how close it came depended on that choice of rows, and on N-CMAPSS it exceeded its level by half. Calibrating the critical level removes the choice: the quantity calibrated is the event the operator cares about.</w:t>
      </w:r>
    </w:p>
    <w:bookmarkEnd w:id="52"/>
    <w:bookmarkStart w:id="53" w:name="Xe4bb5b9b7da0987d0fba0292a7ae393ffa30e3a"/>
    <w:p>
      <w:pPr>
        <w:pStyle w:val="Heading2"/>
      </w:pPr>
      <w:r>
        <w:t xml:space="preserve">8.2 What the guarantee costs, and when it is worth having</w:t>
      </w:r>
    </w:p>
    <w:p>
      <w:pPr>
        <w:pStyle w:val="FirstParagraph"/>
      </w:pPr>
      <w:r>
        <w:t xml:space="preserve">The guarantee is a certificate, not a saving. A decision-aware choice of the level kept the failure rate below the stated ceiling in every cost setting, but well-regularised uncertified rules, notably a one-standard-error cost-tuned alarm and, on the batteries, a capacity trend, were cheaper on several datasets. Proposition 2 identifies the reason, and it is general: a distribution-free procedure that chooses among calibration critical levels cannot certify a failure probability below</w:t>
      </w:r>
      <w:r>
        <w:t xml:space="preserve"> </w:t>
      </w:r>
      <m:oMath>
        <m:r>
          <m:t>1</m:t>
        </m:r>
        <m:r>
          <m:rPr>
            <m:sty m:val="p"/>
          </m:rPr>
          <m:t>/</m:t>
        </m:r>
        <m:d>
          <m:dPr>
            <m:begChr m:val="("/>
            <m:endChr m:val=")"/>
            <m:sepChr m:val=""/>
            <m:grow/>
          </m:dPr>
          <m:e>
            <m:r>
              <m:t>n</m:t>
            </m:r>
            <m:r>
              <m:rPr>
                <m:sty m:val="p"/>
              </m:rPr>
              <m:t>+</m:t>
            </m:r>
            <m:r>
              <m:t>1</m:t>
            </m:r>
          </m:e>
        </m:d>
      </m:oMath>
      <w:r>
        <w:t xml:space="preserve">, and with expensive failures that floor dominates the cost. Rules that extrapolate beyond the most conservative calibration unit can be cheaper on a given test set, and here they were, but the earlier study showed that plain empirical cost minimisation was fragile [3], and nothing bounds their failure probability for the next unit. For practice this gives a simple sizing rule. To certify a failure probability</w:t>
      </w:r>
      <w:r>
        <w:t xml:space="preserve"> </w:t>
      </w:r>
      <m:oMath>
        <m:r>
          <m:t>α</m:t>
        </m:r>
      </m:oMath>
      <w:r>
        <w:t xml:space="preserve"> </w:t>
      </w:r>
      <w:r>
        <w:t xml:space="preserve">one needs at least</w:t>
      </w:r>
      <w:r>
        <w:t xml:space="preserve"> </w:t>
      </w:r>
      <m:oMath>
        <m:r>
          <m:t>1</m:t>
        </m:r>
        <m:r>
          <m:rPr>
            <m:sty m:val="p"/>
          </m:rPr>
          <m:t>/</m:t>
        </m:r>
        <m:r>
          <m:t>α</m:t>
        </m:r>
        <m:r>
          <m:rPr>
            <m:sty m:val="p"/>
          </m:rPr>
          <m:t>−</m:t>
        </m:r>
        <m:r>
          <m:t>1</m:t>
        </m:r>
      </m:oMath>
      <w:r>
        <w:t xml:space="preserve"> </w:t>
      </w:r>
      <w:r>
        <w:t xml:space="preserve">run-to-failure calibration units of the population in question; to keep the certified excess cost</w:t>
      </w:r>
      <w:r>
        <w:t xml:space="preserve"> </w:t>
      </w:r>
      <m:oMath>
        <m:d>
          <m:dPr>
            <m:begChr m:val="("/>
            <m:endChr m:val=")"/>
            <m:sepChr m:val=""/>
            <m:grow/>
          </m:dPr>
          <m:e>
            <m:r>
              <m:t>ρ</m:t>
            </m:r>
            <m:r>
              <m:rPr>
                <m:sty m:val="p"/>
              </m:rPr>
              <m:t>−</m:t>
            </m:r>
            <m:r>
              <m:t>1</m:t>
            </m:r>
          </m:e>
        </m:d>
        <m:r>
          <m:rPr>
            <m:sty m:val="p"/>
          </m:rPr>
          <m:t>/</m:t>
        </m:r>
        <m:d>
          <m:dPr>
            <m:begChr m:val="("/>
            <m:endChr m:val=")"/>
            <m:sepChr m:val=""/>
            <m:grow/>
          </m:dPr>
          <m:e>
            <m:r>
              <m:t>n</m:t>
            </m:r>
            <m:r>
              <m:rPr>
                <m:sty m:val="p"/>
              </m:rPr>
              <m:t>+</m:t>
            </m:r>
            <m:r>
              <m:t>1</m:t>
            </m:r>
          </m:e>
        </m:d>
      </m:oMath>
      <w:r>
        <w:t xml:space="preserve"> </w:t>
      </w:r>
      <w:r>
        <w:t xml:space="preserve">below a fraction</w:t>
      </w:r>
      <w:r>
        <w:t xml:space="preserve"> </w:t>
      </w:r>
      <m:oMath>
        <m:r>
          <m:t>ε</m:t>
        </m:r>
      </m:oMath>
      <w:r>
        <w:t xml:space="preserve"> </w:t>
      </w:r>
      <w:r>
        <w:t xml:space="preserve">of a planned replacement one needs</w:t>
      </w:r>
      <w:r>
        <w:t xml:space="preserve"> </w:t>
      </w:r>
      <m:oMath>
        <m:r>
          <m:t>n</m:t>
        </m:r>
        <m:r>
          <m:rPr>
            <m:sty m:val="p"/>
          </m:rPr>
          <m:t>+</m:t>
        </m:r>
        <m:r>
          <m:t>1</m:t>
        </m:r>
        <m:r>
          <m:rPr>
            <m:sty m:val="p"/>
          </m:rPr>
          <m:t>≥</m:t>
        </m:r>
        <m:d>
          <m:dPr>
            <m:begChr m:val="("/>
            <m:endChr m:val=")"/>
            <m:sepChr m:val=""/>
            <m:grow/>
          </m:dPr>
          <m:e>
            <m:r>
              <m:t>ρ</m:t>
            </m:r>
            <m:r>
              <m:rPr>
                <m:sty m:val="p"/>
              </m:rPr>
              <m:t>−</m:t>
            </m:r>
            <m:r>
              <m:t>1</m:t>
            </m:r>
          </m:e>
        </m:d>
        <m:r>
          <m:rPr>
            <m:sty m:val="p"/>
          </m:rPr>
          <m:t>/</m:t>
        </m:r>
        <m:r>
          <m:t>ε</m:t>
        </m:r>
      </m:oMath>
      <w:r>
        <w:t xml:space="preserve">. Where such data exist, as for fleets of identical components or batteries from one production line, the guarantee is cheap; where they do not, a reported failure rate of an uncertified alarm on a few dozen test units is weak evidence of its reliability.</w:t>
      </w:r>
    </w:p>
    <w:bookmarkEnd w:id="53"/>
    <w:bookmarkStart w:id="54" w:name="transfer"/>
    <w:p>
      <w:pPr>
        <w:pStyle w:val="Heading2"/>
      </w:pPr>
      <w:r>
        <w:t xml:space="preserve">8.3 Transfer</w:t>
      </w:r>
    </w:p>
    <w:p>
      <w:pPr>
        <w:pStyle w:val="FirstParagraph"/>
      </w:pPr>
      <w:r>
        <w:t xml:space="preserve">The battery results show the limit of every exchangeability-based guarantee. Calibrated on two batches, the alarm failed on most cells of a third, shorter-lived batch, and similar failures occurred on three of nine N-CMAPSS subsets. This is not a defect of the conformal step, which did exactly what it promised for the population it was calibrated on, but it is a warning against reading a validated failure rate as a property of the alarm rather than of the alarm and a population. Two remedies were examined. Conservative uncertified rules carried enough margin to survive this shift, at the price of notice that is wasted when the population does not change. Recalibration on 10 pilot cells of the new batch restored the nominal rate on every batch, at the price of running those cells to failure. Between these, weighted or non-exchangeable conformal methods [21, 22] could use covariates of the new batch, such as its charging protocol, to reweight the calibration units; this needs a model of the shift and was not attempted here.</w:t>
      </w:r>
    </w:p>
    <w:bookmarkEnd w:id="54"/>
    <w:bookmarkStart w:id="55" w:name="relation-to-the-earlier-evaluation"/>
    <w:p>
      <w:pPr>
        <w:pStyle w:val="Heading2"/>
      </w:pPr>
      <w:r>
        <w:t xml:space="preserve">8.4 Relation to the earlier evaluation</w:t>
      </w:r>
    </w:p>
    <w:p>
      <w:pPr>
        <w:pStyle w:val="FirstParagraph"/>
      </w:pPr>
      <w:r>
        <w:t xml:space="preserve">The earlier study [3] argued that a window score at the alarm mainly measures alarm timing, that window tuning is not cost tuning, and that within-population validation overstated transfer. Theorem 1 states the first point precisely: the estimate can change the score only through units whose notice lies near an edge of the acceptance band, a set that is small when the estimate’s spread at the alarm is small. The equivalence test, however, did not confirm the earlier claim that a constant scores within a few points of the estimate: in the present split, the difference reached 6–10 points in either direction on three datasets. The transfer finding was confirmed with a new method: the guarantee, like the window score, holds for the population it was calibrated on and not for a held-out batch. The earlier battery numbers (window score 95.1 % within batches and 79.7 % across batches under fully nested preprocessing) are prior results; in the present design, with 60 % of training cells for fitting and blocks of 3 cycles, the window-tuned alarm scored 88.6–95.1 % within batches and 54.5–62.6 % across batches over the three repetitions, and the capacity trend 97.6 % and 99.2 %.</w:t>
      </w:r>
    </w:p>
    <w:bookmarkEnd w:id="55"/>
    <w:bookmarkStart w:id="56" w:name="limitations"/>
    <w:p>
      <w:pPr>
        <w:pStyle w:val="Heading2"/>
      </w:pPr>
      <w:r>
        <w:t xml:space="preserve">8.5 Limitations</w:t>
      </w:r>
    </w:p>
    <w:p>
      <w:pPr>
        <w:numPr>
          <w:ilvl w:val="0"/>
          <w:numId w:val="1004"/>
        </w:numPr>
        <w:pStyle w:val="Compact"/>
      </w:pPr>
      <w:r>
        <w:rPr>
          <w:bCs/>
          <w:b/>
        </w:rPr>
        <w:t xml:space="preserve">Data.</w:t>
      </w:r>
      <w:r>
        <w:t xml:space="preserve"> </w:t>
      </w:r>
      <w:r>
        <w:t xml:space="preserve">Five of the seven datasets come from one simulator family; the battery cells are laboratory data; no alarm was deployed and no data are censored. Real fleets replace units before failure, so the critical levels of censored units are only bounded; conformal methods for censored data [18] would be needed. Bearings were excluded because the 17 units cannot support the guarantee.</w:t>
      </w:r>
    </w:p>
    <w:p>
      <w:pPr>
        <w:numPr>
          <w:ilvl w:val="0"/>
          <w:numId w:val="1004"/>
        </w:numPr>
        <w:pStyle w:val="Compact"/>
      </w:pPr>
      <w:r>
        <w:rPr>
          <w:bCs/>
          <w:b/>
        </w:rPr>
        <w:t xml:space="preserve">Exchangeability.</w:t>
      </w:r>
      <w:r>
        <w:t xml:space="preserve"> </w:t>
      </w:r>
      <w:r>
        <w:t xml:space="preserve">The guarantee is marginal and requires exchangeable calibration and test units. It failed across battery batches and N-CMAPSS subsets; it may fail under slower drifts within one population.</w:t>
      </w:r>
    </w:p>
    <w:p>
      <w:pPr>
        <w:numPr>
          <w:ilvl w:val="0"/>
          <w:numId w:val="1004"/>
        </w:numPr>
        <w:pStyle w:val="Compact"/>
      </w:pPr>
      <w:r>
        <w:rPr>
          <w:bCs/>
          <w:b/>
        </w:rPr>
        <w:t xml:space="preserve">Scope of the method.</w:t>
      </w:r>
      <w:r>
        <w:t xml:space="preserve"> </w:t>
      </w:r>
      <w:r>
        <w:t xml:space="preserve">The theory covers threshold triggers with debounce on a fixed causal signal and a fixed lead time. The fixed settings of CNA (cap, smoothing, debounce) were chosen a priori and not optimised, and the proper-training/calibration split costs training data: the window-tuned alarm in this design scored below its cross-fitted version in the earlier study.</w:t>
      </w:r>
    </w:p>
    <w:p>
      <w:pPr>
        <w:numPr>
          <w:ilvl w:val="0"/>
          <w:numId w:val="1004"/>
        </w:numPr>
        <w:pStyle w:val="Compact"/>
      </w:pPr>
      <w:r>
        <w:rPr>
          <w:bCs/>
          <w:b/>
        </w:rPr>
        <w:t xml:space="preserve">Cost.</w:t>
      </w:r>
      <w:r>
        <w:t xml:space="preserve"> </w:t>
      </w:r>
      <w:r>
        <w:t xml:space="preserve">The renewal–reward model assumes independent units, replacement as good as new, a fixed lead time and illustrative cost ratios; the policy of Kamariotis et al. was adapted to per-cycle decisions with a lead time and is not their original setting.</w:t>
      </w:r>
    </w:p>
    <w:p>
      <w:pPr>
        <w:numPr>
          <w:ilvl w:val="0"/>
          <w:numId w:val="1004"/>
        </w:numPr>
        <w:pStyle w:val="Compact"/>
      </w:pPr>
      <w:r>
        <w:rPr>
          <w:bCs/>
          <w:b/>
        </w:rPr>
        <w:t xml:space="preserve">Statistics and pre-specification.</w:t>
      </w:r>
      <w:r>
        <w:t xml:space="preserve"> </w:t>
      </w:r>
      <w:r>
        <w:t xml:space="preserve">The protocol was hashed before the final runs but not registered. Theorem 1’s plug-in bound uses estimated probabilities and is not a guarantee. Intervals are conditional on the fitted policies; the three repetitions show the variability from the split. The equivalence and cost hypotheses failed and are reported as such; Proposition 2 is a theorem, but the prominence given to it as the explanation of the cost results was decided after those results were seen.</w:t>
      </w:r>
    </w:p>
    <w:bookmarkEnd w:id="56"/>
    <w:bookmarkEnd w:id="57"/>
    <w:bookmarkStart w:id="58" w:name="conclusion"/>
    <w:p>
      <w:pPr>
        <w:pStyle w:val="Heading1"/>
      </w:pPr>
      <w:r>
        <w:t xml:space="preserve">9. Conclusion</w:t>
      </w:r>
    </w:p>
    <w:p>
      <w:pPr>
        <w:pStyle w:val="FirstParagraph"/>
      </w:pPr>
      <w:r>
        <w:t xml:space="preserve">An end-of-life alarm is useful when it leaves enough notice for the replacement it schedules. This paper calibrated that property directly. For a threshold trigger, the notice is monotone in the warning level, every run-to-failure calibration unit has a single critical level, and the split-conformal quantile of those levels gives a warning level whose probability of failure before the planned replacement is at most</w:t>
      </w:r>
      <w:r>
        <w:t xml:space="preserve"> </w:t>
      </w:r>
      <m:oMath>
        <m:r>
          <m:t>α</m:t>
        </m:r>
      </m:oMath>
      <w:r>
        <w:t xml:space="preserve"> </w:t>
      </w:r>
      <w:r>
        <w:t xml:space="preserve">for a new exchangeable unit. A decision-aware choice keeps this guarantee, and the size of the calibration set sets a floor,</w:t>
      </w:r>
      <w:r>
        <w:t xml:space="preserve"> </w:t>
      </w:r>
      <m:oMath>
        <m:r>
          <m:t>1</m:t>
        </m:r>
        <m:r>
          <m:rPr>
            <m:sty m:val="p"/>
          </m:rPr>
          <m:t>/</m:t>
        </m:r>
        <m:d>
          <m:dPr>
            <m:begChr m:val="("/>
            <m:endChr m:val=")"/>
            <m:sepChr m:val=""/>
            <m:grow/>
          </m:dPr>
          <m:e>
            <m:r>
              <m:t>n</m:t>
            </m:r>
            <m:r>
              <m:rPr>
                <m:sty m:val="p"/>
              </m:rPr>
              <m:t>+</m:t>
            </m:r>
            <m:r>
              <m:t>1</m:t>
            </m:r>
          </m:e>
        </m:d>
      </m:oMath>
      <w:r>
        <w:t xml:space="preserve">, on the failure probability any such choice can certify.</w:t>
      </w:r>
    </w:p>
    <w:p>
      <w:pPr>
        <w:pStyle w:val="BodyText"/>
      </w:pPr>
      <w:r>
        <w:t xml:space="preserve">On seven run-to-failure datasets the guarantee held: failure rates were 3.8, 9.3 and 19.4 % at nominal 5, 10 and 20 %, while per-cycle conformal lower bounds on the same signal failed on up to 70 % of units. It was not free and not robust to a change of population: uncertified but conservative rules were often cheaper, and calibration on other battery batches failed on 61–74 % of two held-out batches, until ten pilot cells of the new batch restored the nominal rate. A supporting bound showed that the window score of a threshold alarm depends on its estimate only through a band of units near the window edges, though an equivalence test did not confirm that the difference stays within five points. The practical recommendation is to state the failure probability an alarm is meant to achieve, to calibrate the alarm on whole run-to-failure units of the population in which it will be used, and to report how many such units the claim rests on.</w:t>
      </w:r>
    </w:p>
    <w:bookmarkEnd w:id="58"/>
    <w:bookmarkStart w:id="59"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an AI assistant, to search the literature, write and run the analysis code, draft the theory and proofs, and draft and revise the manuscript text. The protocol, all experiments and all reported numbers were produced by the code in the accompanying repository and checked against its output files. After using this tool the authors reviewed and edited the content as needed and take full responsibility for the content of the published article.</w:t>
      </w:r>
    </w:p>
    <w:bookmarkEnd w:id="59"/>
    <w:bookmarkStart w:id="60" w:name="data-and-code-availability"/>
    <w:p>
      <w:pPr>
        <w:pStyle w:val="Heading1"/>
      </w:pPr>
      <w:r>
        <w:t xml:space="preserve">Data and code availability</w:t>
      </w:r>
    </w:p>
    <w:p>
      <w:pPr>
        <w:pStyle w:val="FirstParagraph"/>
      </w:pPr>
      <w:r>
        <w:t xml:space="preserve">PHM08, C-MAPSS and N-CMAPSS are available from the NASA Prognostics Center of Excellence data repository; the battery data of Severson et al. [25] from https://data.matr.io. Code, the hashed protocol, derived data summaries, per-unit results and the scripts that produce every table and figure are in a repository whose link is withheld for anonymised review.</w:t>
      </w:r>
    </w:p>
    <w:bookmarkEnd w:id="60"/>
    <w:bookmarkStart w:id="61" w:name="references"/>
    <w:p>
      <w:pPr>
        <w:pStyle w:val="Heading1"/>
      </w:pPr>
      <w:r>
        <w:t xml:space="preserve">References</w:t>
      </w:r>
    </w:p>
    <w:p>
      <w:pPr>
        <w:numPr>
          <w:ilvl w:val="0"/>
          <w:numId w:val="1005"/>
        </w:numPr>
        <w:pStyle w:val="Compact"/>
      </w:pPr>
      <w:r>
        <w:t xml:space="preserve">Saxena A, Goebel K, Simon D, Eklund N. Damage propagation modeling for aircraft engine run-to-failure simulation. In: 2008 International Conference on Prognostics and Health Management. IEEE; 2008, p. 1–9. https://doi.org/10.1109/PHM.2008.4711414</w:t>
      </w:r>
    </w:p>
    <w:p>
      <w:pPr>
        <w:numPr>
          <w:ilvl w:val="0"/>
          <w:numId w:val="1005"/>
        </w:numPr>
        <w:pStyle w:val="Compact"/>
      </w:pPr>
      <w:r>
        <w:t xml:space="preserve">Saxena A, Celaya J, Saha B, Saha S, Goebel K. Metrics for offline evaluation of prognostic performance. International Journal of Prognostics and Health Management 2010;1(1). https://doi.org/10.36001/ijphm.2010.v1i1.1336</w:t>
      </w:r>
    </w:p>
    <w:p>
      <w:pPr>
        <w:numPr>
          <w:ilvl w:val="0"/>
          <w:numId w:val="1005"/>
        </w:numPr>
        <w:pStyle w:val="Compact"/>
      </w:pPr>
      <w:r>
        <w:t xml:space="preserve">Anonymous (authors of the present study). What does an end-of-life alarm score measure? Separating prediction accuracy, alarm timing, maintenance cost and transfer. Earlier manuscript version, 2026 (superseded by this article; numbers attributed to it are prior results).</w:t>
      </w:r>
    </w:p>
    <w:p>
      <w:pPr>
        <w:numPr>
          <w:ilvl w:val="0"/>
          <w:numId w:val="1005"/>
        </w:numPr>
        <w:pStyle w:val="Compact"/>
      </w:pPr>
      <w:r>
        <w:t xml:space="preserve">Javanmardi A, Hüllermeier E. Conformal prediction intervals for remaining useful lifetime estimation. International Journal of Prognostics and Health Management 2023;14(2). https://doi.org/10.36001/ijphm.2023.v14i2.3417</w:t>
      </w:r>
    </w:p>
    <w:p>
      <w:pPr>
        <w:numPr>
          <w:ilvl w:val="0"/>
          <w:numId w:val="1005"/>
        </w:numPr>
        <w:pStyle w:val="Compact"/>
      </w:pPr>
      <w:r>
        <w:t xml:space="preserve">Robinson CD. Remaining useful life estimation for aircraft engines with risk-aware prediction intervals via conformalized quantile regression. International Journal of Prognostics and Health Management 2026 (published online April 2026).</w:t>
      </w:r>
    </w:p>
    <w:p>
      <w:pPr>
        <w:numPr>
          <w:ilvl w:val="0"/>
          <w:numId w:val="1005"/>
        </w:numPr>
        <w:pStyle w:val="Compact"/>
      </w:pPr>
      <w:r>
        <w:t xml:space="preserve">Wang W, Wang Z, Cai Z, Hu C, Si S. Robust uncertainty quantification for online remaining useful life prediction with randomly missing and partially faulty sensor data. Reliability Engineering &amp; System Safety 2025;262.</w:t>
      </w:r>
    </w:p>
    <w:p>
      <w:pPr>
        <w:numPr>
          <w:ilvl w:val="0"/>
          <w:numId w:val="1005"/>
        </w:numPr>
        <w:pStyle w:val="Compact"/>
      </w:pPr>
      <w:r>
        <w:t xml:space="preserve">Kamariotis A, Tatsis K, Chatzi E, Goebel K, Straub D. A metric for assessing and optimizing data-driven prognostic algorithms for predictive maintenance. Reliability Engineering &amp; System Safety 2024;242:109723. https://doi.org/10.1016/j.ress.2023.109723</w:t>
      </w:r>
    </w:p>
    <w:p>
      <w:pPr>
        <w:numPr>
          <w:ilvl w:val="0"/>
          <w:numId w:val="1005"/>
        </w:numPr>
        <w:pStyle w:val="Compact"/>
      </w:pPr>
      <w:r>
        <w:t xml:space="preserve">Ramasso E, Saxena A. Performance benchmarking and analysis of prognostic methods for CMAPSS datasets. International Journal of Prognostics and Health Management 2014;5(2). https://doi.org/10.36001/ijphm.2014.v5i2.2236</w:t>
      </w:r>
    </w:p>
    <w:p>
      <w:pPr>
        <w:numPr>
          <w:ilvl w:val="0"/>
          <w:numId w:val="1005"/>
        </w:numPr>
        <w:pStyle w:val="Compact"/>
      </w:pPr>
      <w:r>
        <w:t xml:space="preserve">de Pater I, Reijns A, Mitici M. Alarm-based predictive maintenance scheduling for aircraft engines with imperfect remaining useful life prognostics. Reliability Engineering &amp; System Safety 2022;221:108341. https://doi.org/10.1016/j.ress.2022.108341</w:t>
      </w:r>
    </w:p>
    <w:p>
      <w:pPr>
        <w:numPr>
          <w:ilvl w:val="0"/>
          <w:numId w:val="1005"/>
        </w:numPr>
        <w:pStyle w:val="Compact"/>
      </w:pPr>
      <w:r>
        <w:t xml:space="preserve">Nguyen KTP, Medjaher K. A new dynamic predictive maintenance framework using deep learning for failure prognostics. Reliability Engineering &amp; System Safety 2019;188:251–262. https://doi.org/10.1016/j.ress.2019.03.018</w:t>
      </w:r>
    </w:p>
    <w:p>
      <w:pPr>
        <w:numPr>
          <w:ilvl w:val="0"/>
          <w:numId w:val="1005"/>
        </w:numPr>
        <w:pStyle w:val="Compact"/>
      </w:pPr>
      <w:r>
        <w:t xml:space="preserve">Mitici M, de Pater I, Barros A, Zeng Z. Dynamic predictive maintenance for multiple components using data-driven probabilistic RUL prognostics: The case of turbofan engines. Reliability Engineering &amp; System Safety 2023;234:109199. https://doi.org/10.1016/j.ress.2023.109199</w:t>
      </w:r>
    </w:p>
    <w:p>
      <w:pPr>
        <w:numPr>
          <w:ilvl w:val="0"/>
          <w:numId w:val="1005"/>
        </w:numPr>
        <w:pStyle w:val="Compact"/>
      </w:pPr>
      <w:r>
        <w:t xml:space="preserve">Barlow R, Hunter L. Optimum preventive maintenance policies. Operations Research 1960;8(1):90–100. https://doi.org/10.1287/opre.8.1.90</w:t>
      </w:r>
    </w:p>
    <w:p>
      <w:pPr>
        <w:numPr>
          <w:ilvl w:val="0"/>
          <w:numId w:val="1005"/>
        </w:numPr>
        <w:pStyle w:val="Compact"/>
      </w:pPr>
      <w:r>
        <w:t xml:space="preserve">de Jonge B, Scarf PA. A review on maintenance optimization. European Journal of Operational Research 2020;285(3):805–824. https://doi.org/10.1016/j.ejor.2019.09.047</w:t>
      </w:r>
    </w:p>
    <w:p>
      <w:pPr>
        <w:numPr>
          <w:ilvl w:val="0"/>
          <w:numId w:val="1005"/>
        </w:numPr>
        <w:pStyle w:val="Compact"/>
      </w:pPr>
      <w:r>
        <w:t xml:space="preserve">Vovk V, Gammerman A, Shafer G. Algorithmic Learning in a Random World. New York: Springer; 2005. https://doi.org/10.1007/b106715</w:t>
      </w:r>
    </w:p>
    <w:p>
      <w:pPr>
        <w:numPr>
          <w:ilvl w:val="0"/>
          <w:numId w:val="1005"/>
        </w:numPr>
        <w:pStyle w:val="Compact"/>
      </w:pPr>
      <w:r>
        <w:t xml:space="preserve">Lei J, G’Sell M, Rinaldo A, Tibshirani RJ, Wasserman L. Distribution-free predictive inference for regression. Journal of the American Statistical Association 2018;113(523):1094–1111. https://doi.org/10.1080/01621459.2017.1307116</w:t>
      </w:r>
    </w:p>
    <w:p>
      <w:pPr>
        <w:numPr>
          <w:ilvl w:val="0"/>
          <w:numId w:val="1005"/>
        </w:numPr>
        <w:pStyle w:val="Compact"/>
      </w:pPr>
      <w:r>
        <w:t xml:space="preserve">Angelopoulos AN, Bates S. Conformal prediction: A gentle introduction. Foundations and Trends in Machine Learning 2023;16(4):494–591. https://doi.org/10.1561/2200000101</w:t>
      </w:r>
    </w:p>
    <w:p>
      <w:pPr>
        <w:numPr>
          <w:ilvl w:val="0"/>
          <w:numId w:val="1005"/>
        </w:numPr>
        <w:pStyle w:val="Compact"/>
      </w:pPr>
      <w:r>
        <w:t xml:space="preserve">Romano Y, Patterson E, Candès E. Conformalized quantile regression. In: Advances in Neural Information Processing Systems 32 (NeurIPS 2019); 2019.</w:t>
      </w:r>
    </w:p>
    <w:p>
      <w:pPr>
        <w:numPr>
          <w:ilvl w:val="0"/>
          <w:numId w:val="1005"/>
        </w:numPr>
        <w:pStyle w:val="Compact"/>
      </w:pPr>
      <w:r>
        <w:t xml:space="preserve">Candès E, Lei L, Ren Z. Conformalized survival analysis. Journal of the Royal Statistical Society Series B 2023;85(1):24–45. https://doi.org/10.1093/jrsssb/qkac004</w:t>
      </w:r>
    </w:p>
    <w:p>
      <w:pPr>
        <w:numPr>
          <w:ilvl w:val="0"/>
          <w:numId w:val="1005"/>
        </w:numPr>
        <w:pStyle w:val="Compact"/>
      </w:pPr>
      <w:r>
        <w:t xml:space="preserve">Angelopoulos AN, Bates S, Fisch A, Lei L, Schuster T. Conformal risk control. In: International Conference on Learning Representations (ICLR); 2024.</w:t>
      </w:r>
    </w:p>
    <w:p>
      <w:pPr>
        <w:numPr>
          <w:ilvl w:val="0"/>
          <w:numId w:val="1005"/>
        </w:numPr>
        <w:pStyle w:val="Compact"/>
      </w:pPr>
      <w:r>
        <w:t xml:space="preserve">Gupta C, Kuchibhotla AK, Ramdas A. Nested conformal prediction and quantile out-of-bag ensemble methods. Pattern Recognition 2022;127:108496. https://doi.org/10.1016/j.patcog.2021.108496</w:t>
      </w:r>
    </w:p>
    <w:p>
      <w:pPr>
        <w:numPr>
          <w:ilvl w:val="0"/>
          <w:numId w:val="1005"/>
        </w:numPr>
        <w:pStyle w:val="Compact"/>
      </w:pPr>
      <w:r>
        <w:t xml:space="preserve">Tibshirani RJ, Foygel Barber R, Candès E, Ramdas A. Conformal prediction under covariate shift. In: Advances in Neural Information Processing Systems 32 (NeurIPS 2019); 2019.</w:t>
      </w:r>
    </w:p>
    <w:p>
      <w:pPr>
        <w:numPr>
          <w:ilvl w:val="0"/>
          <w:numId w:val="1005"/>
        </w:numPr>
        <w:pStyle w:val="Compact"/>
      </w:pPr>
      <w:r>
        <w:t xml:space="preserve">Barber RF, Candès EJ, Ramdas A, Tibshirani RJ. Conformal prediction beyond exchangeability. Annals of Statistics 2023;51(2):816–845. https://doi.org/10.1214/23-AOS2276</w:t>
      </w:r>
    </w:p>
    <w:p>
      <w:pPr>
        <w:numPr>
          <w:ilvl w:val="0"/>
          <w:numId w:val="1005"/>
        </w:numPr>
        <w:pStyle w:val="Compact"/>
      </w:pPr>
      <w:r>
        <w:t xml:space="preserve">Vovk V. Conditional validity of inductive conformal predictors. In: Proceedings of the Asian Conference on Machine Learning, PMLR 25; 2012, p. 475–490.</w:t>
      </w:r>
    </w:p>
    <w:p>
      <w:pPr>
        <w:numPr>
          <w:ilvl w:val="0"/>
          <w:numId w:val="1005"/>
        </w:numPr>
        <w:pStyle w:val="Compact"/>
      </w:pPr>
      <w:r>
        <w:t xml:space="preserve">Arias Chao M, Kulkarni C, Goebel K, Fink O. Aircraft engine run-to-failure dataset under real flight conditions for prognostics and diagnostics. Data 2021;6(1):5. https://doi.org/10.3390/data6010005</w:t>
      </w:r>
    </w:p>
    <w:p>
      <w:pPr>
        <w:numPr>
          <w:ilvl w:val="0"/>
          <w:numId w:val="1005"/>
        </w:numPr>
        <w:pStyle w:val="Compact"/>
      </w:pPr>
      <w:r>
        <w:t xml:space="preserve">Severson KA, Attia PM, Jin N, Perkins N, Jiang B, Yang Z, Chen MH, Aykol M, Herring PK, Fraggedakis D, Bazant MZ, Harris SJ, Chueh WC, Braatz RD. Data-driven prediction of battery cycle life before capacity degradation. Nature Energy 2019;4(5):383–391. https://doi.org/10.1038/s41560-019-0356-8</w:t>
      </w:r>
    </w:p>
    <w:p>
      <w:pPr>
        <w:numPr>
          <w:ilvl w:val="0"/>
          <w:numId w:val="1005"/>
        </w:numPr>
        <w:pStyle w:val="Compact"/>
      </w:pPr>
      <w:r>
        <w:t xml:space="preserve">Nectoux P, Gouriveau R, Medjaher K, Ramasso E, Chebel-Morello B, Zerhouni N, Varnier C. PRONOSTIA: An experimental platform for bearings accelerated degradation tests. In: IEEE International Conference on Prognostics and Health Management (PHM’12), Denver, CO; 2012. https://hal.science/hal-00719503</w:t>
      </w:r>
    </w:p>
    <w:p>
      <w:pPr>
        <w:numPr>
          <w:ilvl w:val="0"/>
          <w:numId w:val="1005"/>
        </w:numPr>
        <w:pStyle w:val="Compact"/>
      </w:pPr>
      <w:r>
        <w:t xml:space="preserve">Pedregosa F, Varoquaux G, Gramfort A, et al. Scikit-learn: Machine learning in Python. Journal of Machine Learning Research 2011;12:2825–2830.</w:t>
      </w:r>
    </w:p>
    <w:p>
      <w:pPr>
        <w:numPr>
          <w:ilvl w:val="0"/>
          <w:numId w:val="1005"/>
        </w:numPr>
        <w:pStyle w:val="Compact"/>
      </w:pPr>
      <w:r>
        <w:t xml:space="preserve">Clopper CJ, Pearson ES. The use of confidence or fiducial limits illustrated in the case of the binomial. Biometrika 1934;26(4):404–413. https://doi.org/10.1093/biomet/26.4.404</w:t>
      </w:r>
    </w:p>
    <w:p>
      <w:pPr>
        <w:numPr>
          <w:ilvl w:val="0"/>
          <w:numId w:val="1005"/>
        </w:numPr>
        <w:pStyle w:val="Compact"/>
      </w:pPr>
      <w:r>
        <w:t xml:space="preserve">Holm S. A simple sequentially rejective multiple test procedure. Scandinavian Journal of Statistics 1979;6(2):65–70.</w:t>
      </w:r>
    </w:p>
    <w:p>
      <w:pPr>
        <w:numPr>
          <w:ilvl w:val="0"/>
          <w:numId w:val="1005"/>
        </w:numPr>
        <w:pStyle w:val="Compact"/>
      </w:pPr>
      <w:r>
        <w:t xml:space="preserve">Tango T. Equivalence test and confidence interval for the difference in proportions for the paired-sample design. Statistics in Medicine 1998;17(8):891–908.</w:t>
      </w:r>
    </w:p>
    <w:p>
      <w:pPr>
        <w:numPr>
          <w:ilvl w:val="0"/>
          <w:numId w:val="1005"/>
        </w:numPr>
        <w:pStyle w:val="Compact"/>
      </w:pPr>
      <w:r>
        <w:t xml:space="preserve">Schuirmann DJ. A comparison of the two one-sided tests procedure and the power approach for assessing the equivalence of average bioavailability. Journal of Pharmacokinetics and Biopharmaceutics 1987;15(6):657–680. https://doi.org/10.1007/BF01068419</w:t>
      </w:r>
    </w:p>
    <w:bookmarkEnd w:id="61"/>
    <w:sectPr>
      <w:pgMar w:bottom="124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1"/>
    </w:rPr>
  </w:style>
  <w:style w:styleId="BodyText" w:type="paragraph">
    <w:name w:val="Body Text"/>
    <w:basedOn w:val="Normal"/>
    <w:link w:val="BodyTextChar"/>
    <w:pPr>
      <w:spacing w:after="180" w:before="180"/>
    </w:pPr>
    <w:qFormat/>
    <w:rPr>
      <w:rFonts w:ascii="Times New Roman" w:hAnsi="Times New Roman"/>
      <w:sz w:val="21"/>
    </w:rPr>
  </w:style>
  <w:style w:customStyle="1" w:styleId="FirstParagraph" w:type="paragraph">
    <w:name w:val="First Paragraph"/>
    <w:basedOn w:val="BodyText"/>
    <w:next w:val="BodyText"/>
    <w:qFormat/>
    <w:rPr>
      <w:rFonts w:ascii="Times New Roman" w:hAnsi="Times New Roman"/>
      <w:sz w:val="21"/>
    </w:rPr>
  </w:style>
  <w:style w:customStyle="1" w:styleId="Compact" w:type="paragraph">
    <w:name w:val="Compact"/>
    <w:basedOn w:val="BodyText"/>
    <w:qFormat/>
    <w:pPr>
      <w:spacing w:after="36" w:before="36"/>
    </w:pPr>
    <w:rPr>
      <w:rFonts w:ascii="Times New Roman" w:hAnsi="Times New Roman"/>
      <w:sz w:val="21"/>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color w:val="000000"/>
      <w:sz w:val="21"/>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Calibrating the alarm, not the interval: distribution-free notice guarantees for end-of-life alarms</dc:title>
  <dc:creator>Anonymised for review</dc:creator>
  <cp:keywords/>
  <dcterms:created xsi:type="dcterms:W3CDTF">2026-10-08T20:57:17Z</dcterms:created>
  <dcterms:modified xsi:type="dcterms:W3CDTF">2026-10-08T20:57:17Z</dcterms:modified>
</cp:coreProperties>
</file>

<file path=docProps/custom.xml><?xml version="1.0" encoding="utf-8"?>
<Properties xmlns="http://schemas.openxmlformats.org/officeDocument/2006/custom-properties" xmlns:vt="http://schemas.openxmlformats.org/officeDocument/2006/docPropsVTypes"/>
</file>