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Priority Table of the features:-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 Id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Logical Dependency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Merchant Bill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Utility Bill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Loan Eligibility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Loan Amount Limit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Loan Repayment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Re-loan Eligibility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Explanation of  the prioritization:-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Priority 1: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account validation (feature 1) → must exist before any transaction.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loan eligibility check (feature 4) → must exist before any loan request.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Priority 2: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merchant bill payment</w:t>
      </w: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 (feature 2) → requires account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loan amount limit verification</w:t>
      </w: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 (feature 5) → depends on eligibility.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Priority 3: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utility bill payment</w:t>
      </w: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 (feature 3) → requires merchant bill payment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loan repayment</w:t>
      </w: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 (feature 6) → depends on loan amount 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Priority 4: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highlight w:val="white"/>
          <w:rtl w:val="0"/>
        </w:rPr>
        <w:t xml:space="preserve">re-loan eligibility</w:t>
      </w:r>
      <w:r w:rsidDel="00000000" w:rsidR="00000000" w:rsidRPr="00000000">
        <w:rPr>
          <w:rFonts w:ascii="Cardo" w:cs="Cardo" w:eastAsia="Cardo" w:hAnsi="Cardo"/>
          <w:color w:val="212529"/>
          <w:sz w:val="28"/>
          <w:szCs w:val="28"/>
          <w:highlight w:val="white"/>
          <w:rtl w:val="0"/>
        </w:rPr>
        <w:t xml:space="preserve"> (feature 7) → only possible after repayment status.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