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concur that Barracoon effectively highlights Cudjo's unique voice to give history a sense of immediacy and personal connection. Hurston, as you point out, challenges us to go past hypothetical occurrences and relate to the human cost of slavery. Cudjo's statements, such as "I am an African exile," serve as a reminder that identity and belonging are still shaped by the past.</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your point that </w:t>
      </w:r>
      <w:r w:rsidDel="00000000" w:rsidR="00000000" w:rsidRPr="00000000">
        <w:rPr>
          <w:rFonts w:ascii="Times New Roman" w:cs="Times New Roman" w:eastAsia="Times New Roman" w:hAnsi="Times New Roman"/>
          <w:i w:val="1"/>
          <w:sz w:val="24"/>
          <w:szCs w:val="24"/>
          <w:rtl w:val="0"/>
        </w:rPr>
        <w:t xml:space="preserve">Barracoon </w:t>
      </w:r>
      <w:r w:rsidDel="00000000" w:rsidR="00000000" w:rsidRPr="00000000">
        <w:rPr>
          <w:rFonts w:ascii="Times New Roman" w:cs="Times New Roman" w:eastAsia="Times New Roman" w:hAnsi="Times New Roman"/>
          <w:sz w:val="24"/>
          <w:szCs w:val="24"/>
          <w:rtl w:val="0"/>
        </w:rPr>
        <w:t xml:space="preserve">effectively highlights Cudjo’s unique voice and identity to make history feel personal. As you pointed out, Hurston challenges readers to see beyond the human costs of slavery. Cudjo’s words, like “I am exiled African,” remind us how the past still shapes identity and belonging today.</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