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Adapted SPECTRE-Plex Multiplex Imaging Analysis for the Viral Microenvironment (VME) of SIV Gut Reservoirs</w:t>
      </w:r>
    </w:p>
    <w:p>
      <w:pPr>
        <w:spacing w:after="300"/>
        <w:jc w:val="center"/>
      </w:pPr>
      <w:r>
        <w:rPr>
          <w:i/>
          <w:iCs/>
          <w:color w:val="555555"/>
          <w:sz w:val="22"/>
          <w:szCs w:val="22"/>
        </w:rPr>
        <w:t xml:space="preserve">Methods plan and analysis protocol</w:t>
      </w:r>
    </w:p>
    <w:p>
      <w:pPr>
        <w:pStyle w:val="Heading1"/>
        <w:spacing w:after="160" w:before="300"/>
      </w:pPr>
      <w:r>
        <w:t xml:space="preserve">1. Overview and rationale</w:t>
      </w:r>
    </w:p>
    <w:p>
      <w:pPr>
        <w:spacing w:after="120"/>
      </w:pPr>
      <w:r>
        <w:t xml:space="preserve">This document describes a multiplex-imaging analysis plan that couples the SPECTRE-Plex cyclic imaging and image-processing pipeline (Anderson et al., Communications Biology 2025) with the viral-microenvironment (VME) framework for SIV gut reservoirs (Hope, Crentsil et al., VME_GutReservoirs manuscript). The goal is to obtain single-cell-resolution protein-level confirmation and extension of the Visium spatial-transcriptomics observations that distinguish persistent (LAEA) from transient (EAEA) reservoirs during the eclipse phase after analytical treatment interruption (ATI).</w:t>
      </w:r>
    </w:p>
    <w:p>
      <w:pPr>
        <w:spacing w:after="120"/>
      </w:pPr>
      <w:r>
        <w:t xml:space="preserve">The SPECTRE-Plex system was originally demonstrated on FFPE pediatric duodenum for a 22-plex, 7-round panel comparing healthy vs. active celiac tissue. Its image-processing back end (modified Brenner focus selection, BaSiC flat-field correction, PyStackReg bleach-subtraction, McMicro/Ashlar stitching, Cellpose cyto3 segmentation, HDBSCAN/DBSCAN/KNN spatial analyses) is panel-agnostic and transfers cleanly to the macaque colon and jejunum sections used in the VME study, provided the antibody panel and the spatial-category definitions are re-parameterised.</w:t>
      </w:r>
    </w:p>
    <w:p>
      <w:pPr>
        <w:pStyle w:val="Heading1"/>
        <w:spacing w:after="160" w:before="300"/>
      </w:pPr>
      <w:r>
        <w:t xml:space="preserve">2. Experimental design</w:t>
      </w:r>
    </w:p>
    <w:p>
      <w:pPr>
        <w:pStyle w:val="Heading2"/>
        <w:spacing w:after="120" w:before="240"/>
      </w:pPr>
      <w:r>
        <w:t xml:space="preserve">2.1 Tissue sources</w:t>
      </w:r>
    </w:p>
    <w:p>
      <w:pPr>
        <w:pStyle w:val="ListParagraph"/>
        <w:numPr>
          <w:ilvl w:val="0"/>
          <w:numId w:val="2"/>
        </w:numPr>
        <w:spacing w:after="80"/>
      </w:pPr>
      <w:r>
        <w:t xml:space="preserve">LAEA group (n = 3): late ART initiation (10 wk post-infection), ART for 12 months, euthanasia 4–6 days post-ATI (persistent reservoir).</w:t>
      </w:r>
    </w:p>
    <w:p>
      <w:pPr>
        <w:pStyle w:val="ListParagraph"/>
        <w:numPr>
          <w:ilvl w:val="0"/>
          <w:numId w:val="2"/>
        </w:numPr>
        <w:spacing w:after="80"/>
      </w:pPr>
      <w:r>
        <w:t xml:space="preserve">EAEA group (n = 4): early ART initiation (4 d post-infection), ART for 6 months, euthanasia 4–5 days post-ATI (transient reservoir).</w:t>
      </w:r>
    </w:p>
    <w:p>
      <w:pPr>
        <w:pStyle w:val="ListParagraph"/>
        <w:numPr>
          <w:ilvl w:val="0"/>
          <w:numId w:val="2"/>
        </w:numPr>
        <w:spacing w:after="80"/>
      </w:pPr>
      <w:r>
        <w:t xml:space="preserve">Tissue blocks selected by 64Cu-7D3 immunoPET/CT guidance, cryo-embedded in OCT. Axially adjacent 10 µm sections used for Visium, proviral qPCR/dPCR, and multiplex IF on the SPECTRE-Plex system.</w:t>
      </w:r>
    </w:p>
    <w:p>
      <w:pPr>
        <w:pStyle w:val="Heading2"/>
        <w:spacing w:after="120" w:before="240"/>
      </w:pPr>
      <w:r>
        <w:t xml:space="preserve">2.2 Antibody panel (22-plex, 7-round)</w:t>
      </w:r>
    </w:p>
    <w:p>
      <w:pPr>
        <w:spacing w:after="120"/>
      </w:pPr>
      <w:r>
        <w:t xml:space="preserve">The panel was assembled from two sources: (i) structural and segmentation-enabling markers carried over from the duodenum work, and (ii) VME-specific markers whose importance was flagged by the manuscript's machine-learning regression and classification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6"/>
              <w:left w:val="single" w:color="BFBFBF" w:sz="6"/>
              <w:bottom w:val="single" w:color="BFBFBF" w:sz="6"/>
              <w:right w:val="single" w:color="BFBFBF" w:sz="6"/>
            </w:tcBorders>
            <w:shd w:fill="D5E8F0" w:val="clear"/>
            <w:tcMar>
              <w:top w:type="dxa" w:w="80"/>
              <w:left w:type="dxa" w:w="120"/>
              <w:bottom w:type="dxa" w:w="80"/>
              <w:right w:type="dxa" w:w="120"/>
            </w:tcMar>
          </w:tcPr>
          <w:p>
            <w:r>
              <w:rPr>
                <w:b/>
                <w:bCs/>
              </w:rPr>
              <w:t xml:space="preserve">Category</w:t>
            </w:r>
          </w:p>
        </w:tc>
        <w:tc>
          <w:tcPr>
            <w:tcW w:type="dxa" w:w="2200"/>
            <w:tcBorders>
              <w:top w:val="single" w:color="BFBFBF" w:sz="6"/>
              <w:left w:val="single" w:color="BFBFBF" w:sz="6"/>
              <w:bottom w:val="single" w:color="BFBFBF" w:sz="6"/>
              <w:right w:val="single" w:color="BFBFBF" w:sz="6"/>
            </w:tcBorders>
            <w:shd w:fill="D5E8F0" w:val="clear"/>
            <w:tcMar>
              <w:top w:type="dxa" w:w="80"/>
              <w:left w:type="dxa" w:w="120"/>
              <w:bottom w:type="dxa" w:w="80"/>
              <w:right w:type="dxa" w:w="120"/>
            </w:tcMar>
          </w:tcPr>
          <w:p>
            <w:r>
              <w:rPr>
                <w:b/>
                <w:bCs/>
              </w:rPr>
              <w:t xml:space="preserve">Markers</w:t>
            </w:r>
          </w:p>
        </w:tc>
        <w:tc>
          <w:tcPr>
            <w:tcW w:type="dxa" w:w="5360"/>
            <w:tcBorders>
              <w:top w:val="single" w:color="BFBFBF" w:sz="6"/>
              <w:left w:val="single" w:color="BFBFBF" w:sz="6"/>
              <w:bottom w:val="single" w:color="BFBFBF" w:sz="6"/>
              <w:right w:val="single" w:color="BFBFBF" w:sz="6"/>
            </w:tcBorders>
            <w:shd w:fill="D5E8F0" w:val="clear"/>
            <w:tcMar>
              <w:top w:type="dxa" w:w="80"/>
              <w:left w:type="dxa" w:w="120"/>
              <w:bottom w:type="dxa" w:w="80"/>
              <w:right w:type="dxa" w:w="120"/>
            </w:tcMar>
          </w:tcPr>
          <w:p>
            <w:r>
              <w:rPr>
                <w:b/>
                <w:bCs/>
              </w:rPr>
              <w:t xml:space="preserve">Rationale</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Nuclear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DAPI / Hoechst</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Required by Cellpose cyto3 second channel.</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Boundary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Na/K-ATPase, EpCAM, Pan-CK</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Averaged to build the boundary image for segmentation (SPECTRE-Plex default).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Viral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SIV Gag (Ag3.0)</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Defines SIV_positive cells; drives VME category assignment.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ISR / stress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p-eIF2α (1A4A11), ATF4</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ISR activation is a defining feature of persistent reservoirs (Fig. 6 of VME manuscript).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T-cells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CD3, CD4, CD8, FoxP3</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FoxP3+/CD4+ = Treg, the central CCI hub in LAEA tissues.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Innate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CD117 (c-Kit), CD68, tryptase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Mast cells + myeloid; manuscript showed mast/ILC enrichment near SIV foci in LAEA.</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B / plasma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CD20, CD138, IgG</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Follicular B-cells / IgG plasma cells mark the TLS-like LAEA core.</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VME signature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BSG/CD147, CA2, CA12</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Top regressors for SIV density in LAEA; tumor-microenvironment-like hypoxia markers.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Proliferation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Ki-67 or PCNA</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Distinguishes cycling B-cells / epithelial cells in LAEA clusters.</w:t>
            </w:r>
          </w:p>
        </w:tc>
      </w:tr>
    </w:tbl>
    <w:p>
      <w:pPr>
        <w:pStyle w:val="Heading1"/>
        <w:spacing w:after="160" w:before="300"/>
      </w:pPr>
      <w:r>
        <w:t xml:space="preserve">3. Initial image pre-processing</w:t>
      </w:r>
    </w:p>
    <w:p>
      <w:pPr>
        <w:spacing w:after="120"/>
      </w:pPr>
      <w:r>
        <w:t xml:space="preserve">A modified Brenner score (skip parameter = 17) is used to identify the best-focused z-slice in each stained z-stack; the bleached (dye-inactivated) image at the same slice index is paired with it. Both stacks are used to fit a BaSiC flat-field correction surface on tissue-containing tiles. PyStackReg registers the bleach image to the stained image (rigid-body by default), and the registered bleach is subtracted from the stained image to remove non-specific autofluorescence (which is substantial in gut tissue due to lipofuscin and collagen). The corrected per-tile TIFFs are populated with metadata and passed to McMicro for stitching via the Ashlar module. Non-tissue regions are removed with a tissue mask to produce the finalised stitched OME-TIFF.</w:t>
      </w:r>
    </w:p>
    <w:p>
      <w:pPr>
        <w:spacing w:after="120"/>
      </w:pPr>
      <w:r>
        <w:t xml:space="preserve">Implementation: scripts/01_preprocess_spectreplex.py in the accompanying repository.</w:t>
      </w:r>
    </w:p>
    <w:p>
      <w:pPr>
        <w:pStyle w:val="Heading1"/>
        <w:spacing w:after="160" w:before="300"/>
      </w:pPr>
      <w:r>
        <w:t xml:space="preserve">4. Image processing and cell typing</w:t>
      </w:r>
    </w:p>
    <w:p>
      <w:pPr>
        <w:spacing w:after="120"/>
      </w:pPr>
      <w:r>
        <w:t xml:space="preserve">A tissue mask is created by down-sampling every individual channel by two, min-max normalising, and merging to a composite image. The composite is thresholded by Otsu's method, dilated with holes filled, and the largest contoured structure is retained as the tissue mask. All subsequent processing is confined to this mask.</w:t>
      </w:r>
    </w:p>
    <w:p>
      <w:pPr>
        <w:spacing w:after="120"/>
      </w:pPr>
      <w:r>
        <w:t xml:space="preserve">The four channels DAPI, Na/K-ATPase, EpCAM and Pan-Cytokeratin are normalised using scikit-learn's MinMaxScaler. Na/K-ATPase, EpCAM and Pan-CK are averaged into a single boundary image, which is passed to Cellpose (v3.0.7, model cyto3) together with the normalised DAPI as the nuclear channel; flow_threshold is set to 0.0 as in the original SPECTRE-Plex run.</w:t>
      </w:r>
    </w:p>
    <w:p>
      <w:pPr>
        <w:spacing w:after="120"/>
      </w:pPr>
      <w:r>
        <w:t xml:space="preserve">Per-cell mean intensities are computed over the segmentation mask for every marker, and Otsu thresholding is applied per marker to convert intensities into binary positivity calls. Centroid coordinates and lineage calls are written to a CSV cell-table per sample.</w:t>
      </w:r>
    </w:p>
    <w:p>
      <w:pPr>
        <w:pStyle w:val="Heading2"/>
        <w:spacing w:after="120" w:before="240"/>
      </w:pPr>
      <w:r>
        <w:t xml:space="preserve">4.1 VME category assignment (new)</w:t>
      </w:r>
    </w:p>
    <w:p>
      <w:pPr>
        <w:spacing w:after="120"/>
      </w:pPr>
      <w:r>
        <w:t xml:space="preserve">To mirror the Visium SIV-positive / SIV-neighbor / SIV-negative classification at single-cell resolution, each cell is labelled with a vme_category field:</w:t>
      </w:r>
    </w:p>
    <w:p>
      <w:pPr>
        <w:pStyle w:val="ListParagraph"/>
        <w:numPr>
          <w:ilvl w:val="0"/>
          <w:numId w:val="2"/>
        </w:numPr>
        <w:spacing w:after="80"/>
      </w:pPr>
      <w:r>
        <w:t xml:space="preserve">SIV_positive — cells called positive for SIV Gag after Otsu thresholding.</w:t>
      </w:r>
    </w:p>
    <w:p>
      <w:pPr>
        <w:pStyle w:val="ListParagraph"/>
        <w:numPr>
          <w:ilvl w:val="0"/>
          <w:numId w:val="2"/>
        </w:numPr>
        <w:spacing w:after="80"/>
      </w:pPr>
      <w:r>
        <w:t xml:space="preserve">SIV_neighbor — SIV Gag-negative cells whose nearest SIV_positive cell lies within 100 µm (matching the 100 µm Visium-neighbor window used in the manuscript).</w:t>
      </w:r>
    </w:p>
    <w:p>
      <w:pPr>
        <w:pStyle w:val="ListParagraph"/>
        <w:numPr>
          <w:ilvl w:val="0"/>
          <w:numId w:val="2"/>
        </w:numPr>
        <w:spacing w:after="80"/>
      </w:pPr>
      <w:r>
        <w:t xml:space="preserve">SIV_negative — all other cells.</w:t>
      </w:r>
    </w:p>
    <w:p>
      <w:pPr>
        <w:spacing w:after="120"/>
      </w:pPr>
      <w:r>
        <w:t xml:space="preserve">This single-cell three-tier labelling is the key methodological bridge between the Visium spot-level analyses in the manuscript and the SPECTRE-Plex per-cell analyses.</w:t>
      </w:r>
    </w:p>
    <w:p>
      <w:pPr>
        <w:pStyle w:val="Heading1"/>
        <w:spacing w:after="160" w:before="300"/>
      </w:pPr>
      <w:r>
        <w:t xml:space="preserve">5. Downstream spatial analysis</w:t>
      </w:r>
    </w:p>
    <w:p>
      <w:pPr>
        <w:spacing w:after="120"/>
      </w:pPr>
      <w:r>
        <w:t xml:space="preserve">Downstream analyses are implemented in R using CRAN packages (readr, ggplot2, reshape2, tidyverse, hrbrthemes, viridis, readxl, janitor, dplyr, corrplot, dbplyr, dbscan, umap, plotly, spatialcluster, spdep, geosphere, usedist, dbscan, nabor, stringr, lessR) as in the original SPECTRE-Plex study.</w:t>
      </w:r>
    </w:p>
    <w:p>
      <w:pPr>
        <w:pStyle w:val="ListParagraph"/>
        <w:numPr>
          <w:ilvl w:val="0"/>
          <w:numId w:val="2"/>
        </w:numPr>
        <w:spacing w:after="80"/>
      </w:pPr>
      <w:r>
        <w:t xml:space="preserve">Point-map position plots per sample, coloured by cell type or vme_category, for visual triage.</w:t>
      </w:r>
    </w:p>
    <w:p>
      <w:pPr>
        <w:pStyle w:val="ListParagraph"/>
        <w:numPr>
          <w:ilvl w:val="0"/>
          <w:numId w:val="2"/>
        </w:numPr>
        <w:spacing w:after="80"/>
      </w:pPr>
      <w:r>
        <w:t xml:space="preserve">UMAP embeddings of normalised per-cell marker intensities (CRAN umap package), stratified by group and VME category.</w:t>
      </w:r>
    </w:p>
    <w:p>
      <w:pPr>
        <w:pStyle w:val="ListParagraph"/>
        <w:numPr>
          <w:ilvl w:val="0"/>
          <w:numId w:val="2"/>
        </w:numPr>
        <w:spacing w:after="80"/>
      </w:pPr>
      <w:r>
        <w:t xml:space="preserve">Cluster-size estimation of SIV_positive cells using HDBSCAN with minPts = 5 — expected to show larger, more numerous clusters in LAEA than EAEA.</w:t>
      </w:r>
    </w:p>
    <w:p>
      <w:pPr>
        <w:pStyle w:val="ListParagraph"/>
        <w:numPr>
          <w:ilvl w:val="0"/>
          <w:numId w:val="2"/>
        </w:numPr>
        <w:spacing w:after="80"/>
      </w:pPr>
      <w:r>
        <w:t xml:space="preserve">Busyness estimation via DBSCAN point-density (bandwidth = 300) to quantify local cellular crowding around viral foci.</w:t>
      </w:r>
    </w:p>
    <w:p>
      <w:pPr>
        <w:pStyle w:val="ListParagraph"/>
        <w:numPr>
          <w:ilvl w:val="0"/>
          <w:numId w:val="2"/>
        </w:numPr>
        <w:spacing w:after="80"/>
      </w:pPr>
      <w:r>
        <w:t xml:space="preserve">KNN neighborhood composition around SIV_positive cells (k = 10, via the nabor package) — expected to recapitulate the manuscript's observation that FoxP3+ Treg, CD117+ mast cells, and ILC-like cells are enriched near SIV foci in LAEA but not in EAEA, while Tfh/Th17/CD8 dominate the EAEA neighborhoods.</w:t>
      </w:r>
    </w:p>
    <w:p>
      <w:pPr>
        <w:pStyle w:val="Heading1"/>
        <w:spacing w:after="160" w:before="300"/>
      </w:pPr>
      <w:r>
        <w:t xml:space="preserve">6. Statistics and reproducibility</w:t>
      </w:r>
    </w:p>
    <w:p>
      <w:pPr>
        <w:spacing w:after="120"/>
      </w:pPr>
      <w:r>
        <w:t xml:space="preserve">Unpaired two-tailed t-tests are used to compare LAEA vs. EAEA at the per-sample level, following the SPECTRE-Plex statistics section. Metrics compared include total cell counts, SIV_positive cell percentages, SIV_neighbor percentages, Treg/mast/ILC neighborhood fractions around SIV foci, and SIV-positive cluster sizes. Where per-cell metrics are aggregated to per-sample summaries, animal (sample_id) is the unit of replication (n = 3 LAEA vs. n = 4 EAEA in the VME cohort), matching the manuscript.</w:t>
      </w:r>
    </w:p>
    <w:p>
      <w:pPr>
        <w:spacing w:after="120"/>
      </w:pPr>
      <w:r>
        <w:t xml:space="preserve">All code lives under scripts/ and R/ in the accompanying repository. A channels.yaml file encodes the channel→marker map for each run so the same pipeline can be re-run with different panels without code changes.</w:t>
      </w:r>
    </w:p>
    <w:p>
      <w:pPr>
        <w:pStyle w:val="Heading1"/>
        <w:spacing w:after="160" w:before="300"/>
      </w:pPr>
      <w:r>
        <w:t xml:space="preserve">7. Attribution and references</w:t>
      </w:r>
    </w:p>
    <w:p>
      <w:pPr>
        <w:pStyle w:val="ListParagraph"/>
        <w:numPr>
          <w:ilvl w:val="0"/>
          <w:numId w:val="2"/>
        </w:numPr>
        <w:spacing w:after="80"/>
      </w:pPr>
      <w:r>
        <w:t xml:space="preserve">Anderson MD, Plone A, La J, Wong M, Raghunathan K, Silvester JA, Thiagarajah JR. SPECTRE-Plex: an automated, fast, high-resolution enabled approach for multiplexed cyclic imaging and tissue spatial analysis. Communications Biology 8:636 (2025). Code: https://github.com/mdanderson03/SpectrePlex</w:t>
      </w:r>
    </w:p>
    <w:p>
      <w:pPr>
        <w:pStyle w:val="ListParagraph"/>
        <w:numPr>
          <w:ilvl w:val="0"/>
          <w:numId w:val="2"/>
        </w:numPr>
        <w:spacing w:after="80"/>
      </w:pPr>
      <w:r>
        <w:t xml:space="preserve">Hope TJ, Crentsil EU et al. A Tissue Virus Microenvironment with Activated Stress Responses Underlies Durable SIV Persistence (manuscript).</w:t>
      </w:r>
    </w:p>
    <w:p>
      <w:pPr>
        <w:pStyle w:val="ListParagraph"/>
        <w:numPr>
          <w:ilvl w:val="0"/>
          <w:numId w:val="2"/>
        </w:numPr>
        <w:spacing w:after="80"/>
      </w:pPr>
      <w:r>
        <w:t xml:space="preserve">Cellpose 3: Stringer &amp; Pachitariu, Nature Methods 22:592 (2025).</w:t>
      </w:r>
    </w:p>
    <w:p>
      <w:pPr>
        <w:pStyle w:val="ListParagraph"/>
        <w:numPr>
          <w:ilvl w:val="0"/>
          <w:numId w:val="2"/>
        </w:numPr>
        <w:spacing w:after="80"/>
      </w:pPr>
      <w:r>
        <w:t xml:space="preserve">BaSiC flat-field correction: Peng et al., Nature Communications 8:14836 (2017).</w:t>
      </w:r>
    </w:p>
    <w:p>
      <w:pPr>
        <w:pStyle w:val="ListParagraph"/>
        <w:numPr>
          <w:ilvl w:val="0"/>
          <w:numId w:val="2"/>
        </w:numPr>
        <w:spacing w:after="80"/>
      </w:pPr>
      <w:r>
        <w:t xml:space="preserve">PyStackReg / Thévenaz–Ruttimann–Unser pyramid registration: IEEE Trans. Image Process 7:27 (1998).</w:t>
      </w:r>
    </w:p>
    <w:p>
      <w:pPr>
        <w:pStyle w:val="ListParagraph"/>
        <w:numPr>
          <w:ilvl w:val="0"/>
          <w:numId w:val="2"/>
        </w:numPr>
        <w:spacing w:after="80"/>
      </w:pPr>
      <w:r>
        <w:t xml:space="preserve">McMicro: Schapiro et al., Nature Methods 19:311 (2022).</w:t>
      </w:r>
    </w:p>
    <w:p>
      <w:pPr>
        <w:pStyle w:val="ListParagraph"/>
        <w:numPr>
          <w:ilvl w:val="0"/>
          <w:numId w:val="2"/>
        </w:numPr>
        <w:spacing w:after="80"/>
      </w:pPr>
      <w:r>
        <w:t xml:space="preserve">HDBSCAN: Campello, Moulavi &amp; Sander (2013).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2026-04-24T14:05:40.043Z</dcterms:created>
  <dcterms:modified xsi:type="dcterms:W3CDTF">2026-04-24T14:05:40.044Z</dcterms:modified>
</cp:coreProperties>
</file>

<file path=docProps/custom.xml><?xml version="1.0" encoding="utf-8"?>
<Properties xmlns="http://schemas.openxmlformats.org/officeDocument/2006/custom-properties" xmlns:vt="http://schemas.openxmlformats.org/officeDocument/2006/docPropsVTypes"/>
</file>