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F49A" w14:textId="77777777" w:rsidR="007D387B" w:rsidRPr="00131D6A" w:rsidRDefault="007D387B" w:rsidP="007D387B">
      <w:pPr>
        <w:jc w:val="center"/>
        <w:rPr>
          <w:b/>
          <w:sz w:val="32"/>
          <w:szCs w:val="32"/>
          <w:u w:val="single"/>
        </w:rPr>
      </w:pPr>
      <w:r w:rsidRPr="00131D6A">
        <w:rPr>
          <w:b/>
          <w:sz w:val="32"/>
          <w:szCs w:val="32"/>
          <w:u w:val="single"/>
        </w:rPr>
        <w:t>American International University- Bangladesh (AIUB)</w:t>
      </w:r>
    </w:p>
    <w:p w14:paraId="35827F5A" w14:textId="77777777" w:rsidR="007D387B" w:rsidRDefault="007D387B" w:rsidP="007D387B">
      <w:pPr>
        <w:jc w:val="center"/>
        <w:rPr>
          <w:b/>
          <w:sz w:val="32"/>
          <w:szCs w:val="32"/>
        </w:rPr>
      </w:pPr>
      <w:r>
        <w:rPr>
          <w:b/>
          <w:sz w:val="32"/>
          <w:szCs w:val="32"/>
        </w:rPr>
        <w:t xml:space="preserve">Department of English, </w:t>
      </w:r>
      <w:r w:rsidRPr="00131D6A">
        <w:rPr>
          <w:b/>
          <w:sz w:val="32"/>
          <w:szCs w:val="32"/>
        </w:rPr>
        <w:t>Faculty of</w:t>
      </w:r>
      <w:r>
        <w:rPr>
          <w:b/>
          <w:sz w:val="32"/>
          <w:szCs w:val="32"/>
        </w:rPr>
        <w:t xml:space="preserve"> Arts and Social Sciences</w:t>
      </w:r>
      <w:r w:rsidRPr="00131D6A">
        <w:rPr>
          <w:b/>
          <w:sz w:val="32"/>
          <w:szCs w:val="32"/>
        </w:rPr>
        <w:t xml:space="preserve"> </w:t>
      </w:r>
    </w:p>
    <w:p w14:paraId="6A5C7D81" w14:textId="77777777" w:rsidR="007D387B" w:rsidRPr="003F124F" w:rsidRDefault="007D387B" w:rsidP="007D387B">
      <w:pPr>
        <w:jc w:val="center"/>
        <w:rPr>
          <w:b/>
          <w:sz w:val="24"/>
          <w:szCs w:val="24"/>
          <w:u w:val="single"/>
        </w:rPr>
      </w:pPr>
      <w:r w:rsidRPr="005302CB">
        <w:rPr>
          <w:b/>
          <w:sz w:val="24"/>
          <w:szCs w:val="24"/>
        </w:rPr>
        <w:t>Bachelor of</w:t>
      </w:r>
      <w:r>
        <w:rPr>
          <w:b/>
          <w:sz w:val="24"/>
          <w:szCs w:val="24"/>
        </w:rPr>
        <w:t xml:space="preserve"> Arts in</w:t>
      </w:r>
      <w:r w:rsidRPr="00B86E75">
        <w:rPr>
          <w:b/>
          <w:sz w:val="24"/>
          <w:szCs w:val="24"/>
        </w:rPr>
        <w:t xml:space="preserve"> English</w:t>
      </w:r>
    </w:p>
    <w:tbl>
      <w:tblPr>
        <w:tblStyle w:val="TableGrid"/>
        <w:tblW w:w="5000" w:type="pct"/>
        <w:tblLook w:val="04A0" w:firstRow="1" w:lastRow="0" w:firstColumn="1" w:lastColumn="0" w:noHBand="0" w:noVBand="1"/>
      </w:tblPr>
      <w:tblGrid>
        <w:gridCol w:w="9350"/>
      </w:tblGrid>
      <w:tr w:rsidR="007D387B" w14:paraId="4CF50AA5" w14:textId="77777777" w:rsidTr="00E8708A">
        <w:tc>
          <w:tcPr>
            <w:tcW w:w="5000" w:type="pct"/>
          </w:tcPr>
          <w:p w14:paraId="7947A795" w14:textId="77777777" w:rsidR="007D387B" w:rsidRPr="0085024F" w:rsidRDefault="007D387B" w:rsidP="00E8708A">
            <w:pPr>
              <w:jc w:val="both"/>
            </w:pPr>
            <w:r w:rsidRPr="00C66ECA">
              <w:rPr>
                <w:b/>
                <w:bCs/>
              </w:rPr>
              <w:t>Course Title</w:t>
            </w:r>
            <w:r w:rsidRPr="0085024F">
              <w:t xml:space="preserve">: </w:t>
            </w:r>
            <w:r>
              <w:t>English Writing Skills &amp; Communications</w:t>
            </w:r>
          </w:p>
        </w:tc>
      </w:tr>
      <w:tr w:rsidR="007D387B" w14:paraId="57ABFCD8" w14:textId="77777777" w:rsidTr="00E8708A">
        <w:tc>
          <w:tcPr>
            <w:tcW w:w="5000" w:type="pct"/>
          </w:tcPr>
          <w:p w14:paraId="6FA63E2B" w14:textId="77777777" w:rsidR="007D387B" w:rsidRPr="0085024F" w:rsidRDefault="007D387B" w:rsidP="00E8708A">
            <w:pPr>
              <w:jc w:val="both"/>
            </w:pPr>
            <w:r w:rsidRPr="00C66ECA">
              <w:rPr>
                <w:b/>
                <w:bCs/>
              </w:rPr>
              <w:t>Course code</w:t>
            </w:r>
            <w:r w:rsidRPr="0085024F">
              <w:t>:</w:t>
            </w:r>
            <w:r>
              <w:t xml:space="preserve"> ENG 1202</w:t>
            </w:r>
          </w:p>
        </w:tc>
      </w:tr>
      <w:tr w:rsidR="007D387B" w14:paraId="03B15EF6" w14:textId="77777777" w:rsidTr="00E8708A">
        <w:tc>
          <w:tcPr>
            <w:tcW w:w="5000" w:type="pct"/>
          </w:tcPr>
          <w:p w14:paraId="7C0FC2CE" w14:textId="77777777" w:rsidR="007D387B" w:rsidRPr="0085024F" w:rsidRDefault="007D387B" w:rsidP="00E8708A">
            <w:pPr>
              <w:jc w:val="both"/>
            </w:pPr>
            <w:r w:rsidRPr="00C66ECA">
              <w:rPr>
                <w:b/>
                <w:bCs/>
              </w:rPr>
              <w:t>Pre-requisite</w:t>
            </w:r>
            <w:r>
              <w:t>: English Reading Skills &amp; Public Speaking</w:t>
            </w:r>
          </w:p>
        </w:tc>
      </w:tr>
      <w:tr w:rsidR="007D387B" w14:paraId="530644D4" w14:textId="77777777" w:rsidTr="00E8708A">
        <w:tc>
          <w:tcPr>
            <w:tcW w:w="5000" w:type="pct"/>
          </w:tcPr>
          <w:p w14:paraId="4694BC3D" w14:textId="77777777" w:rsidR="007D387B" w:rsidRPr="0085024F" w:rsidRDefault="007D387B" w:rsidP="00E8708A">
            <w:pPr>
              <w:jc w:val="both"/>
            </w:pPr>
            <w:r w:rsidRPr="00C66ECA">
              <w:rPr>
                <w:b/>
                <w:bCs/>
              </w:rPr>
              <w:t>General/ Major course</w:t>
            </w:r>
            <w:r w:rsidRPr="0085024F">
              <w:t>: General (Core)</w:t>
            </w:r>
          </w:p>
        </w:tc>
      </w:tr>
      <w:tr w:rsidR="007D387B" w14:paraId="276C1C6B" w14:textId="77777777" w:rsidTr="00E8708A">
        <w:tc>
          <w:tcPr>
            <w:tcW w:w="5000" w:type="pct"/>
          </w:tcPr>
          <w:p w14:paraId="328B5C99" w14:textId="77777777" w:rsidR="007D387B" w:rsidRPr="0085024F" w:rsidRDefault="007D387B" w:rsidP="00E8708A">
            <w:pPr>
              <w:jc w:val="both"/>
            </w:pPr>
            <w:r w:rsidRPr="00C66ECA">
              <w:rPr>
                <w:b/>
                <w:bCs/>
              </w:rPr>
              <w:t>Course Description</w:t>
            </w:r>
            <w:r w:rsidRPr="0085024F">
              <w:t xml:space="preserve">: </w:t>
            </w:r>
          </w:p>
        </w:tc>
      </w:tr>
      <w:tr w:rsidR="007D387B" w14:paraId="66E2AC3C" w14:textId="77777777" w:rsidTr="00E8708A">
        <w:tc>
          <w:tcPr>
            <w:tcW w:w="5000" w:type="pct"/>
          </w:tcPr>
          <w:p w14:paraId="798B0F9B" w14:textId="77777777" w:rsidR="007D387B" w:rsidRPr="0085024F" w:rsidRDefault="007D387B" w:rsidP="00E8708A">
            <w:pPr>
              <w:jc w:val="both"/>
            </w:pPr>
            <w:r w:rsidRPr="0085024F">
              <w:t>This course aim</w:t>
            </w:r>
            <w:r>
              <w:t xml:space="preserve">s </w:t>
            </w:r>
            <w:r w:rsidRPr="007E4B73">
              <w:t>to improve stu</w:t>
            </w:r>
            <w:r>
              <w:t>dents’ academic writing skills by giving</w:t>
            </w:r>
            <w:r w:rsidRPr="00CB2F72">
              <w:t xml:space="preserve"> students ex</w:t>
            </w:r>
            <w:r>
              <w:t>tensive practice in</w:t>
            </w:r>
            <w:r w:rsidRPr="00CB2F72">
              <w:t xml:space="preserve"> invent</w:t>
            </w:r>
            <w:r>
              <w:t>ing</w:t>
            </w:r>
            <w:r w:rsidRPr="00CB2F72">
              <w:t xml:space="preserve"> substantial content and express</w:t>
            </w:r>
            <w:r>
              <w:t>ing it using effective language</w:t>
            </w:r>
            <w:r w:rsidRPr="00CB2F72">
              <w:t>.</w:t>
            </w:r>
            <w:r>
              <w:t xml:space="preserve"> </w:t>
            </w:r>
            <w:r w:rsidRPr="00DF63DD">
              <w:t>Different units in the module guide students through each sta</w:t>
            </w:r>
            <w:r>
              <w:t xml:space="preserve">ge of the process of </w:t>
            </w:r>
            <w:r w:rsidRPr="00DF63DD">
              <w:t>academic essay</w:t>
            </w:r>
            <w:r>
              <w:t xml:space="preserve"> writing</w:t>
            </w:r>
            <w:r w:rsidRPr="00DF63DD">
              <w:t>:  from brainstorming ideas, finding suitable sources, making notes from the sources, planning and structuring an essay, writing a draft using paraphrasi</w:t>
            </w:r>
            <w:r>
              <w:t xml:space="preserve">ng and referencing, integrating </w:t>
            </w:r>
            <w:r w:rsidRPr="00DF63DD">
              <w:t>data and finally editing and proofreading using an appropriate academic style</w:t>
            </w:r>
            <w:r>
              <w:t>. The course</w:t>
            </w:r>
            <w:r w:rsidRPr="00E843C9">
              <w:t xml:space="preserve"> will also develop students’ English skills more generally and so help them interact more effectively in English in the wider world.</w:t>
            </w:r>
          </w:p>
        </w:tc>
      </w:tr>
      <w:tr w:rsidR="007D387B" w14:paraId="3B9D777E" w14:textId="77777777" w:rsidTr="00E8708A">
        <w:tc>
          <w:tcPr>
            <w:tcW w:w="5000" w:type="pct"/>
          </w:tcPr>
          <w:p w14:paraId="20F66E9D" w14:textId="77777777" w:rsidR="007D387B" w:rsidRDefault="007D387B" w:rsidP="00E8708A">
            <w:pPr>
              <w:jc w:val="both"/>
            </w:pPr>
            <w:r w:rsidRPr="00C66ECA">
              <w:rPr>
                <w:b/>
                <w:bCs/>
              </w:rPr>
              <w:t xml:space="preserve">Course </w:t>
            </w:r>
            <w:r w:rsidRPr="00E64A63">
              <w:rPr>
                <w:b/>
                <w:bCs/>
              </w:rPr>
              <w:t>Learning</w:t>
            </w:r>
            <w:r>
              <w:rPr>
                <w:b/>
                <w:bCs/>
              </w:rPr>
              <w:t xml:space="preserve"> </w:t>
            </w:r>
            <w:r w:rsidRPr="00E64A63">
              <w:rPr>
                <w:b/>
                <w:bCs/>
              </w:rPr>
              <w:t>Outcomes</w:t>
            </w:r>
            <w:r w:rsidRPr="0085024F">
              <w:t xml:space="preserve">: </w:t>
            </w:r>
            <w:r w:rsidRPr="00030337">
              <w:t xml:space="preserve">Upon completion of the </w:t>
            </w:r>
            <w:r>
              <w:t>course</w:t>
            </w:r>
            <w:r w:rsidRPr="00030337">
              <w:t>, students will be able to:</w:t>
            </w:r>
          </w:p>
          <w:p w14:paraId="28FE3755" w14:textId="77777777" w:rsidR="007D387B" w:rsidRPr="0085024F" w:rsidRDefault="007D387B" w:rsidP="00E8708A">
            <w:pPr>
              <w:jc w:val="both"/>
            </w:pPr>
            <w:r w:rsidRPr="003C4C41">
              <w:rPr>
                <w:b/>
                <w:bCs/>
              </w:rPr>
              <w:t>Cognitive</w:t>
            </w:r>
            <w:r>
              <w:rPr>
                <w:b/>
                <w:bCs/>
              </w:rPr>
              <w:t xml:space="preserve"> </w:t>
            </w:r>
            <w:r w:rsidRPr="003C4C41">
              <w:t>(Knowledge)</w:t>
            </w:r>
            <w:r w:rsidRPr="0085024F">
              <w:t xml:space="preserve">:   </w:t>
            </w:r>
          </w:p>
        </w:tc>
      </w:tr>
      <w:tr w:rsidR="007D387B" w14:paraId="0524089D" w14:textId="77777777" w:rsidTr="00E8708A">
        <w:tc>
          <w:tcPr>
            <w:tcW w:w="5000" w:type="pct"/>
          </w:tcPr>
          <w:p w14:paraId="22FDFEC8" w14:textId="1AE3FEFD" w:rsidR="007D387B" w:rsidRPr="0085024F" w:rsidRDefault="007D387B" w:rsidP="007D387B">
            <w:pPr>
              <w:pStyle w:val="ListParagraph"/>
              <w:numPr>
                <w:ilvl w:val="0"/>
                <w:numId w:val="1"/>
              </w:numPr>
              <w:jc w:val="both"/>
            </w:pPr>
            <w:r>
              <w:t xml:space="preserve">Understand the rudiments of the process approach to writing and create well- structured, coherent academic essay </w:t>
            </w:r>
          </w:p>
        </w:tc>
      </w:tr>
      <w:tr w:rsidR="007D387B" w14:paraId="74B2DAC4" w14:textId="77777777" w:rsidTr="00E8708A">
        <w:trPr>
          <w:trHeight w:val="200"/>
        </w:trPr>
        <w:tc>
          <w:tcPr>
            <w:tcW w:w="5000" w:type="pct"/>
          </w:tcPr>
          <w:p w14:paraId="526B2D3A" w14:textId="77777777" w:rsidR="007D387B" w:rsidRPr="0085024F" w:rsidRDefault="007D387B" w:rsidP="007D387B">
            <w:pPr>
              <w:pStyle w:val="ListParagraph"/>
              <w:numPr>
                <w:ilvl w:val="0"/>
                <w:numId w:val="1"/>
              </w:numPr>
              <w:jc w:val="both"/>
            </w:pPr>
            <w:r>
              <w:t>Understand the</w:t>
            </w:r>
            <w:r w:rsidRPr="00F86C6F">
              <w:t xml:space="preserve"> </w:t>
            </w:r>
            <w:r>
              <w:t>key features of academic style.</w:t>
            </w:r>
          </w:p>
        </w:tc>
      </w:tr>
      <w:tr w:rsidR="007D387B" w14:paraId="12D50D28" w14:textId="77777777" w:rsidTr="00E8708A">
        <w:trPr>
          <w:trHeight w:val="250"/>
        </w:trPr>
        <w:tc>
          <w:tcPr>
            <w:tcW w:w="5000" w:type="pct"/>
          </w:tcPr>
          <w:p w14:paraId="0C7F8319" w14:textId="77777777" w:rsidR="007D387B" w:rsidRDefault="007D387B" w:rsidP="007D387B">
            <w:pPr>
              <w:pStyle w:val="ListParagraph"/>
              <w:numPr>
                <w:ilvl w:val="0"/>
                <w:numId w:val="1"/>
              </w:numPr>
              <w:jc w:val="both"/>
            </w:pPr>
            <w:r>
              <w:t>Analyze and evaluate different sources and p</w:t>
            </w:r>
            <w:r w:rsidRPr="00C43A62">
              <w:t>araphrase info</w:t>
            </w:r>
            <w:r>
              <w:t>rmation and ideas from those</w:t>
            </w:r>
            <w:r w:rsidRPr="00C43A62">
              <w:t xml:space="preserve"> sources</w:t>
            </w:r>
            <w:r>
              <w:t xml:space="preserve">. </w:t>
            </w:r>
          </w:p>
        </w:tc>
      </w:tr>
      <w:tr w:rsidR="007D387B" w14:paraId="010C7BE8" w14:textId="77777777" w:rsidTr="00E8708A">
        <w:trPr>
          <w:trHeight w:val="338"/>
        </w:trPr>
        <w:tc>
          <w:tcPr>
            <w:tcW w:w="5000" w:type="pct"/>
          </w:tcPr>
          <w:p w14:paraId="12667E6B" w14:textId="77777777" w:rsidR="007D387B" w:rsidRDefault="007D387B" w:rsidP="007D387B">
            <w:pPr>
              <w:pStyle w:val="ListParagraph"/>
              <w:numPr>
                <w:ilvl w:val="0"/>
                <w:numId w:val="1"/>
              </w:numPr>
              <w:jc w:val="both"/>
            </w:pPr>
            <w:r>
              <w:t>Compare or contrast, express cause and effect relationships, argue and propose solutions to problems in writing using appropriate language.</w:t>
            </w:r>
          </w:p>
        </w:tc>
      </w:tr>
      <w:tr w:rsidR="007D387B" w14:paraId="56A20728" w14:textId="77777777" w:rsidTr="00E8708A">
        <w:tc>
          <w:tcPr>
            <w:tcW w:w="5000" w:type="pct"/>
          </w:tcPr>
          <w:p w14:paraId="56FA2D20" w14:textId="77777777" w:rsidR="007D387B" w:rsidRPr="0085024F" w:rsidRDefault="007D387B" w:rsidP="00E8708A">
            <w:pPr>
              <w:jc w:val="both"/>
            </w:pPr>
            <w:r w:rsidRPr="00C66ECA">
              <w:rPr>
                <w:b/>
                <w:bCs/>
              </w:rPr>
              <w:t xml:space="preserve">Psychomotor </w:t>
            </w:r>
            <w:r w:rsidRPr="006E52D1">
              <w:t>(Skills)</w:t>
            </w:r>
            <w:r w:rsidRPr="0085024F">
              <w:t>:</w:t>
            </w:r>
          </w:p>
        </w:tc>
      </w:tr>
      <w:tr w:rsidR="007D387B" w14:paraId="1B4BFAD7" w14:textId="77777777" w:rsidTr="00E8708A">
        <w:tc>
          <w:tcPr>
            <w:tcW w:w="5000" w:type="pct"/>
          </w:tcPr>
          <w:p w14:paraId="20F9695E" w14:textId="08AE1C45" w:rsidR="007D387B" w:rsidRPr="0085024F" w:rsidRDefault="007D387B" w:rsidP="00E8708A">
            <w:pPr>
              <w:jc w:val="both"/>
            </w:pPr>
            <w:r w:rsidRPr="0085024F">
              <w:t>1.</w:t>
            </w:r>
            <w:r>
              <w:t xml:space="preserve"> Effectively execute all the different stages involved in the writing process--planning,</w:t>
            </w:r>
            <w:r w:rsidRPr="00F86C6F">
              <w:t xml:space="preserve"> composing, </w:t>
            </w:r>
            <w:r>
              <w:t>editing</w:t>
            </w:r>
            <w:r>
              <w:t>,</w:t>
            </w:r>
            <w:r>
              <w:t xml:space="preserve"> </w:t>
            </w:r>
            <w:r w:rsidRPr="00F86C6F">
              <w:t>and revising</w:t>
            </w:r>
            <w:r>
              <w:t>.</w:t>
            </w:r>
          </w:p>
        </w:tc>
      </w:tr>
      <w:tr w:rsidR="007D387B" w14:paraId="33D474AE" w14:textId="77777777" w:rsidTr="00E8708A">
        <w:tc>
          <w:tcPr>
            <w:tcW w:w="5000" w:type="pct"/>
          </w:tcPr>
          <w:p w14:paraId="4CE2CCB7" w14:textId="77777777" w:rsidR="007D387B" w:rsidRPr="0085024F" w:rsidRDefault="007D387B" w:rsidP="00E8708A">
            <w:pPr>
              <w:jc w:val="both"/>
            </w:pPr>
            <w:r w:rsidRPr="0085024F">
              <w:t>2.</w:t>
            </w:r>
            <w:r>
              <w:t xml:space="preserve"> Integrate </w:t>
            </w:r>
            <w:r w:rsidRPr="00C33579">
              <w:t>suitable supporting evidence from a wide range of sources</w:t>
            </w:r>
            <w:r>
              <w:t xml:space="preserve"> in their writing.</w:t>
            </w:r>
          </w:p>
        </w:tc>
      </w:tr>
      <w:tr w:rsidR="007D387B" w14:paraId="52BDA078" w14:textId="77777777" w:rsidTr="00E8708A">
        <w:tc>
          <w:tcPr>
            <w:tcW w:w="5000" w:type="pct"/>
          </w:tcPr>
          <w:p w14:paraId="788CF5C6" w14:textId="77777777" w:rsidR="007D387B" w:rsidRPr="0085024F" w:rsidRDefault="007D387B" w:rsidP="00E8708A">
            <w:pPr>
              <w:jc w:val="both"/>
            </w:pPr>
            <w:r>
              <w:t>3. Analyze and interpret different types of data and graphics and integrate them in texts to support and elucidate their ideas.</w:t>
            </w:r>
          </w:p>
        </w:tc>
      </w:tr>
      <w:tr w:rsidR="007D387B" w14:paraId="5F7B6EC9" w14:textId="77777777" w:rsidTr="00E8708A">
        <w:tc>
          <w:tcPr>
            <w:tcW w:w="5000" w:type="pct"/>
          </w:tcPr>
          <w:p w14:paraId="4FC1F907" w14:textId="77777777" w:rsidR="007D387B" w:rsidRPr="0085024F" w:rsidRDefault="007D387B" w:rsidP="00E8708A">
            <w:pPr>
              <w:jc w:val="both"/>
            </w:pPr>
            <w:r w:rsidRPr="00C66ECA">
              <w:rPr>
                <w:b/>
                <w:bCs/>
              </w:rPr>
              <w:t>Affective</w:t>
            </w:r>
            <w:r w:rsidRPr="0085024F">
              <w:t xml:space="preserve"> (Attitude, Behavior)</w:t>
            </w:r>
            <w:r>
              <w:t>:</w:t>
            </w:r>
          </w:p>
        </w:tc>
      </w:tr>
      <w:tr w:rsidR="007D387B" w14:paraId="0981C881" w14:textId="77777777" w:rsidTr="00E8708A">
        <w:trPr>
          <w:trHeight w:val="238"/>
        </w:trPr>
        <w:tc>
          <w:tcPr>
            <w:tcW w:w="5000" w:type="pct"/>
          </w:tcPr>
          <w:p w14:paraId="1D560EC8" w14:textId="77777777" w:rsidR="007D387B" w:rsidRPr="0085024F" w:rsidRDefault="007D387B" w:rsidP="007D387B">
            <w:pPr>
              <w:pStyle w:val="ListParagraph"/>
              <w:numPr>
                <w:ilvl w:val="0"/>
                <w:numId w:val="2"/>
              </w:numPr>
              <w:jc w:val="both"/>
            </w:pPr>
            <w:r>
              <w:t>Perceive the value of academic ethics and the importance of avoiding plagiarism.</w:t>
            </w:r>
          </w:p>
        </w:tc>
      </w:tr>
      <w:tr w:rsidR="007D387B" w14:paraId="37C83C47" w14:textId="77777777" w:rsidTr="00E8708A">
        <w:trPr>
          <w:trHeight w:val="262"/>
        </w:trPr>
        <w:tc>
          <w:tcPr>
            <w:tcW w:w="5000" w:type="pct"/>
          </w:tcPr>
          <w:p w14:paraId="52F5B908" w14:textId="3DD120CC" w:rsidR="007D387B" w:rsidRDefault="007D387B" w:rsidP="007D387B">
            <w:pPr>
              <w:pStyle w:val="ListParagraph"/>
              <w:numPr>
                <w:ilvl w:val="0"/>
                <w:numId w:val="2"/>
              </w:numPr>
              <w:jc w:val="both"/>
            </w:pPr>
            <w:r>
              <w:t>Weigh different alternatives and decide the appropriate information, language</w:t>
            </w:r>
            <w:r>
              <w:t>,</w:t>
            </w:r>
            <w:r>
              <w:t xml:space="preserve"> and style for performing in any academic writing task.</w:t>
            </w:r>
          </w:p>
        </w:tc>
      </w:tr>
      <w:tr w:rsidR="007D387B" w14:paraId="5106FCD2" w14:textId="77777777" w:rsidTr="00E8708A">
        <w:trPr>
          <w:trHeight w:val="225"/>
        </w:trPr>
        <w:tc>
          <w:tcPr>
            <w:tcW w:w="5000" w:type="pct"/>
          </w:tcPr>
          <w:p w14:paraId="17BD3781" w14:textId="77777777" w:rsidR="007D387B" w:rsidRDefault="007D387B" w:rsidP="007D387B">
            <w:pPr>
              <w:pStyle w:val="ListParagraph"/>
              <w:numPr>
                <w:ilvl w:val="0"/>
                <w:numId w:val="2"/>
              </w:numPr>
              <w:jc w:val="both"/>
            </w:pPr>
            <w:r>
              <w:t>Justify their ideas or opinions and convince the readers.</w:t>
            </w:r>
          </w:p>
        </w:tc>
      </w:tr>
      <w:tr w:rsidR="007D387B" w14:paraId="58C86AB2" w14:textId="77777777" w:rsidTr="00E8708A">
        <w:trPr>
          <w:trHeight w:val="313"/>
        </w:trPr>
        <w:tc>
          <w:tcPr>
            <w:tcW w:w="5000" w:type="pct"/>
          </w:tcPr>
          <w:p w14:paraId="141DDD88" w14:textId="38F22DBB" w:rsidR="007D387B" w:rsidRDefault="007D387B" w:rsidP="007D387B">
            <w:pPr>
              <w:pStyle w:val="ListParagraph"/>
              <w:numPr>
                <w:ilvl w:val="0"/>
                <w:numId w:val="2"/>
              </w:numPr>
              <w:jc w:val="both"/>
            </w:pPr>
            <w:r>
              <w:t xml:space="preserve"> Adhere to the key features of accurate, impersonal</w:t>
            </w:r>
            <w:r>
              <w:t>,</w:t>
            </w:r>
            <w:r>
              <w:t xml:space="preserve"> and objective style of writing whenever producing a written text for academic purposes.</w:t>
            </w:r>
          </w:p>
        </w:tc>
      </w:tr>
      <w:tr w:rsidR="007D387B" w14:paraId="171CD8A0" w14:textId="77777777" w:rsidTr="00E8708A">
        <w:tc>
          <w:tcPr>
            <w:tcW w:w="5000" w:type="pct"/>
          </w:tcPr>
          <w:p w14:paraId="20532207" w14:textId="77777777" w:rsidR="007D387B" w:rsidRDefault="007D387B" w:rsidP="00E8708A">
            <w:pPr>
              <w:jc w:val="both"/>
            </w:pPr>
            <w:r w:rsidRPr="0085024F">
              <w:t>Duration:  1 Semester (4 Months), Class hour: 1.5 hours, Total number of classes:</w:t>
            </w:r>
            <w:r>
              <w:t xml:space="preserve"> 24</w:t>
            </w:r>
          </w:p>
          <w:p w14:paraId="1BB202A9" w14:textId="1A7F4A53" w:rsidR="007D387B" w:rsidRPr="0085024F" w:rsidRDefault="007D387B" w:rsidP="00E8708A">
            <w:pPr>
              <w:jc w:val="both"/>
            </w:pPr>
          </w:p>
        </w:tc>
      </w:tr>
      <w:tr w:rsidR="007D387B" w14:paraId="045EBE4F" w14:textId="77777777" w:rsidTr="00E8708A">
        <w:tc>
          <w:tcPr>
            <w:tcW w:w="5000" w:type="pct"/>
          </w:tcPr>
          <w:p w14:paraId="1C8999D9" w14:textId="77777777" w:rsidR="007D387B" w:rsidRDefault="007D387B" w:rsidP="00E8708A">
            <w:pPr>
              <w:jc w:val="both"/>
            </w:pPr>
            <w:r w:rsidRPr="0085024F">
              <w:t>Credit Hour: 3</w:t>
            </w:r>
          </w:p>
          <w:p w14:paraId="48AF33B0" w14:textId="304D3226" w:rsidR="007D387B" w:rsidRDefault="007D387B" w:rsidP="00E8708A">
            <w:pPr>
              <w:jc w:val="both"/>
            </w:pPr>
          </w:p>
        </w:tc>
      </w:tr>
    </w:tbl>
    <w:p w14:paraId="41B7883C" w14:textId="77777777" w:rsidR="007D387B" w:rsidRDefault="007D387B" w:rsidP="007D387B"/>
    <w:p w14:paraId="7E41D5A9" w14:textId="65DFDC97" w:rsidR="00AC6CF4" w:rsidRDefault="00AC6CF4"/>
    <w:tbl>
      <w:tblPr>
        <w:tblStyle w:val="TableGrid"/>
        <w:tblW w:w="0" w:type="auto"/>
        <w:tblLook w:val="04A0" w:firstRow="1" w:lastRow="0" w:firstColumn="1" w:lastColumn="0" w:noHBand="0" w:noVBand="1"/>
      </w:tblPr>
      <w:tblGrid>
        <w:gridCol w:w="917"/>
        <w:gridCol w:w="4669"/>
        <w:gridCol w:w="3764"/>
      </w:tblGrid>
      <w:tr w:rsidR="00305481" w:rsidRPr="00C66ECA" w14:paraId="456E4D0B" w14:textId="77777777" w:rsidTr="00BE0259">
        <w:tc>
          <w:tcPr>
            <w:tcW w:w="917" w:type="dxa"/>
          </w:tcPr>
          <w:p w14:paraId="216D7DFB" w14:textId="77777777" w:rsidR="00305481" w:rsidRPr="00C66ECA" w:rsidRDefault="00305481" w:rsidP="00E8708A">
            <w:pPr>
              <w:jc w:val="center"/>
              <w:rPr>
                <w:b/>
                <w:bCs/>
              </w:rPr>
            </w:pPr>
            <w:r w:rsidRPr="00C66ECA">
              <w:rPr>
                <w:b/>
                <w:bCs/>
              </w:rPr>
              <w:lastRenderedPageBreak/>
              <w:t>Unit no.</w:t>
            </w:r>
          </w:p>
        </w:tc>
        <w:tc>
          <w:tcPr>
            <w:tcW w:w="4669" w:type="dxa"/>
          </w:tcPr>
          <w:p w14:paraId="0086C919" w14:textId="77777777" w:rsidR="00305481" w:rsidRPr="00C66ECA" w:rsidRDefault="00305481" w:rsidP="00E8708A">
            <w:pPr>
              <w:jc w:val="center"/>
              <w:rPr>
                <w:b/>
                <w:bCs/>
              </w:rPr>
            </w:pPr>
            <w:r w:rsidRPr="00C66ECA">
              <w:rPr>
                <w:b/>
                <w:bCs/>
              </w:rPr>
              <w:t>Name of the Unit</w:t>
            </w:r>
          </w:p>
        </w:tc>
        <w:tc>
          <w:tcPr>
            <w:tcW w:w="3764" w:type="dxa"/>
          </w:tcPr>
          <w:p w14:paraId="4DDD7F6D" w14:textId="77777777" w:rsidR="00305481" w:rsidRPr="00C66ECA" w:rsidRDefault="00305481" w:rsidP="00E8708A">
            <w:pPr>
              <w:jc w:val="center"/>
              <w:rPr>
                <w:b/>
                <w:bCs/>
              </w:rPr>
            </w:pPr>
            <w:r w:rsidRPr="00C66ECA">
              <w:rPr>
                <w:b/>
                <w:bCs/>
              </w:rPr>
              <w:t>Chapters/</w:t>
            </w:r>
            <w:r>
              <w:rPr>
                <w:b/>
                <w:bCs/>
              </w:rPr>
              <w:t>Readings</w:t>
            </w:r>
            <w:r w:rsidRPr="00C66ECA">
              <w:rPr>
                <w:b/>
                <w:bCs/>
              </w:rPr>
              <w:t xml:space="preserve"> covered in the Unit</w:t>
            </w:r>
          </w:p>
        </w:tc>
      </w:tr>
      <w:tr w:rsidR="00305481" w14:paraId="3A894CC2" w14:textId="77777777" w:rsidTr="00BE0259">
        <w:tc>
          <w:tcPr>
            <w:tcW w:w="917" w:type="dxa"/>
          </w:tcPr>
          <w:p w14:paraId="338E7923" w14:textId="77777777" w:rsidR="00305481" w:rsidRDefault="00305481" w:rsidP="00E8708A">
            <w:pPr>
              <w:jc w:val="center"/>
            </w:pPr>
            <w:r>
              <w:t>1</w:t>
            </w:r>
          </w:p>
        </w:tc>
        <w:tc>
          <w:tcPr>
            <w:tcW w:w="4669" w:type="dxa"/>
          </w:tcPr>
          <w:p w14:paraId="7BC9FAE5" w14:textId="30134FE1" w:rsidR="00305481" w:rsidRDefault="00305481" w:rsidP="00E8708A">
            <w:pPr>
              <w:jc w:val="both"/>
            </w:pPr>
            <w:r w:rsidRPr="00CC5E91">
              <w:rPr>
                <w:rFonts w:ascii="Times New Roman" w:hAnsi="Times New Roman" w:cs="Times New Roman"/>
              </w:rPr>
              <w:t>Gathering Ideas and Developing Focus</w:t>
            </w:r>
          </w:p>
        </w:tc>
        <w:tc>
          <w:tcPr>
            <w:tcW w:w="3764" w:type="dxa"/>
          </w:tcPr>
          <w:p w14:paraId="53F008AA" w14:textId="5AB76764" w:rsidR="00305481" w:rsidRDefault="00305481" w:rsidP="00E8708A">
            <w:pPr>
              <w:jc w:val="both"/>
            </w:pPr>
            <w:r w:rsidRPr="00CC5E91">
              <w:rPr>
                <w:rFonts w:ascii="Times New Roman" w:hAnsi="Times New Roman" w:cs="Times New Roman"/>
              </w:rPr>
              <w:t>Unit 1, Chowdhury et al. (2017)</w:t>
            </w:r>
          </w:p>
        </w:tc>
      </w:tr>
      <w:tr w:rsidR="00305481" w14:paraId="74A45739" w14:textId="77777777" w:rsidTr="00BE0259">
        <w:tc>
          <w:tcPr>
            <w:tcW w:w="917" w:type="dxa"/>
          </w:tcPr>
          <w:p w14:paraId="405270A3" w14:textId="77777777" w:rsidR="00305481" w:rsidRDefault="00305481" w:rsidP="00E8708A">
            <w:pPr>
              <w:jc w:val="center"/>
            </w:pPr>
            <w:r>
              <w:t>2</w:t>
            </w:r>
          </w:p>
        </w:tc>
        <w:tc>
          <w:tcPr>
            <w:tcW w:w="4669" w:type="dxa"/>
          </w:tcPr>
          <w:p w14:paraId="35B805F7" w14:textId="38BCE5AE" w:rsidR="00305481" w:rsidRDefault="00305481" w:rsidP="00E8708A">
            <w:pPr>
              <w:jc w:val="both"/>
            </w:pPr>
            <w:r w:rsidRPr="00CC5E91">
              <w:rPr>
                <w:rFonts w:ascii="Times New Roman" w:hAnsi="Times New Roman" w:cs="Times New Roman"/>
              </w:rPr>
              <w:t>Using Sources, Data and Graphics; Taking Notes</w:t>
            </w:r>
          </w:p>
        </w:tc>
        <w:tc>
          <w:tcPr>
            <w:tcW w:w="3764" w:type="dxa"/>
          </w:tcPr>
          <w:p w14:paraId="26D92D1C" w14:textId="475A8C73" w:rsidR="00305481" w:rsidRDefault="00305481" w:rsidP="00E8708A">
            <w:pPr>
              <w:jc w:val="both"/>
            </w:pPr>
            <w:r w:rsidRPr="00CC5E91">
              <w:rPr>
                <w:rFonts w:ascii="Times New Roman" w:hAnsi="Times New Roman" w:cs="Times New Roman"/>
              </w:rPr>
              <w:t xml:space="preserve">Unit </w:t>
            </w:r>
            <w:r>
              <w:rPr>
                <w:rFonts w:ascii="Times New Roman" w:hAnsi="Times New Roman" w:cs="Times New Roman"/>
              </w:rPr>
              <w:t>2</w:t>
            </w:r>
            <w:r w:rsidRPr="00CC5E91">
              <w:rPr>
                <w:rFonts w:ascii="Times New Roman" w:hAnsi="Times New Roman" w:cs="Times New Roman"/>
              </w:rPr>
              <w:t>, Chowdhury et al. (2017)</w:t>
            </w:r>
          </w:p>
        </w:tc>
      </w:tr>
      <w:tr w:rsidR="00BE0259" w14:paraId="02010330" w14:textId="77777777" w:rsidTr="00BE0259">
        <w:tc>
          <w:tcPr>
            <w:tcW w:w="917" w:type="dxa"/>
          </w:tcPr>
          <w:p w14:paraId="5FB30D8E" w14:textId="77777777" w:rsidR="00BE0259" w:rsidRDefault="00BE0259" w:rsidP="00BE0259">
            <w:pPr>
              <w:jc w:val="center"/>
            </w:pPr>
            <w:r>
              <w:t>3</w:t>
            </w:r>
          </w:p>
        </w:tc>
        <w:tc>
          <w:tcPr>
            <w:tcW w:w="4669" w:type="dxa"/>
          </w:tcPr>
          <w:p w14:paraId="731BF77F" w14:textId="238275E9" w:rsidR="00BE0259" w:rsidRDefault="00BE0259" w:rsidP="00BE0259">
            <w:pPr>
              <w:jc w:val="both"/>
            </w:pPr>
            <w:r w:rsidRPr="00CC5E91">
              <w:rPr>
                <w:rFonts w:ascii="Times New Roman" w:hAnsi="Times New Roman" w:cs="Times New Roman"/>
              </w:rPr>
              <w:t>Organizing Ideas</w:t>
            </w:r>
            <w:r w:rsidR="00EC66CC">
              <w:rPr>
                <w:rFonts w:ascii="Times New Roman" w:hAnsi="Times New Roman" w:cs="Times New Roman"/>
              </w:rPr>
              <w:t>; Writing an Introduction</w:t>
            </w:r>
          </w:p>
        </w:tc>
        <w:tc>
          <w:tcPr>
            <w:tcW w:w="3764" w:type="dxa"/>
          </w:tcPr>
          <w:p w14:paraId="12F2A718" w14:textId="4E90757F" w:rsidR="00BE0259" w:rsidRDefault="00BE0259" w:rsidP="00BE0259">
            <w:pPr>
              <w:jc w:val="both"/>
            </w:pPr>
            <w:r w:rsidRPr="00CC5E91">
              <w:rPr>
                <w:rFonts w:ascii="Times New Roman" w:hAnsi="Times New Roman" w:cs="Times New Roman"/>
              </w:rPr>
              <w:t xml:space="preserve">Unit </w:t>
            </w:r>
            <w:r>
              <w:rPr>
                <w:rFonts w:ascii="Times New Roman" w:hAnsi="Times New Roman" w:cs="Times New Roman"/>
              </w:rPr>
              <w:t>3</w:t>
            </w:r>
            <w:r w:rsidRPr="00CC5E91">
              <w:rPr>
                <w:rFonts w:ascii="Times New Roman" w:hAnsi="Times New Roman" w:cs="Times New Roman"/>
              </w:rPr>
              <w:t>, Chowdhury et al. (2017)</w:t>
            </w:r>
          </w:p>
        </w:tc>
      </w:tr>
      <w:tr w:rsidR="00BE0259" w14:paraId="7DCC4FED" w14:textId="77777777" w:rsidTr="00BE0259">
        <w:tc>
          <w:tcPr>
            <w:tcW w:w="917" w:type="dxa"/>
          </w:tcPr>
          <w:p w14:paraId="7BE3F624" w14:textId="77777777" w:rsidR="00BE0259" w:rsidRDefault="00BE0259" w:rsidP="00BE0259">
            <w:pPr>
              <w:jc w:val="center"/>
            </w:pPr>
            <w:r>
              <w:t>4</w:t>
            </w:r>
          </w:p>
        </w:tc>
        <w:tc>
          <w:tcPr>
            <w:tcW w:w="4669" w:type="dxa"/>
          </w:tcPr>
          <w:p w14:paraId="7366BBA3" w14:textId="17630463" w:rsidR="00BE0259" w:rsidRDefault="00BE0259" w:rsidP="00BE0259">
            <w:pPr>
              <w:jc w:val="both"/>
            </w:pPr>
            <w:r w:rsidRPr="00CC5E91">
              <w:rPr>
                <w:rFonts w:ascii="Times New Roman" w:hAnsi="Times New Roman" w:cs="Times New Roman"/>
              </w:rPr>
              <w:t>Linking Ideas</w:t>
            </w:r>
            <w:r w:rsidR="005C2AF5">
              <w:rPr>
                <w:rFonts w:ascii="Times New Roman" w:hAnsi="Times New Roman" w:cs="Times New Roman"/>
              </w:rPr>
              <w:t>; Writing a Conclusion</w:t>
            </w:r>
          </w:p>
        </w:tc>
        <w:tc>
          <w:tcPr>
            <w:tcW w:w="3764" w:type="dxa"/>
          </w:tcPr>
          <w:p w14:paraId="47395706" w14:textId="39D6CD8D" w:rsidR="00BE0259" w:rsidRDefault="00BE0259" w:rsidP="00BE0259">
            <w:pPr>
              <w:jc w:val="both"/>
            </w:pPr>
            <w:r w:rsidRPr="00CC5E91">
              <w:rPr>
                <w:rFonts w:ascii="Times New Roman" w:hAnsi="Times New Roman" w:cs="Times New Roman"/>
              </w:rPr>
              <w:t xml:space="preserve">Unit </w:t>
            </w:r>
            <w:r w:rsidR="003578C1">
              <w:rPr>
                <w:rFonts w:ascii="Times New Roman" w:hAnsi="Times New Roman" w:cs="Times New Roman"/>
              </w:rPr>
              <w:t>4</w:t>
            </w:r>
            <w:r w:rsidRPr="00CC5E91">
              <w:rPr>
                <w:rFonts w:ascii="Times New Roman" w:hAnsi="Times New Roman" w:cs="Times New Roman"/>
              </w:rPr>
              <w:t>, Chowdhury et al. (2017)</w:t>
            </w:r>
          </w:p>
        </w:tc>
      </w:tr>
      <w:tr w:rsidR="00BE0259" w14:paraId="3443D6E3" w14:textId="77777777" w:rsidTr="00BE0259">
        <w:tc>
          <w:tcPr>
            <w:tcW w:w="917" w:type="dxa"/>
          </w:tcPr>
          <w:p w14:paraId="222333A1" w14:textId="77777777" w:rsidR="00BE0259" w:rsidRDefault="00BE0259" w:rsidP="00BE0259">
            <w:pPr>
              <w:jc w:val="center"/>
            </w:pPr>
            <w:r>
              <w:t>5</w:t>
            </w:r>
          </w:p>
        </w:tc>
        <w:tc>
          <w:tcPr>
            <w:tcW w:w="4669" w:type="dxa"/>
          </w:tcPr>
          <w:p w14:paraId="3B807D22" w14:textId="3B5F4CC7" w:rsidR="00BE0259" w:rsidRDefault="00BD5409" w:rsidP="00BE0259">
            <w:pPr>
              <w:jc w:val="both"/>
            </w:pPr>
            <w:r w:rsidRPr="00CC5E91">
              <w:rPr>
                <w:rFonts w:ascii="Times New Roman" w:hAnsi="Times New Roman" w:cs="Times New Roman"/>
              </w:rPr>
              <w:t>Referencing: Paraphrasing and Summarizing</w:t>
            </w:r>
          </w:p>
        </w:tc>
        <w:tc>
          <w:tcPr>
            <w:tcW w:w="3764" w:type="dxa"/>
          </w:tcPr>
          <w:p w14:paraId="6F79F1F2" w14:textId="71A6D2A2" w:rsidR="00BE0259" w:rsidRDefault="00BE0259" w:rsidP="00BE0259">
            <w:pPr>
              <w:jc w:val="both"/>
            </w:pPr>
            <w:r w:rsidRPr="00CC5E91">
              <w:rPr>
                <w:rFonts w:ascii="Times New Roman" w:hAnsi="Times New Roman" w:cs="Times New Roman"/>
              </w:rPr>
              <w:t xml:space="preserve">Unit </w:t>
            </w:r>
            <w:r w:rsidR="003578C1">
              <w:rPr>
                <w:rFonts w:ascii="Times New Roman" w:hAnsi="Times New Roman" w:cs="Times New Roman"/>
              </w:rPr>
              <w:t>5</w:t>
            </w:r>
            <w:r w:rsidRPr="00CC5E91">
              <w:rPr>
                <w:rFonts w:ascii="Times New Roman" w:hAnsi="Times New Roman" w:cs="Times New Roman"/>
              </w:rPr>
              <w:t>, Chowdhury et al. (2017)</w:t>
            </w:r>
          </w:p>
        </w:tc>
      </w:tr>
      <w:tr w:rsidR="00BE0259" w14:paraId="15F5E19B" w14:textId="77777777" w:rsidTr="00BE0259">
        <w:tc>
          <w:tcPr>
            <w:tcW w:w="917" w:type="dxa"/>
          </w:tcPr>
          <w:p w14:paraId="2997939D" w14:textId="77777777" w:rsidR="00BE0259" w:rsidRDefault="00BE0259" w:rsidP="00BE0259">
            <w:pPr>
              <w:jc w:val="center"/>
            </w:pPr>
            <w:r>
              <w:t>6</w:t>
            </w:r>
          </w:p>
        </w:tc>
        <w:tc>
          <w:tcPr>
            <w:tcW w:w="4669" w:type="dxa"/>
          </w:tcPr>
          <w:p w14:paraId="3706BD03" w14:textId="7EE95BB2" w:rsidR="00BE0259" w:rsidRDefault="00C82E87" w:rsidP="00BE0259">
            <w:pPr>
              <w:jc w:val="both"/>
            </w:pPr>
            <w:r w:rsidRPr="00CC5E91">
              <w:rPr>
                <w:rFonts w:ascii="Times New Roman" w:hAnsi="Times New Roman" w:cs="Times New Roman"/>
              </w:rPr>
              <w:t>Academic Style</w:t>
            </w:r>
          </w:p>
        </w:tc>
        <w:tc>
          <w:tcPr>
            <w:tcW w:w="3764" w:type="dxa"/>
          </w:tcPr>
          <w:p w14:paraId="188DE0CD" w14:textId="0EA7F729" w:rsidR="00BE0259" w:rsidRDefault="00BE0259" w:rsidP="00BE0259">
            <w:pPr>
              <w:jc w:val="both"/>
            </w:pPr>
            <w:r w:rsidRPr="00CC5E91">
              <w:rPr>
                <w:rFonts w:ascii="Times New Roman" w:hAnsi="Times New Roman" w:cs="Times New Roman"/>
              </w:rPr>
              <w:t xml:space="preserve">Unit </w:t>
            </w:r>
            <w:r w:rsidR="003578C1">
              <w:rPr>
                <w:rFonts w:ascii="Times New Roman" w:hAnsi="Times New Roman" w:cs="Times New Roman"/>
              </w:rPr>
              <w:t>7</w:t>
            </w:r>
            <w:r w:rsidRPr="00CC5E91">
              <w:rPr>
                <w:rFonts w:ascii="Times New Roman" w:hAnsi="Times New Roman" w:cs="Times New Roman"/>
              </w:rPr>
              <w:t>, Chowdhury et al. (2017)</w:t>
            </w:r>
          </w:p>
        </w:tc>
      </w:tr>
      <w:tr w:rsidR="00BE0259" w14:paraId="2E81B6CD" w14:textId="77777777" w:rsidTr="00BE0259">
        <w:tc>
          <w:tcPr>
            <w:tcW w:w="917" w:type="dxa"/>
          </w:tcPr>
          <w:p w14:paraId="14DCB594" w14:textId="77777777" w:rsidR="00BE0259" w:rsidRDefault="00BE0259" w:rsidP="00BE0259">
            <w:pPr>
              <w:jc w:val="center"/>
            </w:pPr>
            <w:r>
              <w:t>7</w:t>
            </w:r>
          </w:p>
        </w:tc>
        <w:tc>
          <w:tcPr>
            <w:tcW w:w="4669" w:type="dxa"/>
          </w:tcPr>
          <w:p w14:paraId="722EA011" w14:textId="747BCE74" w:rsidR="00BE0259" w:rsidRDefault="009F61CF" w:rsidP="00BE0259">
            <w:pPr>
              <w:jc w:val="both"/>
            </w:pPr>
            <w:r w:rsidRPr="00CC5E91">
              <w:rPr>
                <w:rFonts w:ascii="Times New Roman" w:hAnsi="Times New Roman" w:cs="Times New Roman"/>
              </w:rPr>
              <w:t>Types of Writing: Comparison and Contrast</w:t>
            </w:r>
          </w:p>
        </w:tc>
        <w:tc>
          <w:tcPr>
            <w:tcW w:w="3764" w:type="dxa"/>
          </w:tcPr>
          <w:p w14:paraId="01BF99F3" w14:textId="07112D1A" w:rsidR="00BE0259" w:rsidRDefault="00BE0259" w:rsidP="00BE0259">
            <w:pPr>
              <w:jc w:val="both"/>
            </w:pPr>
            <w:r w:rsidRPr="00CC5E91">
              <w:rPr>
                <w:rFonts w:ascii="Times New Roman" w:hAnsi="Times New Roman" w:cs="Times New Roman"/>
              </w:rPr>
              <w:t xml:space="preserve">Unit </w:t>
            </w:r>
            <w:r w:rsidR="009F61CF">
              <w:rPr>
                <w:rFonts w:ascii="Times New Roman" w:hAnsi="Times New Roman" w:cs="Times New Roman"/>
              </w:rPr>
              <w:t>9</w:t>
            </w:r>
            <w:r w:rsidRPr="00CC5E91">
              <w:rPr>
                <w:rFonts w:ascii="Times New Roman" w:hAnsi="Times New Roman" w:cs="Times New Roman"/>
              </w:rPr>
              <w:t>, Chowdhury et al. (2017)</w:t>
            </w:r>
          </w:p>
        </w:tc>
      </w:tr>
      <w:tr w:rsidR="00BE0259" w14:paraId="3C214FA0" w14:textId="77777777" w:rsidTr="00BE0259">
        <w:tc>
          <w:tcPr>
            <w:tcW w:w="917" w:type="dxa"/>
          </w:tcPr>
          <w:p w14:paraId="414EA0CE" w14:textId="77777777" w:rsidR="00BE0259" w:rsidRDefault="00BE0259" w:rsidP="00BE0259">
            <w:pPr>
              <w:jc w:val="center"/>
            </w:pPr>
            <w:r>
              <w:t>8</w:t>
            </w:r>
          </w:p>
        </w:tc>
        <w:tc>
          <w:tcPr>
            <w:tcW w:w="4669" w:type="dxa"/>
          </w:tcPr>
          <w:p w14:paraId="007BD083" w14:textId="0C08CDEE" w:rsidR="00BE0259" w:rsidRDefault="00C444D4" w:rsidP="00BE0259">
            <w:pPr>
              <w:jc w:val="both"/>
            </w:pPr>
            <w:r w:rsidRPr="00CC5E91">
              <w:rPr>
                <w:rFonts w:ascii="Times New Roman" w:hAnsi="Times New Roman" w:cs="Times New Roman"/>
              </w:rPr>
              <w:t>Cause and Effect</w:t>
            </w:r>
          </w:p>
        </w:tc>
        <w:tc>
          <w:tcPr>
            <w:tcW w:w="3764" w:type="dxa"/>
          </w:tcPr>
          <w:p w14:paraId="28FAE49E" w14:textId="7D8B5155" w:rsidR="00BE0259" w:rsidRDefault="00BE0259" w:rsidP="00BE0259">
            <w:pPr>
              <w:jc w:val="both"/>
            </w:pPr>
            <w:r w:rsidRPr="00CC5E91">
              <w:rPr>
                <w:rFonts w:ascii="Times New Roman" w:hAnsi="Times New Roman" w:cs="Times New Roman"/>
              </w:rPr>
              <w:t xml:space="preserve">Unit </w:t>
            </w:r>
            <w:r w:rsidR="009F61CF">
              <w:rPr>
                <w:rFonts w:ascii="Times New Roman" w:hAnsi="Times New Roman" w:cs="Times New Roman"/>
              </w:rPr>
              <w:t>10</w:t>
            </w:r>
            <w:r w:rsidRPr="00CC5E91">
              <w:rPr>
                <w:rFonts w:ascii="Times New Roman" w:hAnsi="Times New Roman" w:cs="Times New Roman"/>
              </w:rPr>
              <w:t>, Chowdhury et al. (2017)</w:t>
            </w:r>
          </w:p>
        </w:tc>
      </w:tr>
      <w:tr w:rsidR="00BE0259" w14:paraId="4F683C60" w14:textId="77777777" w:rsidTr="00BE0259">
        <w:tc>
          <w:tcPr>
            <w:tcW w:w="917" w:type="dxa"/>
          </w:tcPr>
          <w:p w14:paraId="64F88461" w14:textId="77777777" w:rsidR="00BE0259" w:rsidRDefault="00BE0259" w:rsidP="00BE0259">
            <w:pPr>
              <w:jc w:val="center"/>
            </w:pPr>
            <w:r>
              <w:t>9</w:t>
            </w:r>
          </w:p>
        </w:tc>
        <w:tc>
          <w:tcPr>
            <w:tcW w:w="4669" w:type="dxa"/>
          </w:tcPr>
          <w:p w14:paraId="2CFB57E7" w14:textId="269D1A39" w:rsidR="00BE0259" w:rsidRDefault="00A876B8" w:rsidP="00BE0259">
            <w:pPr>
              <w:jc w:val="both"/>
            </w:pPr>
            <w:r w:rsidRPr="00CC5E91">
              <w:rPr>
                <w:rFonts w:ascii="Times New Roman" w:hAnsi="Times New Roman" w:cs="Times New Roman"/>
              </w:rPr>
              <w:t>Argument and problem – solving</w:t>
            </w:r>
          </w:p>
        </w:tc>
        <w:tc>
          <w:tcPr>
            <w:tcW w:w="3764" w:type="dxa"/>
          </w:tcPr>
          <w:p w14:paraId="41680A84" w14:textId="3CD8BCA4" w:rsidR="00BE0259" w:rsidRDefault="00BE0259" w:rsidP="00BE0259">
            <w:pPr>
              <w:jc w:val="both"/>
            </w:pPr>
            <w:r w:rsidRPr="00CC5E91">
              <w:rPr>
                <w:rFonts w:ascii="Times New Roman" w:hAnsi="Times New Roman" w:cs="Times New Roman"/>
              </w:rPr>
              <w:t xml:space="preserve">Unit </w:t>
            </w:r>
            <w:r w:rsidR="00665DF5">
              <w:rPr>
                <w:rFonts w:ascii="Times New Roman" w:hAnsi="Times New Roman" w:cs="Times New Roman"/>
              </w:rPr>
              <w:t>11</w:t>
            </w:r>
            <w:r w:rsidRPr="00CC5E91">
              <w:rPr>
                <w:rFonts w:ascii="Times New Roman" w:hAnsi="Times New Roman" w:cs="Times New Roman"/>
              </w:rPr>
              <w:t>, Chowdhury et al. (2017)</w:t>
            </w:r>
          </w:p>
        </w:tc>
      </w:tr>
      <w:tr w:rsidR="00BE0259" w14:paraId="3E6CCAA4" w14:textId="77777777" w:rsidTr="00BE0259">
        <w:tc>
          <w:tcPr>
            <w:tcW w:w="917" w:type="dxa"/>
          </w:tcPr>
          <w:p w14:paraId="6CE10138" w14:textId="77777777" w:rsidR="00BE0259" w:rsidRDefault="00BE0259" w:rsidP="00BE0259">
            <w:pPr>
              <w:jc w:val="center"/>
            </w:pPr>
            <w:r>
              <w:t>10</w:t>
            </w:r>
          </w:p>
        </w:tc>
        <w:tc>
          <w:tcPr>
            <w:tcW w:w="4669" w:type="dxa"/>
          </w:tcPr>
          <w:p w14:paraId="0EF8B317" w14:textId="77777777" w:rsidR="00BE0259" w:rsidRDefault="00BE0259" w:rsidP="00BE0259">
            <w:pPr>
              <w:jc w:val="both"/>
            </w:pPr>
          </w:p>
        </w:tc>
        <w:tc>
          <w:tcPr>
            <w:tcW w:w="3764" w:type="dxa"/>
          </w:tcPr>
          <w:p w14:paraId="75FB22A3" w14:textId="77777777" w:rsidR="00BE0259" w:rsidRDefault="00BE0259" w:rsidP="00BE0259">
            <w:pPr>
              <w:jc w:val="both"/>
            </w:pPr>
          </w:p>
        </w:tc>
      </w:tr>
    </w:tbl>
    <w:p w14:paraId="6EA6C021" w14:textId="77777777" w:rsidR="00305481" w:rsidRDefault="00305481" w:rsidP="00305481"/>
    <w:p w14:paraId="0E25A7EE" w14:textId="77777777" w:rsidR="00305481" w:rsidRPr="00D8628B" w:rsidRDefault="00305481" w:rsidP="00305481">
      <w:pPr>
        <w:spacing w:after="0" w:line="240" w:lineRule="auto"/>
        <w:jc w:val="both"/>
        <w:rPr>
          <w:b/>
          <w:bCs/>
        </w:rPr>
      </w:pPr>
      <w:r w:rsidRPr="00D8628B">
        <w:rPr>
          <w:b/>
          <w:bCs/>
        </w:rPr>
        <w:t>Course Policies</w:t>
      </w:r>
    </w:p>
    <w:p w14:paraId="55A80557" w14:textId="77777777" w:rsidR="00305481" w:rsidRDefault="00305481" w:rsidP="00305481">
      <w:pPr>
        <w:spacing w:after="0" w:line="240" w:lineRule="auto"/>
        <w:jc w:val="both"/>
      </w:pPr>
      <w:r>
        <w:rPr>
          <w:b/>
          <w:bCs/>
        </w:rPr>
        <w:t xml:space="preserve">Class </w:t>
      </w:r>
      <w:r w:rsidRPr="00D8628B">
        <w:rPr>
          <w:b/>
          <w:bCs/>
        </w:rPr>
        <w:t>Attendance</w:t>
      </w:r>
      <w:r>
        <w:t>: Students must attend at least 80% of classes to pass the course. Students are expected to come to class having completed the readings assigned for each lecture to qualify participation marks.</w:t>
      </w:r>
    </w:p>
    <w:p w14:paraId="29E1B712" w14:textId="77777777" w:rsidR="00305481" w:rsidRDefault="00305481" w:rsidP="00305481">
      <w:pPr>
        <w:spacing w:after="0" w:line="240" w:lineRule="auto"/>
        <w:jc w:val="both"/>
      </w:pPr>
      <w:r w:rsidRPr="00D8628B">
        <w:rPr>
          <w:b/>
          <w:bCs/>
        </w:rPr>
        <w:t>Class Participation</w:t>
      </w:r>
      <w:r>
        <w:t>: Students will get mark for their timely attendance. Participation marks will be assigned based on a student’s active participation during the class, such as responding to questions asked by the instructor, raising discussion questions, contributing to discussion and active learning activities.</w:t>
      </w:r>
    </w:p>
    <w:p w14:paraId="5338E68F" w14:textId="77777777" w:rsidR="00305481" w:rsidRDefault="00305481" w:rsidP="00305481">
      <w:pPr>
        <w:spacing w:after="0" w:line="240" w:lineRule="auto"/>
        <w:jc w:val="both"/>
      </w:pPr>
      <w:r>
        <w:rPr>
          <w:b/>
          <w:bCs/>
        </w:rPr>
        <w:t>Use of Electronic Devices</w:t>
      </w:r>
      <w:r>
        <w:t xml:space="preserve">: The use of mobile phones, </w:t>
      </w:r>
      <w:r w:rsidRPr="00A1216B">
        <w:t>laptops</w:t>
      </w:r>
      <w:r>
        <w:t xml:space="preserve"> and similar devices in the classroom is a distraction from teaching purpose, and thus is not permitted unless the class requires it. </w:t>
      </w:r>
    </w:p>
    <w:p w14:paraId="48F1DE8E" w14:textId="77777777" w:rsidR="00305481" w:rsidRDefault="00305481" w:rsidP="00305481">
      <w:pPr>
        <w:spacing w:after="0" w:line="240" w:lineRule="auto"/>
        <w:jc w:val="both"/>
      </w:pPr>
      <w:r w:rsidRPr="00316157">
        <w:rPr>
          <w:b/>
          <w:bCs/>
        </w:rPr>
        <w:t>Student Counselling</w:t>
      </w:r>
      <w:r>
        <w:t>: Office hour is listed on the door of the faculty room. Alternatively, students may also try to arrange an appointment via email for a time.</w:t>
      </w:r>
      <w:r w:rsidRPr="004B6900">
        <w:t xml:space="preserve"> </w:t>
      </w:r>
      <w:r>
        <w:t>Students are expected to check their VUES accounts regularly.</w:t>
      </w:r>
    </w:p>
    <w:p w14:paraId="01F3C8ED" w14:textId="018FA5AE" w:rsidR="00305481" w:rsidRDefault="00305481" w:rsidP="00305481">
      <w:pPr>
        <w:spacing w:after="0" w:line="240" w:lineRule="auto"/>
        <w:jc w:val="both"/>
      </w:pPr>
      <w:r w:rsidRPr="00926E81">
        <w:rPr>
          <w:b/>
          <w:bCs/>
        </w:rPr>
        <w:t>Assignment Submission Policy</w:t>
      </w:r>
      <w:r>
        <w:rPr>
          <w:b/>
          <w:bCs/>
        </w:rPr>
        <w:t xml:space="preserve">: </w:t>
      </w:r>
      <w:r>
        <w:t xml:space="preserve">All submission should contain a cover page with providing the following information a) course code and name, b) name of the instructor, c) type of assignment, d) name of the student(s) e) student ID, f) date. </w:t>
      </w:r>
      <w:r w:rsidRPr="0006304C">
        <w:t>Unless pre-approved, all submissions should be made in print</w:t>
      </w:r>
      <w:r>
        <w:t xml:space="preserve">. </w:t>
      </w:r>
      <w:r w:rsidRPr="0006304C">
        <w:t>Written assignments handed in late without prior notification and valid excuse will be penalized</w:t>
      </w:r>
      <w:r>
        <w:t>.</w:t>
      </w:r>
    </w:p>
    <w:p w14:paraId="006FEFB0" w14:textId="77777777" w:rsidR="00305481" w:rsidRDefault="00305481" w:rsidP="00305481">
      <w:pPr>
        <w:spacing w:after="0" w:line="240" w:lineRule="auto"/>
        <w:jc w:val="both"/>
      </w:pPr>
      <w:r w:rsidRPr="0039326E">
        <w:rPr>
          <w:b/>
          <w:bCs/>
        </w:rPr>
        <w:t>Academic Integrity</w:t>
      </w:r>
      <w:r>
        <w:t>: The consequences of cheating, plagiarism, and other forms of academic dishonesty are serious.</w:t>
      </w:r>
    </w:p>
    <w:p w14:paraId="614AE045" w14:textId="77777777" w:rsidR="00305481" w:rsidRDefault="00305481" w:rsidP="00305481">
      <w:pPr>
        <w:spacing w:after="0" w:line="240" w:lineRule="auto"/>
      </w:pPr>
    </w:p>
    <w:p w14:paraId="108AA3C9" w14:textId="77777777" w:rsidR="00305481" w:rsidRPr="00F92211" w:rsidRDefault="00305481" w:rsidP="00305481">
      <w:pPr>
        <w:spacing w:after="0" w:line="240" w:lineRule="auto"/>
        <w:rPr>
          <w:b/>
          <w:bCs/>
        </w:rPr>
      </w:pPr>
      <w:r w:rsidRPr="00F92211">
        <w:rPr>
          <w:b/>
          <w:bCs/>
        </w:rPr>
        <w:t>Assessment Tasks and Grades</w:t>
      </w:r>
    </w:p>
    <w:p w14:paraId="31BA0BE5" w14:textId="77777777" w:rsidR="00305481" w:rsidRDefault="00305481" w:rsidP="00305481">
      <w:pPr>
        <w:spacing w:after="0" w:line="240" w:lineRule="auto"/>
      </w:pPr>
    </w:p>
    <w:tbl>
      <w:tblPr>
        <w:tblStyle w:val="ListTable2"/>
        <w:tblW w:w="0" w:type="auto"/>
        <w:jc w:val="center"/>
        <w:tblLook w:val="04A0" w:firstRow="1" w:lastRow="0" w:firstColumn="1" w:lastColumn="0" w:noHBand="0" w:noVBand="1"/>
      </w:tblPr>
      <w:tblGrid>
        <w:gridCol w:w="630"/>
        <w:gridCol w:w="4424"/>
        <w:gridCol w:w="981"/>
      </w:tblGrid>
      <w:tr w:rsidR="00305481" w:rsidRPr="00850968" w14:paraId="3E831431" w14:textId="77777777" w:rsidTr="00E870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14:paraId="49671AAB" w14:textId="77777777" w:rsidR="00305481" w:rsidRPr="00850968" w:rsidRDefault="00305481" w:rsidP="00E8708A">
            <w:r>
              <w:t>i</w:t>
            </w:r>
            <w:r w:rsidRPr="00850968">
              <w:t>.</w:t>
            </w:r>
          </w:p>
        </w:tc>
        <w:tc>
          <w:tcPr>
            <w:tcW w:w="4424" w:type="dxa"/>
          </w:tcPr>
          <w:p w14:paraId="13770118" w14:textId="77777777" w:rsidR="00305481" w:rsidRPr="00850968" w:rsidRDefault="00305481" w:rsidP="00E8708A">
            <w:pPr>
              <w:cnfStyle w:val="100000000000" w:firstRow="1" w:lastRow="0" w:firstColumn="0" w:lastColumn="0" w:oddVBand="0" w:evenVBand="0" w:oddHBand="0" w:evenHBand="0" w:firstRowFirstColumn="0" w:firstRowLastColumn="0" w:lastRowFirstColumn="0" w:lastRowLastColumn="0"/>
            </w:pPr>
            <w:r w:rsidRPr="00850968">
              <w:t xml:space="preserve">Term Exam </w:t>
            </w:r>
          </w:p>
        </w:tc>
        <w:tc>
          <w:tcPr>
            <w:tcW w:w="981" w:type="dxa"/>
          </w:tcPr>
          <w:p w14:paraId="5771A991" w14:textId="77777777" w:rsidR="00305481" w:rsidRPr="00850968" w:rsidRDefault="00305481" w:rsidP="00E8708A">
            <w:pPr>
              <w:cnfStyle w:val="100000000000" w:firstRow="1" w:lastRow="0" w:firstColumn="0" w:lastColumn="0" w:oddVBand="0" w:evenVBand="0" w:oddHBand="0" w:evenHBand="0" w:firstRowFirstColumn="0" w:firstRowLastColumn="0" w:lastRowFirstColumn="0" w:lastRowLastColumn="0"/>
            </w:pPr>
            <w:r w:rsidRPr="00850968">
              <w:t>40%</w:t>
            </w:r>
          </w:p>
        </w:tc>
      </w:tr>
      <w:tr w:rsidR="00305481" w:rsidRPr="00850968" w14:paraId="65D19ED3" w14:textId="77777777" w:rsidTr="00E87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14:paraId="45AA6096" w14:textId="77777777" w:rsidR="00305481" w:rsidRPr="00850968" w:rsidRDefault="00305481" w:rsidP="00E8708A">
            <w:r w:rsidRPr="00850968">
              <w:t>ii.</w:t>
            </w:r>
          </w:p>
        </w:tc>
        <w:tc>
          <w:tcPr>
            <w:tcW w:w="4424" w:type="dxa"/>
          </w:tcPr>
          <w:p w14:paraId="34482A97" w14:textId="77777777" w:rsidR="00305481" w:rsidRPr="00850968" w:rsidRDefault="00305481" w:rsidP="00E8708A">
            <w:pPr>
              <w:cnfStyle w:val="000000100000" w:firstRow="0" w:lastRow="0" w:firstColumn="0" w:lastColumn="0" w:oddVBand="0" w:evenVBand="0" w:oddHBand="1" w:evenHBand="0" w:firstRowFirstColumn="0" w:firstRowLastColumn="0" w:lastRowFirstColumn="0" w:lastRowLastColumn="0"/>
            </w:pPr>
            <w:r w:rsidRPr="00850968">
              <w:t xml:space="preserve">Quizzes </w:t>
            </w:r>
          </w:p>
        </w:tc>
        <w:tc>
          <w:tcPr>
            <w:tcW w:w="981" w:type="dxa"/>
          </w:tcPr>
          <w:p w14:paraId="4F96C35D" w14:textId="77777777" w:rsidR="00305481" w:rsidRPr="00850968" w:rsidRDefault="00305481" w:rsidP="00E8708A">
            <w:pPr>
              <w:cnfStyle w:val="000000100000" w:firstRow="0" w:lastRow="0" w:firstColumn="0" w:lastColumn="0" w:oddVBand="0" w:evenVBand="0" w:oddHBand="1" w:evenHBand="0" w:firstRowFirstColumn="0" w:firstRowLastColumn="0" w:lastRowFirstColumn="0" w:lastRowLastColumn="0"/>
            </w:pPr>
            <w:r w:rsidRPr="00850968">
              <w:t>20%</w:t>
            </w:r>
          </w:p>
        </w:tc>
      </w:tr>
      <w:tr w:rsidR="00305481" w:rsidRPr="00850968" w14:paraId="5D04A077" w14:textId="77777777" w:rsidTr="00E8708A">
        <w:trPr>
          <w:jc w:val="center"/>
        </w:trPr>
        <w:tc>
          <w:tcPr>
            <w:cnfStyle w:val="001000000000" w:firstRow="0" w:lastRow="0" w:firstColumn="1" w:lastColumn="0" w:oddVBand="0" w:evenVBand="0" w:oddHBand="0" w:evenHBand="0" w:firstRowFirstColumn="0" w:firstRowLastColumn="0" w:lastRowFirstColumn="0" w:lastRowLastColumn="0"/>
            <w:tcW w:w="630" w:type="dxa"/>
          </w:tcPr>
          <w:p w14:paraId="35C6EEE7" w14:textId="77777777" w:rsidR="00305481" w:rsidRPr="00850968" w:rsidRDefault="00305481" w:rsidP="00E8708A">
            <w:r w:rsidRPr="00850968">
              <w:t>iii.</w:t>
            </w:r>
          </w:p>
        </w:tc>
        <w:tc>
          <w:tcPr>
            <w:tcW w:w="4424" w:type="dxa"/>
          </w:tcPr>
          <w:p w14:paraId="2BC7DD20" w14:textId="5780934A" w:rsidR="00305481" w:rsidRPr="00850968" w:rsidRDefault="00270954" w:rsidP="00E8708A">
            <w:pPr>
              <w:cnfStyle w:val="000000000000" w:firstRow="0" w:lastRow="0" w:firstColumn="0" w:lastColumn="0" w:oddVBand="0" w:evenVBand="0" w:oddHBand="0" w:evenHBand="0" w:firstRowFirstColumn="0" w:firstRowLastColumn="0" w:lastRowFirstColumn="0" w:lastRowLastColumn="0"/>
            </w:pPr>
            <w:r>
              <w:t>Assignments</w:t>
            </w:r>
          </w:p>
        </w:tc>
        <w:tc>
          <w:tcPr>
            <w:tcW w:w="981" w:type="dxa"/>
          </w:tcPr>
          <w:p w14:paraId="2D7AD9DC" w14:textId="77777777" w:rsidR="00305481" w:rsidRPr="00850968" w:rsidRDefault="00305481" w:rsidP="00E8708A">
            <w:pPr>
              <w:cnfStyle w:val="000000000000" w:firstRow="0" w:lastRow="0" w:firstColumn="0" w:lastColumn="0" w:oddVBand="0" w:evenVBand="0" w:oddHBand="0" w:evenHBand="0" w:firstRowFirstColumn="0" w:firstRowLastColumn="0" w:lastRowFirstColumn="0" w:lastRowLastColumn="0"/>
            </w:pPr>
            <w:r w:rsidRPr="00850968">
              <w:t>20%</w:t>
            </w:r>
          </w:p>
        </w:tc>
      </w:tr>
      <w:tr w:rsidR="00305481" w:rsidRPr="00850968" w14:paraId="45523DE7" w14:textId="77777777" w:rsidTr="00E87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14:paraId="158CE361" w14:textId="77777777" w:rsidR="00305481" w:rsidRPr="00850968" w:rsidRDefault="00305481" w:rsidP="00E8708A">
            <w:r w:rsidRPr="00850968">
              <w:t>iv.</w:t>
            </w:r>
          </w:p>
        </w:tc>
        <w:tc>
          <w:tcPr>
            <w:tcW w:w="4424" w:type="dxa"/>
          </w:tcPr>
          <w:p w14:paraId="58FBB42A" w14:textId="77777777" w:rsidR="00305481" w:rsidRPr="00850968" w:rsidRDefault="00305481" w:rsidP="00E8708A">
            <w:pPr>
              <w:cnfStyle w:val="000000100000" w:firstRow="0" w:lastRow="0" w:firstColumn="0" w:lastColumn="0" w:oddVBand="0" w:evenVBand="0" w:oddHBand="1" w:evenHBand="0" w:firstRowFirstColumn="0" w:firstRowLastColumn="0" w:lastRowFirstColumn="0" w:lastRowLastColumn="0"/>
            </w:pPr>
            <w:r w:rsidRPr="00850968">
              <w:t>Attendance</w:t>
            </w:r>
          </w:p>
        </w:tc>
        <w:tc>
          <w:tcPr>
            <w:tcW w:w="981" w:type="dxa"/>
          </w:tcPr>
          <w:p w14:paraId="4B3B8460" w14:textId="77777777" w:rsidR="00305481" w:rsidRPr="00850968" w:rsidRDefault="00305481" w:rsidP="00E8708A">
            <w:pPr>
              <w:cnfStyle w:val="000000100000" w:firstRow="0" w:lastRow="0" w:firstColumn="0" w:lastColumn="0" w:oddVBand="0" w:evenVBand="0" w:oddHBand="1" w:evenHBand="0" w:firstRowFirstColumn="0" w:firstRowLastColumn="0" w:lastRowFirstColumn="0" w:lastRowLastColumn="0"/>
            </w:pPr>
            <w:r w:rsidRPr="00850968">
              <w:t>10%</w:t>
            </w:r>
          </w:p>
        </w:tc>
      </w:tr>
      <w:tr w:rsidR="00305481" w:rsidRPr="00850968" w14:paraId="72FEA5E9" w14:textId="77777777" w:rsidTr="00E8708A">
        <w:trPr>
          <w:jc w:val="center"/>
        </w:trPr>
        <w:tc>
          <w:tcPr>
            <w:cnfStyle w:val="001000000000" w:firstRow="0" w:lastRow="0" w:firstColumn="1" w:lastColumn="0" w:oddVBand="0" w:evenVBand="0" w:oddHBand="0" w:evenHBand="0" w:firstRowFirstColumn="0" w:firstRowLastColumn="0" w:lastRowFirstColumn="0" w:lastRowLastColumn="0"/>
            <w:tcW w:w="630" w:type="dxa"/>
          </w:tcPr>
          <w:p w14:paraId="7F1D9763" w14:textId="77777777" w:rsidR="00305481" w:rsidRPr="00850968" w:rsidRDefault="00305481" w:rsidP="00E8708A">
            <w:r w:rsidRPr="00850968">
              <w:t>v.</w:t>
            </w:r>
          </w:p>
        </w:tc>
        <w:tc>
          <w:tcPr>
            <w:tcW w:w="4424" w:type="dxa"/>
          </w:tcPr>
          <w:p w14:paraId="2D45B451" w14:textId="77777777" w:rsidR="00305481" w:rsidRPr="00850968" w:rsidRDefault="00305481" w:rsidP="00E8708A">
            <w:pPr>
              <w:cnfStyle w:val="000000000000" w:firstRow="0" w:lastRow="0" w:firstColumn="0" w:lastColumn="0" w:oddVBand="0" w:evenVBand="0" w:oddHBand="0" w:evenHBand="0" w:firstRowFirstColumn="0" w:firstRowLastColumn="0" w:lastRowFirstColumn="0" w:lastRowLastColumn="0"/>
            </w:pPr>
            <w:r w:rsidRPr="00850968">
              <w:t xml:space="preserve">Class Participation and Performance </w:t>
            </w:r>
          </w:p>
        </w:tc>
        <w:tc>
          <w:tcPr>
            <w:tcW w:w="981" w:type="dxa"/>
          </w:tcPr>
          <w:p w14:paraId="66234AEF" w14:textId="77777777" w:rsidR="00305481" w:rsidRPr="00850968" w:rsidRDefault="00305481" w:rsidP="00E8708A">
            <w:pPr>
              <w:cnfStyle w:val="000000000000" w:firstRow="0" w:lastRow="0" w:firstColumn="0" w:lastColumn="0" w:oddVBand="0" w:evenVBand="0" w:oddHBand="0" w:evenHBand="0" w:firstRowFirstColumn="0" w:firstRowLastColumn="0" w:lastRowFirstColumn="0" w:lastRowLastColumn="0"/>
            </w:pPr>
            <w:r w:rsidRPr="00850968">
              <w:t>10%</w:t>
            </w:r>
          </w:p>
        </w:tc>
      </w:tr>
      <w:tr w:rsidR="00305481" w:rsidRPr="00850968" w14:paraId="6EFF78E0" w14:textId="77777777" w:rsidTr="00E87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14:paraId="2E2FDBD9" w14:textId="77777777" w:rsidR="00305481" w:rsidRPr="00850968" w:rsidRDefault="00305481" w:rsidP="00E8708A"/>
        </w:tc>
        <w:tc>
          <w:tcPr>
            <w:tcW w:w="4424" w:type="dxa"/>
          </w:tcPr>
          <w:p w14:paraId="7D11E593" w14:textId="77777777" w:rsidR="00305481" w:rsidRPr="00850968" w:rsidRDefault="00305481" w:rsidP="00E8708A">
            <w:pPr>
              <w:cnfStyle w:val="000000100000" w:firstRow="0" w:lastRow="0" w:firstColumn="0" w:lastColumn="0" w:oddVBand="0" w:evenVBand="0" w:oddHBand="1" w:evenHBand="0" w:firstRowFirstColumn="0" w:firstRowLastColumn="0" w:lastRowFirstColumn="0" w:lastRowLastColumn="0"/>
            </w:pPr>
            <w:r w:rsidRPr="00850968">
              <w:t>Total</w:t>
            </w:r>
          </w:p>
        </w:tc>
        <w:tc>
          <w:tcPr>
            <w:tcW w:w="981" w:type="dxa"/>
          </w:tcPr>
          <w:p w14:paraId="32A13F20" w14:textId="77777777" w:rsidR="00305481" w:rsidRPr="00850968" w:rsidRDefault="00305481" w:rsidP="00E8708A">
            <w:pPr>
              <w:cnfStyle w:val="000000100000" w:firstRow="0" w:lastRow="0" w:firstColumn="0" w:lastColumn="0" w:oddVBand="0" w:evenVBand="0" w:oddHBand="1" w:evenHBand="0" w:firstRowFirstColumn="0" w:firstRowLastColumn="0" w:lastRowFirstColumn="0" w:lastRowLastColumn="0"/>
            </w:pPr>
            <w:r w:rsidRPr="00850968">
              <w:t>100%</w:t>
            </w:r>
          </w:p>
        </w:tc>
      </w:tr>
    </w:tbl>
    <w:p w14:paraId="59CD29CD" w14:textId="77777777" w:rsidR="00305481" w:rsidRDefault="00305481" w:rsidP="00305481">
      <w:pPr>
        <w:spacing w:after="0" w:line="240" w:lineRule="auto"/>
      </w:pPr>
    </w:p>
    <w:tbl>
      <w:tblPr>
        <w:tblStyle w:val="TableGrid"/>
        <w:tblW w:w="9350" w:type="dxa"/>
        <w:tblLook w:val="04A0" w:firstRow="1" w:lastRow="0" w:firstColumn="1" w:lastColumn="0" w:noHBand="0" w:noVBand="1"/>
      </w:tblPr>
      <w:tblGrid>
        <w:gridCol w:w="9350"/>
      </w:tblGrid>
      <w:tr w:rsidR="00581805" w14:paraId="7388F309" w14:textId="77777777" w:rsidTr="00581805">
        <w:tc>
          <w:tcPr>
            <w:tcW w:w="9350" w:type="dxa"/>
          </w:tcPr>
          <w:p w14:paraId="1CA335D0" w14:textId="77777777" w:rsidR="00581805" w:rsidRPr="00CC5E91" w:rsidRDefault="00581805" w:rsidP="00581805">
            <w:pPr>
              <w:rPr>
                <w:rFonts w:ascii="Times New Roman" w:hAnsi="Times New Roman" w:cs="Times New Roman"/>
                <w:b/>
              </w:rPr>
            </w:pPr>
            <w:r w:rsidRPr="00CC5E91">
              <w:rPr>
                <w:rFonts w:ascii="Times New Roman" w:hAnsi="Times New Roman" w:cs="Times New Roman"/>
                <w:b/>
              </w:rPr>
              <w:t xml:space="preserve">Text Books: </w:t>
            </w:r>
          </w:p>
          <w:p w14:paraId="1370559C" w14:textId="3C542908" w:rsidR="00581805" w:rsidRPr="00806612" w:rsidRDefault="00581805" w:rsidP="00581805">
            <w:r w:rsidRPr="00CC5E91">
              <w:rPr>
                <w:rFonts w:ascii="Times New Roman" w:hAnsi="Times New Roman" w:cs="Times New Roman"/>
              </w:rPr>
              <w:t>Chowdhury, Q.H., Rahman, A.R.M.M., &amp; Kamal, M.A. (2017</w:t>
            </w:r>
            <w:r w:rsidRPr="00CC5E91">
              <w:rPr>
                <w:rFonts w:ascii="Times New Roman" w:hAnsi="Times New Roman" w:cs="Times New Roman"/>
                <w:i/>
              </w:rPr>
              <w:t>). English for Academic Purposes 2 Essay and Report Writing. Dhaka</w:t>
            </w:r>
            <w:r w:rsidRPr="00CC5E91">
              <w:rPr>
                <w:rFonts w:ascii="Times New Roman" w:hAnsi="Times New Roman" w:cs="Times New Roman"/>
              </w:rPr>
              <w:t>: University Grants Commission of Bangladesh.</w:t>
            </w:r>
          </w:p>
        </w:tc>
      </w:tr>
      <w:tr w:rsidR="00581805" w14:paraId="2E931E0D" w14:textId="77777777" w:rsidTr="00581805">
        <w:tc>
          <w:tcPr>
            <w:tcW w:w="9350" w:type="dxa"/>
          </w:tcPr>
          <w:p w14:paraId="6ED76773" w14:textId="03B6E1CA" w:rsidR="00581805" w:rsidRPr="00806612" w:rsidRDefault="00581805" w:rsidP="00581805">
            <w:r w:rsidRPr="00CC5E91">
              <w:rPr>
                <w:rFonts w:ascii="Times New Roman" w:hAnsi="Times New Roman" w:cs="Times New Roman"/>
                <w:b/>
              </w:rPr>
              <w:t>Reference Book/ Materials:</w:t>
            </w:r>
            <w:r w:rsidRPr="00CC5E91">
              <w:rPr>
                <w:rFonts w:ascii="Times New Roman" w:hAnsi="Times New Roman" w:cs="Times New Roman"/>
              </w:rPr>
              <w:t xml:space="preserve">  Handouts distributed by course teacher.</w:t>
            </w:r>
          </w:p>
        </w:tc>
      </w:tr>
    </w:tbl>
    <w:p w14:paraId="5CF4A97E" w14:textId="77777777" w:rsidR="00305481" w:rsidRDefault="00305481" w:rsidP="00305481"/>
    <w:p w14:paraId="581E86FD" w14:textId="77777777" w:rsidR="007D387B" w:rsidRDefault="007D387B"/>
    <w:sectPr w:rsidR="007D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F62FE"/>
    <w:multiLevelType w:val="hybridMultilevel"/>
    <w:tmpl w:val="D312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A3E8E"/>
    <w:multiLevelType w:val="hybridMultilevel"/>
    <w:tmpl w:val="B4E0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7B"/>
    <w:rsid w:val="00270954"/>
    <w:rsid w:val="00305481"/>
    <w:rsid w:val="003578C1"/>
    <w:rsid w:val="00581805"/>
    <w:rsid w:val="005C2AF5"/>
    <w:rsid w:val="00665DF5"/>
    <w:rsid w:val="006E4C99"/>
    <w:rsid w:val="007D387B"/>
    <w:rsid w:val="009F61CF"/>
    <w:rsid w:val="00A876B8"/>
    <w:rsid w:val="00AC6CF4"/>
    <w:rsid w:val="00BD5409"/>
    <w:rsid w:val="00BE0259"/>
    <w:rsid w:val="00C444D4"/>
    <w:rsid w:val="00C82E87"/>
    <w:rsid w:val="00EC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CE65"/>
  <w15:chartTrackingRefBased/>
  <w15:docId w15:val="{34235279-F4C8-4419-990D-01CE710F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87B"/>
    <w:pPr>
      <w:ind w:left="720"/>
      <w:contextualSpacing/>
    </w:pPr>
  </w:style>
  <w:style w:type="table" w:styleId="ListTable2">
    <w:name w:val="List Table 2"/>
    <w:basedOn w:val="TableNormal"/>
    <w:uiPriority w:val="47"/>
    <w:rsid w:val="0030548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C6A5F57DC5545A4B145735F884FA7" ma:contentTypeVersion="0" ma:contentTypeDescription="Create a new document." ma:contentTypeScope="" ma:versionID="da1a0269ce32d8ab21906a7856ab8d8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934E4-0510-4E94-8CF0-62C2C3828A45}"/>
</file>

<file path=customXml/itemProps2.xml><?xml version="1.0" encoding="utf-8"?>
<ds:datastoreItem xmlns:ds="http://schemas.openxmlformats.org/officeDocument/2006/customXml" ds:itemID="{9A6DAAE0-B281-4A5A-89F2-FC65F0CD410B}"/>
</file>

<file path=customXml/itemProps3.xml><?xml version="1.0" encoding="utf-8"?>
<ds:datastoreItem xmlns:ds="http://schemas.openxmlformats.org/officeDocument/2006/customXml" ds:itemID="{752F2CFA-C212-4B8B-8274-06167E31E090}"/>
</file>

<file path=docProps/app.xml><?xml version="1.0" encoding="utf-8"?>
<Properties xmlns="http://schemas.openxmlformats.org/officeDocument/2006/extended-properties" xmlns:vt="http://schemas.openxmlformats.org/officeDocument/2006/docPropsVTypes">
  <Template>Normal</Template>
  <TotalTime>12</TotalTime>
  <Pages>2</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Tasnia Tarannum</cp:lastModifiedBy>
  <cp:revision>14</cp:revision>
  <dcterms:created xsi:type="dcterms:W3CDTF">2020-06-26T07:23:00Z</dcterms:created>
  <dcterms:modified xsi:type="dcterms:W3CDTF">2020-06-26T07:40:00Z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0x010100F9EC6A5F57DC5545A4B145735F884FA7</vt:lpwstr>
  </property>
</Properties>
</file>