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MEMORANDUM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To: </w:t>
      </w:r>
      <w:r>
        <w:rPr>
          <w:rFonts w:ascii="Arial" w:cs="Arial" w:eastAsia="Arial" w:hAnsi="Arial"/>
          <w:sz w:val="18"/>
          <w:szCs w:val="18"/>
        </w:rPr>
        <w:t xml:space="preserve">Infrastructure leadership; Legal, Finance and Engineering reviewers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October 7, 2026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From: </w:t>
      </w:r>
      <w:r>
        <w:rPr>
          <w:rFonts w:ascii="Arial" w:cs="Arial" w:eastAsia="Arial" w:hAnsi="Arial"/>
          <w:sz w:val="18"/>
          <w:szCs w:val="18"/>
        </w:rPr>
        <w:t xml:space="preserve">[Your name]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Re: </w:t>
      </w:r>
      <w:r>
        <w:rPr>
          <w:rFonts w:ascii="Arial" w:cs="Arial" w:eastAsia="Arial" w:hAnsi="Arial"/>
          <w:sz w:val="18"/>
          <w:szCs w:val="18"/>
        </w:rPr>
        <w:t xml:space="preserve">Where to site a first-phase hyperscale deployment (illustrative 50-100 MW IT load, energized 2028-2029)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Basis: public data as of Oct 2026 (EIA, CBRE, JLL, utility and state filings, trade press). Portfolio analysis, not employer data. Companion workbook: DC_Site_Scoring_Model.xlsx.</w:t>
      </w:r>
    </w:p>
    <w:p>
      <w:pPr>
        <w:keepNext/>
        <w:pBdr>
          <w:bottom w:val="single" w:color="1F3864" w:sz="4" w:space="1"/>
        </w:pBdr>
        <w:spacing w:after="5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 Recommendation</w:t>
      </w:r>
    </w:p>
    <w:p>
      <w:pPr>
        <w:spacing w:after="60" w:line="252"/>
      </w:pPr>
      <w:r>
        <w:rPr>
          <w:rFonts w:ascii="Arial" w:cs="Arial" w:eastAsia="Arial" w:hAnsi="Arial"/>
          <w:sz w:val="18"/>
          <w:szCs w:val="18"/>
        </w:rPr>
        <w:t xml:space="preserve">Lead with Dallas-Fort Worth for the first phase,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targeting powered sites with a bridging-power plan.</w:t>
      </w:r>
      <w:r>
        <w:rPr>
          <w:rFonts w:ascii="Arial" w:cs="Arial" w:eastAsia="Arial" w:hAnsi="Arial"/>
          <w:sz w:val="18"/>
          <w:szCs w:val="18"/>
        </w:rPr>
        <w:t xml:space="preserve"> Keep Seattle/Quincy as the second option, best suited to latency-tolerant AI training. Do not plan new large-load capacity in Hillsboro or Northern Virginia on a 2028-2029 timeline. DFW ranks first in all six weighting scenarios (power-first, latency-first, cost-first, risk-first, speed-to-market, base) and stays first when every judgment-based variable is removed (sourced-data-only score: DFW 87, Seattle/Quincy 75, next best 44).</w:t>
      </w:r>
    </w:p>
    <w:p>
      <w:pPr>
        <w:keepNext/>
        <w:pBdr>
          <w:bottom w:val="single" w:color="1F3864" w:sz="4" w:space="1"/>
        </w:pBdr>
        <w:spacing w:after="5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 Results (18 variables, 7 categories; 0-100, relative to these six markets)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000"/>
        <w:gridCol w:w="708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score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 range*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drives it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Dallas-Fort Worth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72.5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to 1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Shortest reported time to power (~36 mo), lowest state industrial power price (6.12 c/kWh), most workable bridging-power options, central latency (~25 ms est.). 1.8% vacancy, 39.6 MW available.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Seattle / Quincy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61.8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to 3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Cheap, clean hydro and best climate. Held back by Grant PUD queue (~900 MW requested vs ~350 MW uncommitted), Seattle pause on &gt;20 MVA, and highest latency (~42 ms est.).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Columbus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47.3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to 4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Ample water, good latency. AEP Ohio 85% take-or-pay, reported ~84-month timelines, tax exemption paused.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Phoenix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41.1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to 5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Highest hazard and water-stress scores, 3-year tax-exemption pause, APS has made no new data-center commitments since January.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Northern Virginia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40.6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to 6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network ecosystem, but ~7-year wait for 100 MW and 0.24% vacancy. Strong only if latency/ecosystem dominate.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Hillsboro / Portland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to 6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0.21% vacancy, no contiguous 5 MW, 120-day moratorium, Schedule 96 contract terms, tax-break limits.</w:t>
            </w:r>
          </w:p>
        </w:tc>
      </w:tr>
    </w:tbl>
    <w:p>
      <w:pPr>
        <w:spacing w:after="40" w:before="3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*Best to worst rank across the six named scenarios. Categories: power and grid, market and pricing, network and latency, risk and resilience, policy and incentives, build and operations, growth headroom.</w:t>
      </w:r>
    </w:p>
    <w:p>
      <w:pPr>
        <w:keepNext/>
        <w:pBdr>
          <w:bottom w:val="single" w:color="1F3864" w:sz="4" w:space="1"/>
        </w:pBdr>
        <w:spacing w:after="5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 How robust is it?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sz w:val="18"/>
          <w:szCs w:val="18"/>
        </w:rPr>
        <w:t xml:space="preserve">Sweeping the Power &amp; Grid weight from 10% to 60% never changes the leader (DFW). A power-weight by latency-weight grid (15-45% by 5-30%) also leaves DFW first in every cell.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sz w:val="18"/>
          <w:szCs w:val="18"/>
        </w:rPr>
        <w:t xml:space="preserve">Seattle/Quincy is second in five of six scenarios and slips to third only when latency is weighted heavily (Columbus 54.0, Seattle 52.9, Northern Virginia 52.8).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sz w:val="18"/>
          <w:szCs w:val="18"/>
        </w:rPr>
        <w:t xml:space="preserve">Northern Virginia moves most with the weights (3rd to 6th): it is a latency/ecosystem play, not a power play.</w:t>
      </w:r>
    </w:p>
    <w:p>
      <w:pPr>
        <w:keepNext/>
        <w:pBdr>
          <w:bottom w:val="single" w:color="1F3864" w:sz="4" w:space="1"/>
        </w:pBdr>
        <w:spacing w:after="5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 Assumptions and limits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sz w:val="18"/>
          <w:szCs w:val="18"/>
        </w:rPr>
        <w:t xml:space="preserve">Illustrative requirement: 50-100 MW, hyperscale or AI workload, lease or build. Scores are relative to these six markets only.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About 49% of the base weight rests on analyst scores or estimates</w:t>
      </w:r>
      <w:r>
        <w:rPr>
          <w:rFonts w:ascii="Arial" w:cs="Arial" w:eastAsia="Arial" w:hAnsi="Arial"/>
          <w:sz w:val="18"/>
          <w:szCs w:val="18"/>
        </w:rPr>
        <w:t xml:space="preserve"> (tariff burden, grid cleanliness, local-approval risk, headroom, labor, climate, plus estimated time to power for Seattle and Hillsboro and estimated Seattle rent). Each is labeled in the Data sheet.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sz w:val="18"/>
          <w:szCs w:val="18"/>
        </w:rPr>
        <w:t xml:space="preserve">Power prices are 2024 state averages; real large-load tariffs differ. Rents and vacancy mix brokers, size tiers and dates; Phoenix vacancy is mid-2025. Latency is a physics estimate, not a measurement.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sz w:val="18"/>
          <w:szCs w:val="18"/>
        </w:rPr>
        <w:t xml:space="preserve">Official FEMA NRI county scores could not be pulled automatically; hazard scores combine NRI-based reporting with analyst judgment.</w:t>
      </w:r>
    </w:p>
    <w:p>
      <w:pPr>
        <w:keepNext/>
        <w:pBdr>
          <w:bottom w:val="single" w:color="1F3864" w:sz="4" w:space="1"/>
        </w:pBdr>
        <w:spacing w:after="5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 Risks to the DFW recommendation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Queue and timing. </w:t>
      </w:r>
      <w:r>
        <w:rPr>
          <w:rFonts w:ascii="Arial" w:cs="Arial" w:eastAsia="Arial" w:hAnsi="Arial"/>
          <w:sz w:val="18"/>
          <w:szCs w:val="18"/>
        </w:rPr>
        <w:t xml:space="preserve">ERCOT reports roughly 427-474 GW of large-load requests; its batch study began September 2026. Plan for slippage past 2028; one source says 24-36+ months from site acquisition to power.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SB6 terms. </w:t>
      </w:r>
      <w:r>
        <w:rPr>
          <w:rFonts w:ascii="Arial" w:cs="Arial" w:eastAsia="Arial" w:hAnsi="Arial"/>
          <w:sz w:val="18"/>
          <w:szCs w:val="18"/>
        </w:rPr>
        <w:t xml:space="preserve">Reported $50M of financial security per GW, study fees from $100,000, and curtailment rights during load shed for loads connecting after 2025.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Little to lease. </w:t>
      </w:r>
      <w:r>
        <w:rPr>
          <w:rFonts w:ascii="Arial" w:cs="Arial" w:eastAsia="Arial" w:hAnsi="Arial"/>
          <w:sz w:val="18"/>
          <w:szCs w:val="18"/>
        </w:rPr>
        <w:t xml:space="preserve">About 765 MW is under construction and roughly 95% preleased, and powered-land prices are rising; entitlement and rezoning timelines are long.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Policy and hazard. </w:t>
      </w:r>
      <w:r>
        <w:rPr>
          <w:rFonts w:ascii="Arial" w:cs="Arial" w:eastAsia="Arial" w:hAnsi="Arial"/>
          <w:sz w:val="18"/>
          <w:szCs w:val="18"/>
        </w:rPr>
        <w:t xml:space="preserve">Texas's sales-tax exemption is intact but reported as a possible 2027 repeal target; hail and flood exposure is high (2025 flooding affected substations in a major Texas market).</w:t>
      </w:r>
    </w:p>
    <w:p>
      <w:pPr>
        <w:keepNext/>
        <w:pBdr>
          <w:bottom w:val="single" w:color="1F3864" w:sz="4" w:space="1"/>
        </w:pBdr>
        <w:spacing w:after="5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 Open questions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Legal: </w:t>
      </w:r>
      <w:r>
        <w:rPr>
          <w:rFonts w:ascii="Arial" w:cs="Arial" w:eastAsia="Arial" w:hAnsi="Arial"/>
          <w:sz w:val="18"/>
          <w:szCs w:val="18"/>
        </w:rPr>
        <w:t xml:space="preserve">SB6 curtailment, disclosure and collateral obligations; take-or-pay floors (CBRE reports 60-85%) and triple-net structures; zoning and entitlement path; one aggregator lists a Texas action on new grid connections (3 Aug 2026) that I could not verify and should be confirmed with the PUCT.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Finance: </w:t>
      </w:r>
      <w:r>
        <w:rPr>
          <w:rFonts w:ascii="Arial" w:cs="Arial" w:eastAsia="Arial" w:hAnsi="Arial"/>
          <w:sz w:val="18"/>
          <w:szCs w:val="18"/>
        </w:rPr>
        <w:t xml:space="preserve">all-in cost per kW including NNN charges and power floors; funding interconnection deposits; value of the Texas exemption versus repeal risk; price of delay (every quarter late) versus a premium for earlier power; lease versus build.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Engineering: </w:t>
      </w:r>
      <w:r>
        <w:rPr>
          <w:rFonts w:ascii="Arial" w:cs="Arial" w:eastAsia="Arial" w:hAnsi="Arial"/>
          <w:sz w:val="18"/>
          <w:szCs w:val="18"/>
        </w:rPr>
        <w:t xml:space="preserve">latency tolerance of the workload (changes the weights and could favor Seattle/Quincy or Columbus); rack density and liquid-cooling conversion (over six months for retrofits); feasibility of behind-the-meter or bridging power; design for hail, flood and water use.</w:t>
      </w:r>
    </w:p>
    <w:p>
      <w:pPr>
        <w:pStyle w:val="ListParagraph"/>
        <w:numPr>
          <w:ilvl w:val="0"/>
          <w:numId w:val="2"/>
        </w:numPr>
        <w:spacing w:after="36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Next steps: </w:t>
      </w:r>
      <w:r>
        <w:rPr>
          <w:rFonts w:ascii="Arial" w:cs="Arial" w:eastAsia="Arial" w:hAnsi="Arial"/>
          <w:sz w:val="18"/>
          <w:szCs w:val="18"/>
        </w:rPr>
        <w:t xml:space="preserve">replace estimates with primary broker reports and the FEMA NRI download, request utility load studies for 3-5 DFW sites, and compare West Texas as an alternative (CBRE expects it to become a top-five market by 2028).</w:t>
      </w:r>
    </w:p>
    <w:sectPr>
      <w:pgSz w:w="12240" w:h="15840" w:orient="portrait"/>
      <w:pgMar w:top="900" w:right="730" w:bottom="800" w:left="7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2026-10-07T18:26:38.380Z</dcterms:created>
  <dcterms:modified xsi:type="dcterms:W3CDTF">2026-10-07T18:26:38.391Z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