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Pr>
          <w:rtl w:val="0"/>
        </w:rPr>
      </w:r>
    </w:p>
    <w:p w:rsidR="00000000" w:rsidDel="00000000" w:rsidP="00000000" w:rsidRDefault="00000000" w:rsidRPr="00000000" w14:paraId="00000002">
      <w:pPr>
        <w:spacing w:after="200" w:lineRule="auto"/>
        <w:jc w:val="center"/>
        <w:rPr/>
      </w:pPr>
      <w:r>
        <w:rPr>
          <w:rtl w:val="0"/>
        </w:rPr>
      </w:r>
    </w:p>
    <w:p w:rsidR="00000000" w:rsidDel="00000000" w:rsidP="00000000" w:rsidRDefault="00000000" w:rsidRPr="00000000" w14:paraId="00000003">
      <w:pPr>
        <w:spacing w:after="200" w:lineRule="auto"/>
        <w:jc w:val="center"/>
        <w:rPr/>
      </w:pPr>
      <w:r>
        <w:rPr>
          <w:rtl w:val="0"/>
        </w:rPr>
      </w:r>
    </w:p>
    <w:p w:rsidR="00000000" w:rsidDel="00000000" w:rsidP="00000000" w:rsidRDefault="00000000" w:rsidRPr="00000000" w14:paraId="00000004">
      <w:pPr>
        <w:spacing w:after="200" w:lineRule="auto"/>
        <w:jc w:val="center"/>
        <w:rPr/>
      </w:pPr>
      <w:r>
        <w:rPr>
          <w:rtl w:val="0"/>
        </w:rPr>
      </w:r>
    </w:p>
    <w:p w:rsidR="00000000" w:rsidDel="00000000" w:rsidP="00000000" w:rsidRDefault="00000000" w:rsidRPr="00000000" w14:paraId="00000005">
      <w:pPr>
        <w:spacing w:after="200" w:lineRule="auto"/>
        <w:jc w:val="center"/>
        <w:rPr/>
      </w:pPr>
      <w:r>
        <w:rPr/>
        <w:drawing>
          <wp:inline distB="0" distT="0" distL="0" distR="0">
            <wp:extent cx="3537835" cy="1146747"/>
            <wp:effectExtent b="0" l="0" r="0" t="0"/>
            <wp:docPr descr="Logo AprendeBA" id="4" name="image1.png"/>
            <a:graphic>
              <a:graphicData uri="http://schemas.openxmlformats.org/drawingml/2006/picture">
                <pic:pic>
                  <pic:nvPicPr>
                    <pic:cNvPr descr="Logo AprendeBA" id="0" name="image1.png"/>
                    <pic:cNvPicPr preferRelativeResize="0"/>
                  </pic:nvPicPr>
                  <pic:blipFill>
                    <a:blip r:embed="rId6"/>
                    <a:srcRect b="0" l="0" r="0" t="0"/>
                    <a:stretch>
                      <a:fillRect/>
                    </a:stretch>
                  </pic:blipFill>
                  <pic:spPr>
                    <a:xfrm>
                      <a:off x="0" y="0"/>
                      <a:ext cx="3537835" cy="1146747"/>
                    </a:xfrm>
                    <a:prstGeom prst="rect"/>
                    <a:ln/>
                  </pic:spPr>
                </pic:pic>
              </a:graphicData>
            </a:graphic>
          </wp:inline>
        </w:drawing>
      </w:r>
      <w:r>
        <w:rPr>
          <w:rtl w:val="0"/>
        </w:rPr>
      </w:r>
    </w:p>
    <w:p w:rsidR="00000000" w:rsidDel="00000000" w:rsidP="00000000" w:rsidRDefault="00000000" w:rsidRPr="00000000" w14:paraId="00000006">
      <w:pPr>
        <w:spacing w:after="60" w:before="0" w:lineRule="auto"/>
        <w:jc w:val="center"/>
        <w:rPr>
          <w:color w:val="666666"/>
          <w:sz w:val="58"/>
          <w:szCs w:val="58"/>
        </w:rPr>
      </w:pPr>
      <w:r>
        <w:rPr>
          <w:rtl w:val="0"/>
        </w:rPr>
      </w:r>
    </w:p>
    <w:p w:rsidR="00000000" w:rsidDel="00000000" w:rsidP="00000000" w:rsidRDefault="00000000" w:rsidRPr="00000000" w14:paraId="00000007">
      <w:pPr>
        <w:spacing w:after="60" w:before="0" w:lineRule="auto"/>
        <w:jc w:val="center"/>
        <w:rPr>
          <w:color w:val="666666"/>
          <w:sz w:val="58"/>
          <w:szCs w:val="58"/>
        </w:rPr>
      </w:pPr>
      <w:r>
        <w:rPr>
          <w:rtl w:val="0"/>
        </w:rPr>
      </w:r>
    </w:p>
    <w:p w:rsidR="00000000" w:rsidDel="00000000" w:rsidP="00000000" w:rsidRDefault="00000000" w:rsidRPr="00000000" w14:paraId="00000008">
      <w:pPr>
        <w:spacing w:after="60" w:before="0" w:lineRule="auto"/>
        <w:jc w:val="center"/>
        <w:rPr>
          <w:rFonts w:ascii="Archivo" w:cs="Archivo" w:eastAsia="Archivo" w:hAnsi="Archivo"/>
          <w:color w:val="666666"/>
          <w:sz w:val="58"/>
          <w:szCs w:val="58"/>
        </w:rPr>
      </w:pPr>
      <w:r>
        <w:rPr>
          <w:color w:val="666666"/>
          <w:sz w:val="58"/>
          <w:szCs w:val="58"/>
          <w:rtl w:val="0"/>
        </w:rPr>
        <w:t xml:space="preserve">Manual de uso</w:t>
      </w:r>
      <w:r>
        <w:rPr>
          <w:rtl w:val="0"/>
        </w:rPr>
      </w:r>
    </w:p>
    <w:p w:rsidR="00000000" w:rsidDel="00000000" w:rsidP="00000000" w:rsidRDefault="00000000" w:rsidRPr="00000000" w14:paraId="00000009">
      <w:pPr>
        <w:spacing w:after="60" w:before="0" w:lineRule="auto"/>
        <w:jc w:val="center"/>
        <w:rPr>
          <w:color w:val="666666"/>
          <w:sz w:val="22"/>
          <w:szCs w:val="22"/>
        </w:rPr>
      </w:pPr>
      <w:r>
        <w:rPr>
          <w:rtl w:val="0"/>
        </w:rPr>
      </w:r>
    </w:p>
    <w:p w:rsidR="00000000" w:rsidDel="00000000" w:rsidP="00000000" w:rsidRDefault="00000000" w:rsidRPr="00000000" w14:paraId="0000000A">
      <w:pPr>
        <w:spacing w:after="60" w:before="0" w:lineRule="auto"/>
        <w:jc w:val="center"/>
        <w:rPr>
          <w:color w:val="666666"/>
          <w:sz w:val="22"/>
          <w:szCs w:val="22"/>
        </w:rPr>
      </w:pPr>
      <w:r>
        <w:rPr>
          <w:rtl w:val="0"/>
        </w:rPr>
      </w:r>
    </w:p>
    <w:p w:rsidR="00000000" w:rsidDel="00000000" w:rsidP="00000000" w:rsidRDefault="00000000" w:rsidRPr="00000000" w14:paraId="0000000B">
      <w:pPr>
        <w:spacing w:after="60" w:before="0" w:lineRule="auto"/>
        <w:jc w:val="center"/>
        <w:rPr>
          <w:color w:val="666666"/>
          <w:sz w:val="22"/>
          <w:szCs w:val="22"/>
        </w:rPr>
      </w:pPr>
      <w:r>
        <w:rPr>
          <w:rtl w:val="0"/>
        </w:rPr>
      </w:r>
    </w:p>
    <w:p w:rsidR="00000000" w:rsidDel="00000000" w:rsidP="00000000" w:rsidRDefault="00000000" w:rsidRPr="00000000" w14:paraId="0000000C">
      <w:pPr>
        <w:spacing w:after="60" w:before="0" w:lineRule="auto"/>
        <w:jc w:val="center"/>
        <w:rPr>
          <w:rFonts w:ascii="Archivo" w:cs="Archivo" w:eastAsia="Archivo" w:hAnsi="Archivo"/>
          <w:b w:val="1"/>
          <w:bCs w:val="1"/>
          <w:color w:val="073244"/>
          <w:sz w:val="38"/>
          <w:szCs w:val="38"/>
        </w:rPr>
      </w:pPr>
      <w:r>
        <w:rPr>
          <w:rFonts w:ascii="Archivo" w:cs="Archivo" w:eastAsia="Archivo" w:hAnsi="Archivo"/>
          <w:b w:val="1"/>
          <w:bCs w:val="1"/>
          <w:color w:val="073244"/>
          <w:sz w:val="38"/>
          <w:szCs w:val="38"/>
          <w:rtl w:val="0"/>
        </w:rPr>
        <w:t xml:space="preserve">Módulo Matriculados </w:t>
      </w:r>
    </w:p>
    <w:p w:rsidR="00000000" w:rsidDel="00000000" w:rsidP="00000000" w:rsidRDefault="00000000" w:rsidRPr="00000000" w14:paraId="0000000D">
      <w:pPr>
        <w:spacing w:after="60" w:before="0" w:lineRule="auto"/>
        <w:jc w:val="center"/>
        <w:rPr>
          <w:b w:val="1"/>
          <w:bCs w:val="1"/>
          <w:color w:val="073244"/>
          <w:sz w:val="38"/>
          <w:szCs w:val="38"/>
        </w:rPr>
      </w:pPr>
      <w:r>
        <w:rPr>
          <w:rtl w:val="0"/>
        </w:rPr>
      </w:r>
    </w:p>
    <w:p w:rsidR="00000000" w:rsidDel="00000000" w:rsidP="00000000" w:rsidRDefault="00000000" w:rsidRPr="00000000" w14:paraId="0000000E">
      <w:pPr>
        <w:spacing w:after="60" w:before="0" w:lineRule="auto"/>
        <w:jc w:val="center"/>
        <w:rPr>
          <w:rFonts w:ascii="Archivo" w:cs="Archivo" w:eastAsia="Archivo" w:hAnsi="Archivo"/>
          <w:b w:val="1"/>
          <w:bCs w:val="1"/>
          <w:color w:val="073244"/>
          <w:sz w:val="38"/>
          <w:szCs w:val="38"/>
        </w:rPr>
      </w:pPr>
      <w:r>
        <w:rPr>
          <w:rFonts w:ascii="Archivo" w:cs="Archivo" w:eastAsia="Archivo" w:hAnsi="Archivo"/>
          <w:b w:val="1"/>
          <w:bCs w:val="1"/>
          <w:color w:val="073244"/>
          <w:sz w:val="38"/>
          <w:szCs w:val="38"/>
          <w:rtl w:val="0"/>
        </w:rPr>
        <w:t xml:space="preserve">Nivel Secundario · Ciclo Lectivo 2026</w:t>
      </w:r>
    </w:p>
    <w:p w:rsidR="00000000" w:rsidDel="00000000" w:rsidP="00000000" w:rsidRDefault="00000000" w:rsidRPr="00000000" w14:paraId="0000000F">
      <w:pPr>
        <w:spacing w:after="60" w:before="0" w:lineRule="auto"/>
        <w:jc w:val="center"/>
        <w:rPr>
          <w:b w:val="1"/>
          <w:bCs w:val="1"/>
          <w:color w:val="073244"/>
          <w:sz w:val="38"/>
          <w:szCs w:val="38"/>
        </w:rPr>
      </w:pPr>
      <w:r>
        <w:rPr>
          <w:rtl w:val="0"/>
        </w:rPr>
      </w:r>
    </w:p>
    <w:p w:rsidR="00000000" w:rsidDel="00000000" w:rsidP="00000000" w:rsidRDefault="00000000" w:rsidRPr="00000000" w14:paraId="00000010">
      <w:pPr>
        <w:spacing w:after="60" w:before="0" w:lineRule="auto"/>
        <w:jc w:val="center"/>
        <w:rPr>
          <w:b w:val="1"/>
          <w:bCs w:val="1"/>
          <w:color w:val="073244"/>
          <w:sz w:val="38"/>
          <w:szCs w:val="38"/>
        </w:rPr>
      </w:pPr>
      <w:r>
        <w:rPr>
          <w:rtl w:val="0"/>
        </w:rPr>
      </w:r>
    </w:p>
    <w:p w:rsidR="00000000" w:rsidDel="00000000" w:rsidP="00000000" w:rsidRDefault="00000000" w:rsidRPr="00000000" w14:paraId="00000011">
      <w:pPr>
        <w:spacing w:after="200" w:before="0" w:lineRule="auto"/>
        <w:jc w:val="center"/>
        <w:rPr>
          <w:color w:val="666666"/>
          <w:sz w:val="34"/>
          <w:szCs w:val="34"/>
        </w:rPr>
      </w:pPr>
      <w:r>
        <w:rPr>
          <w:rtl w:val="0"/>
        </w:rPr>
      </w:r>
    </w:p>
    <w:p w:rsidR="00000000" w:rsidDel="00000000" w:rsidP="00000000" w:rsidRDefault="00000000" w:rsidRPr="00000000" w14:paraId="00000012">
      <w:pPr>
        <w:spacing w:after="200" w:before="0" w:lineRule="auto"/>
        <w:jc w:val="center"/>
        <w:rPr>
          <w:rFonts w:ascii="Archivo" w:cs="Archivo" w:eastAsia="Archivo" w:hAnsi="Archivo"/>
          <w:color w:val="666666"/>
          <w:sz w:val="34"/>
          <w:szCs w:val="34"/>
        </w:rPr>
      </w:pPr>
      <w:r>
        <w:rPr>
          <w:rFonts w:ascii="Archivo" w:cs="Archivo" w:eastAsia="Archivo" w:hAnsi="Archivo"/>
          <w:color w:val="666666"/>
          <w:sz w:val="34"/>
          <w:szCs w:val="34"/>
          <w:rtl w:val="0"/>
        </w:rPr>
        <w:t xml:space="preserve">Para: Asesores de Escuelas</w:t>
      </w:r>
    </w:p>
    <w:p w:rsidR="00000000" w:rsidDel="00000000" w:rsidP="00000000" w:rsidRDefault="00000000" w:rsidRPr="00000000" w14:paraId="00000013">
      <w:pPr>
        <w:spacing w:after="200" w:before="0" w:lineRule="auto"/>
        <w:jc w:val="center"/>
        <w:rPr>
          <w:color w:val="666666"/>
          <w:sz w:val="34"/>
          <w:szCs w:val="34"/>
        </w:rPr>
      </w:pPr>
      <w:r>
        <w:rPr>
          <w:rtl w:val="0"/>
        </w:rPr>
      </w:r>
    </w:p>
    <w:p w:rsidR="00000000" w:rsidDel="00000000" w:rsidP="00000000" w:rsidRDefault="00000000" w:rsidRPr="00000000" w14:paraId="00000014">
      <w:pPr>
        <w:spacing w:after="200" w:before="0" w:lineRule="auto"/>
        <w:jc w:val="center"/>
        <w:rPr>
          <w:color w:val="666666"/>
          <w:sz w:val="34"/>
          <w:szCs w:val="34"/>
        </w:rPr>
      </w:pPr>
      <w:r>
        <w:rPr>
          <w:rtl w:val="0"/>
        </w:rPr>
      </w:r>
    </w:p>
    <w:p w:rsidR="00000000" w:rsidDel="00000000" w:rsidP="00000000" w:rsidRDefault="00000000" w:rsidRPr="00000000" w14:paraId="00000016">
      <w:pPr>
        <w:spacing w:after="200" w:before="0" w:lineRule="auto"/>
        <w:rPr>
          <w:color w:val="666666"/>
          <w:sz w:val="22"/>
          <w:szCs w:val="22"/>
        </w:rPr>
      </w:pPr>
      <w:r>
        <w:rPr>
          <w:rtl w:val="0"/>
        </w:rPr>
      </w:r>
    </w:p>
    <w:p w:rsidR="00000000" w:rsidDel="00000000" w:rsidP="00000000" w:rsidRDefault="00000000" w:rsidRPr="00000000" w14:paraId="00000017">
      <w:pPr>
        <w:spacing w:after="200" w:before="0" w:lineRule="auto"/>
        <w:rPr>
          <w:color w:val="666666"/>
          <w:sz w:val="22"/>
          <w:szCs w:val="22"/>
        </w:rPr>
      </w:pPr>
      <w:r>
        <w:rPr>
          <w:rtl w:val="0"/>
        </w:rPr>
      </w:r>
    </w:p>
    <w:p w:rsidR="00000000" w:rsidDel="00000000" w:rsidP="00000000" w:rsidRDefault="00000000" w:rsidRPr="00000000" w14:paraId="00000018">
      <w:pPr>
        <w:spacing w:after="200" w:before="0" w:lineRule="auto"/>
        <w:rPr>
          <w:color w:val="666666"/>
          <w:sz w:val="22"/>
          <w:szCs w:val="22"/>
        </w:rPr>
      </w:pPr>
      <w:r>
        <w:rPr>
          <w:rtl w:val="0"/>
        </w:rPr>
      </w:r>
    </w:p>
    <w:p w:rsidR="00000000" w:rsidDel="00000000" w:rsidP="00000000" w:rsidRDefault="00000000" w:rsidRPr="00000000" w14:paraId="00000019">
      <w:pPr>
        <w:spacing w:after="200" w:before="0" w:lineRule="auto"/>
        <w:rPr>
          <w:color w:val="666666"/>
          <w:sz w:val="22"/>
          <w:szCs w:val="22"/>
        </w:rPr>
      </w:pPr>
      <w:r>
        <w:rPr>
          <w:color w:val="666666"/>
          <w:sz w:val="22"/>
          <w:szCs w:val="22"/>
        </w:rPr>
        <w:drawing>
          <wp:anchor allowOverlap="1" behindDoc="0" distB="0" distT="0" distL="0" distR="0" hidden="0" layoutInCell="1" locked="0" relativeHeight="0" simplePos="0">
            <wp:simplePos x="0" y="0"/>
            <wp:positionH relativeFrom="page">
              <wp:posOffset>-9524</wp:posOffset>
            </wp:positionH>
            <wp:positionV relativeFrom="page">
              <wp:posOffset>9819691</wp:posOffset>
            </wp:positionV>
            <wp:extent cx="7581900" cy="835135"/>
            <wp:effectExtent b="0" l="0" r="0" t="0"/>
            <wp:wrapSquare wrapText="bothSides" distB="0" distT="0" distL="0" distR="0"/>
            <wp:docPr descr="Footer" id="2" name="image2.jpg"/>
            <a:graphic>
              <a:graphicData uri="http://schemas.openxmlformats.org/drawingml/2006/picture">
                <pic:pic>
                  <pic:nvPicPr>
                    <pic:cNvPr descr="Footer" id="0" name="image2.jpg"/>
                    <pic:cNvPicPr preferRelativeResize="0"/>
                  </pic:nvPicPr>
                  <pic:blipFill>
                    <a:blip r:embed="rId7"/>
                    <a:srcRect b="0" l="0" r="0" t="0"/>
                    <a:stretch>
                      <a:fillRect/>
                    </a:stretch>
                  </pic:blipFill>
                  <pic:spPr>
                    <a:xfrm>
                      <a:off x="0" y="0"/>
                      <a:ext cx="7581900" cy="835135"/>
                    </a:xfrm>
                    <a:prstGeom prst="rect"/>
                    <a:ln/>
                  </pic:spPr>
                </pic:pic>
              </a:graphicData>
            </a:graphic>
          </wp:anchor>
        </w:drawing>
      </w:r>
      <w:r>
        <w:rPr>
          <w:rtl w:val="0"/>
        </w:rPr>
      </w:r>
    </w:p>
    <w:p w:rsidR="00000000" w:rsidDel="00000000" w:rsidP="00000000" w:rsidRDefault="00000000" w:rsidRPr="00000000" w14:paraId="0000001A">
      <w:pPr>
        <w:spacing w:after="0" w:before="200" w:lineRule="auto"/>
        <w:rPr/>
      </w:pPr>
      <w:r>
        <w:rPr/>
        <w:drawing>
          <wp:anchor allowOverlap="1" behindDoc="0" distB="0" distT="0" distL="0" distR="0" hidden="0" layoutInCell="1" locked="0" relativeHeight="0" simplePos="0">
            <wp:simplePos x="0" y="0"/>
            <wp:positionH relativeFrom="page">
              <wp:posOffset>-9524</wp:posOffset>
            </wp:positionH>
            <wp:positionV relativeFrom="page">
              <wp:posOffset>9842297</wp:posOffset>
            </wp:positionV>
            <wp:extent cx="7581900" cy="838802"/>
            <wp:effectExtent b="0" l="0" r="0" t="0"/>
            <wp:wrapSquare wrapText="bothSides" distB="0" distT="0" distL="0" distR="0"/>
            <wp:docPr descr="Footer" id="3" name="image2.jpg"/>
            <a:graphic>
              <a:graphicData uri="http://schemas.openxmlformats.org/drawingml/2006/picture">
                <pic:pic>
                  <pic:nvPicPr>
                    <pic:cNvPr descr="Footer" id="0" name="image2.jpg"/>
                    <pic:cNvPicPr preferRelativeResize="0"/>
                  </pic:nvPicPr>
                  <pic:blipFill>
                    <a:blip r:embed="rId7"/>
                    <a:srcRect b="0" l="0" r="0" t="0"/>
                    <a:stretch>
                      <a:fillRect/>
                    </a:stretch>
                  </pic:blipFill>
                  <pic:spPr>
                    <a:xfrm>
                      <a:off x="0" y="0"/>
                      <a:ext cx="7581900" cy="838802"/>
                    </a:xfrm>
                    <a:prstGeom prst="rect"/>
                    <a:ln/>
                  </pic:spPr>
                </pic:pic>
              </a:graphicData>
            </a:graphic>
          </wp:anchor>
        </w:drawing>
      </w:r>
      <w:r>
        <w:rPr>
          <w:rtl w:val="0"/>
        </w:rPr>
      </w:r>
    </w:p>
    <w:p>
      <w:pPr>
        <w:sectPr>
          <w:headerReference r:id="rId8" w:type="default"/>
          <w:footerReference r:id="rId9" w:type="default"/>
          <w:pgSz w:h="16838" w:w="11906" w:orient="portrait"/>
          <w:pgMar w:bottom="1200" w:top="1080" w:left="1440" w:right="1440" w:header="708" w:footer="708"/>
          <w:pgNumType w:start="1"/>
        </w:sectPr>
      </w:pPr>
    </w:p>
    <w:p>
      <w:pPr>
        <w:spacing w:before="240" w:after="100"/>
        <w:jc w:val="left"/>
      </w:pPr>
      <w:r>
        <w:rPr>
          <w:rFonts w:ascii="Archivo" w:cs="Archivo" w:eastAsia="Archivo" w:hAnsi="Archivo"/>
          <w:color w:val="073244"/>
          <w:sz w:val="28"/>
          <w:szCs w:val="28"/>
          <w:b/>
          <w:bCs/>
        </w:rPr>
        <w:t xml:space="preserve">1. Roles y estructura del módulo</w:t>
      </w:r>
    </w:p>
    <w:p>
      <w:pPr>
        <w:spacing w:before="60" w:after="60"/>
      </w:pPr>
      <w:r>
        <w:rPr>
          <w:rFonts w:ascii="Archivo" w:cs="Archivo" w:eastAsia="Archivo" w:hAnsi="Archivo"/>
          <w:color w:val="666666"/>
          <w:sz w:val="20"/>
          <w:szCs w:val="20"/>
        </w:rPr>
        <w:t xml:space="preserve">El módulo Matriculados centraliza la gestión académico-administrativa del estudiante: su legajo, el seguimiento de regularidad, los pases y el historial de movimientos. Como asesor, podés consultar y gestionar la información de los establecimientos asignados, y modificar o completar datos cuando el establecimiento lo solicita.</w:t>
      </w:r>
    </w:p>
    <w:tbl>
      <w:tblPr>
        <w:tblW w:w="8000" w:type="dxa"/>
        <w:tblBorders>
          <w:insideH w:val="single" w:sz="4" w:color="CCCCCC"/>
          <w:insideV w:val="single" w:sz="4" w:color="CCCCCC"/>
        </w:tblBorders>
        <w:tblCellMar>
          <w:top w:w="80" w:type="dxa"/>
          <w:left w:w="100" w:type="dxa"/>
          <w:bottom w:w="80" w:type="dxa"/>
          <w:right w:w="100" w:type="dxa"/>
        </w:tblCellMar>
      </w:tblPr>
      <w:tblGrid>
        <w:gridCol w:w="1800"/>
        <w:gridCol w:w="4000"/>
        <w:gridCol w:w="2200"/>
      </w:tblGrid>
      <w:tr>
        <w:tc>
          <w:tcPr>
            <w:tcW w:w="18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Rol</w:t>
            </w:r>
          </w:p>
        </w:tc>
        <w:tc>
          <w:tcPr>
            <w:tcW w:w="40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Función en el módulo</w:t>
            </w:r>
          </w:p>
        </w:tc>
        <w:tc>
          <w:tcPr>
            <w:tcW w:w="22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Alcance</w:t>
            </w:r>
          </w:p>
        </w:tc>
      </w:tr>
      <w:tr>
        <w:tc>
          <w:tcPr>
            <w:tcW w:w="18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Secretario/a</w:t>
            </w:r>
          </w:p>
        </w:tc>
        <w:tc>
          <w:tcPr>
            <w:tcW w:w="4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Gestión completa del legajo, matriculación, inicio de pases y desmatriculación.</w:t>
            </w:r>
          </w:p>
        </w:tc>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Todo el establecimiento.</w:t>
            </w:r>
          </w:p>
        </w:tc>
      </w:tr>
      <w:tr>
        <w:tc>
          <w:tcPr>
            <w:tcW w:w="18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Directivo/a</w:t>
            </w:r>
          </w:p>
        </w:tc>
        <w:tc>
          <w:tcPr>
            <w:tcW w:w="4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Supervisión general, acciones administrativas, aprobación de pases entrantes.</w:t>
            </w:r>
          </w:p>
        </w:tc>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Todo el establecimiento.</w:t>
            </w:r>
          </w:p>
        </w:tc>
      </w:tr>
      <w:tr>
        <w:tc>
          <w:tcPr>
            <w:tcW w:w="18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Equipo de Conducción</w:t>
            </w:r>
          </w:p>
        </w:tc>
        <w:tc>
          <w:tcPr>
            <w:tcW w:w="4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Consulta de legajo y regularidad. Algunas acciones según configuración.</w:t>
            </w:r>
          </w:p>
        </w:tc>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Todo el establecimiento.</w:t>
            </w:r>
          </w:p>
        </w:tc>
      </w:tr>
      <w:tr>
        <w:tc>
          <w:tcPr>
            <w:tcW w:w="18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Preceptor/a</w:t>
            </w:r>
          </w:p>
        </w:tc>
        <w:tc>
          <w:tcPr>
            <w:tcW w:w="4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Consulta de legajo y condición de regularidad de sus divisiones.</w:t>
            </w:r>
          </w:p>
        </w:tc>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Sus divisiones asignadas.</w:t>
            </w:r>
          </w:p>
        </w:tc>
      </w:tr>
      <w:tr>
        <w:tc>
          <w:tcPr>
            <w:tcW w:w="18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Dirección de Área</w:t>
            </w:r>
          </w:p>
        </w:tc>
        <w:tc>
          <w:tcPr>
            <w:tcW w:w="4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Alta de estudiantes, reapertura de bloqueos, modificación de regularidad en Secundaria.</w:t>
            </w:r>
          </w:p>
        </w:tc>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Nivel institucional y de área.</w:t>
            </w:r>
          </w:p>
        </w:tc>
      </w:tr>
      <w:tr>
        <w:tc>
          <w:tcPr>
            <w:tcW w:w="18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Asesor de Escuelas</w:t>
            </w:r>
          </w:p>
        </w:tc>
        <w:tc>
          <w:tcPr>
            <w:tcW w:w="4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Puede consultar y gestionar información de los establecimientos asignados. Puede modificar y completar datos cuando el establecimiento lo solicita.</w:t>
            </w:r>
          </w:p>
        </w:tc>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Los establecimientos asignados a su zona.</w:t>
            </w:r>
          </w:p>
        </w:tc>
      </w:tr>
    </w:tbl>
    <w:p>
      <w:pPr>
        <w:ind w:left="360"/>
        <w:spacing w:before="60" w:after="60"/>
      </w:pPr>
      <w:r>
        <w:rPr>
          <w:rFonts w:ascii="Archivo" w:cs="Archivo" w:eastAsia="Archivo" w:hAnsi="Archivo"/>
          <w:color w:val="0D6B5E"/>
          <w:sz w:val="18"/>
          <w:szCs w:val="18"/>
          <w:i/>
          <w:iCs/>
        </w:rPr>
        <w:t xml:space="preserve">ⓘ Si tu acceso no refleja los establecimientos correctos, comunicá la situación a la Dirección de Área para que verifiquen la asignación en el sistema.</w:t>
      </w:r>
    </w:p>
    <w:p>
      <w:pPr>
        <w:spacing w:before="240" w:after="100"/>
        <w:jc w:val="left"/>
      </w:pPr>
      <w:r>
        <w:rPr>
          <w:rFonts w:ascii="Archivo" w:cs="Archivo" w:eastAsia="Archivo" w:hAnsi="Archivo"/>
          <w:color w:val="073244"/>
          <w:sz w:val="28"/>
          <w:szCs w:val="28"/>
          <w:b/>
          <w:bCs/>
        </w:rPr>
        <w:t xml:space="preserve">2. Vista principal — Lista de matriculados</w:t>
      </w:r>
    </w:p>
    <w:p>
      <w:pPr>
        <w:spacing w:before="60" w:after="60"/>
      </w:pPr>
      <w:r>
        <w:rPr>
          <w:rFonts w:ascii="Archivo" w:cs="Archivo" w:eastAsia="Archivo" w:hAnsi="Archivo"/>
          <w:color w:val="666666"/>
          <w:sz w:val="20"/>
          <w:szCs w:val="20"/>
        </w:rPr>
        <w:t xml:space="preserve">Al ingresar al módulo, se muestra el listado de todos los estudiantes matriculados en el establecimiento. Esta es la pantalla de entrada y la más usada para el seguimiento diario.</w:t>
      </w:r>
    </w:p>
    <w:p>
      <w:pPr>
        <w:spacing w:before="180" w:after="80"/>
      </w:pPr>
      <w:r>
        <w:rPr>
          <w:rFonts w:ascii="Archivo" w:cs="Archivo" w:eastAsia="Archivo" w:hAnsi="Archivo"/>
          <w:color w:val="0D6B5E"/>
          <w:sz w:val="24"/>
          <w:szCs w:val="24"/>
          <w:b/>
          <w:bCs/>
        </w:rPr>
        <w:t xml:space="preserve">2.1 Filtros y búsqueda</w:t>
      </w:r>
    </w:p>
    <w:tbl>
      <w:tblPr>
        <w:tblW w:w="8000" w:type="dxa"/>
        <w:tblBorders>
          <w:insideH w:val="single" w:sz="4" w:color="CCCCCC"/>
          <w:insideV w:val="single" w:sz="4" w:color="CCCCCC"/>
        </w:tblBorders>
        <w:tblCellMar>
          <w:top w:w="80" w:type="dxa"/>
          <w:left w:w="100" w:type="dxa"/>
          <w:bottom w:w="80" w:type="dxa"/>
          <w:right w:w="100" w:type="dxa"/>
        </w:tblCellMar>
      </w:tblPr>
      <w:tblGrid>
        <w:gridCol w:w="2600"/>
        <w:gridCol w:w="5400"/>
      </w:tblGrid>
      <w:tr>
        <w:tc>
          <w:tcPr>
            <w:tcW w:w="26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Filtro / Campo</w:t>
            </w:r>
          </w:p>
        </w:tc>
        <w:tc>
          <w:tcPr>
            <w:tcW w:w="54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Cómo usarlo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Buscador por nombre o DNI</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Permite ubicar un estudiante específico sin usar los filtros de año/sección. Buscá por apellido, nombre completo o número de documento.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Año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Filtra por año de cursada (1er año, 2do año, etc.). Seleccionarlo antes de la sección.</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Sección</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Filtra por división (A, B, C...). Disponible solo si ya seleccionaste un año.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Estado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Filtra por situación del estudiante: Matriculado, Egresado, Baja, etc.</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Turno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Filtra por turno escolar (mañana, tarde, vespertino, nocturno).</w:t>
            </w:r>
          </w:p>
        </w:tc>
      </w:tr>
    </w:tbl>
    <w:p>
      <w:pPr>
        <w:spacing w:before="180" w:after="80"/>
      </w:pPr>
      <w:r>
        <w:rPr>
          <w:rFonts w:ascii="Archivo" w:cs="Archivo" w:eastAsia="Archivo" w:hAnsi="Archivo"/>
          <w:color w:val="0D6B5E"/>
          <w:sz w:val="24"/>
          <w:szCs w:val="24"/>
          <w:b/>
          <w:bCs/>
        </w:rPr>
        <w:t xml:space="preserve">2.2 Estados posibles</w:t>
      </w:r>
    </w:p>
    <w:tbl>
      <w:tblPr>
        <w:tblW w:w="8000" w:type="dxa"/>
        <w:tblBorders>
          <w:insideH w:val="single" w:sz="4" w:color="CCCCCC"/>
          <w:insideV w:val="single" w:sz="4" w:color="CCCCCC"/>
        </w:tblBorders>
        <w:tblCellMar>
          <w:top w:w="80" w:type="dxa"/>
          <w:left w:w="100" w:type="dxa"/>
          <w:bottom w:w="80" w:type="dxa"/>
          <w:right w:w="100" w:type="dxa"/>
        </w:tblCellMar>
      </w:tblPr>
      <w:tblGrid>
        <w:gridCol w:w="2600"/>
        <w:gridCol w:w="5400"/>
      </w:tblGrid>
      <w:tr>
        <w:tc>
          <w:tcPr>
            <w:tcW w:w="26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Estado</w:t>
            </w:r>
          </w:p>
        </w:tc>
        <w:tc>
          <w:tcPr>
            <w:tcW w:w="54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Significado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Matriculado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Inscripto y activo en el ciclo lectivo actual.</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Baja</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Desvinculado del establecimiento. Puede ser por pase, abandono o desmatriculación manual.</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Egresado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Completó el nivel. Visible en el historial.</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Pendiente de pase</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Pase iniciado pero aún no confirmado por el establecimiento destino.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Ingresante</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Nuevo en el establecimiento durante el ciclo actual.</w:t>
            </w:r>
          </w:p>
        </w:tc>
      </w:tr>
    </w:tbl>
    <w:p>
      <w:pPr>
        <w:spacing w:before="180" w:after="80"/>
      </w:pPr>
      <w:r>
        <w:rPr>
          <w:rFonts w:ascii="Archivo" w:cs="Archivo" w:eastAsia="Archivo" w:hAnsi="Archivo"/>
          <w:color w:val="0D6B5E"/>
          <w:sz w:val="24"/>
          <w:szCs w:val="24"/>
          <w:b/>
          <w:bCs/>
        </w:rPr>
        <w:t xml:space="preserve">2.3 Acciones disponibles para el Asesor</w:t>
      </w:r>
    </w:p>
    <w:p>
      <w:pPr>
        <w:spacing w:before="60" w:after="60"/>
      </w:pPr>
      <w:r>
        <w:rPr>
          <w:rFonts w:ascii="Archivo" w:cs="Archivo" w:eastAsia="Archivo" w:hAnsi="Archivo"/>
          <w:color w:val="666666"/>
          <w:sz w:val="20"/>
          <w:szCs w:val="20"/>
        </w:rPr>
        <w:t xml:space="preserve">Como asesor, podés consultar y gestionar la información de los establecimientos asignados. Las acciones disponibles desde la lista principal son:</w:t>
      </w:r>
    </w:p>
    <w:tbl>
      <w:tblPr>
        <w:tblW w:w="8000" w:type="dxa"/>
        <w:tblBorders>
          <w:insideH w:val="single" w:sz="4" w:color="CCCCCC"/>
          <w:insideV w:val="single" w:sz="4" w:color="CCCCCC"/>
        </w:tblBorders>
        <w:tblCellMar>
          <w:top w:w="80" w:type="dxa"/>
          <w:left w:w="100" w:type="dxa"/>
          <w:bottom w:w="80" w:type="dxa"/>
          <w:right w:w="100" w:type="dxa"/>
        </w:tblCellMar>
      </w:tblPr>
      <w:tblGrid>
        <w:gridCol w:w="2600"/>
        <w:gridCol w:w="5400"/>
      </w:tblGrid>
      <w:tr>
        <w:tc>
          <w:tcPr>
            <w:tcW w:w="26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Acción</w:t>
            </w:r>
          </w:p>
        </w:tc>
        <w:tc>
          <w:tcPr>
            <w:tcW w:w="54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Descripción</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Ver legajo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Abre el detalle completo del estudiante: datos personales, situación de regularidad, historial de pases y espacios curriculares.</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Exportar listado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Descargá el listado filtrado en formato Excel o PDF para compartir o archivar.</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Ver historial</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Consultá los movimientos registrados del estudiante dentro del sistema.</w:t>
            </w:r>
          </w:p>
        </w:tc>
      </w:tr>
    </w:tbl>
    <w:p>
      <w:pPr>
        <w:spacing w:before="240" w:after="100"/>
        <w:jc w:val="left"/>
      </w:pPr>
      <w:r>
        <w:rPr>
          <w:rFonts w:ascii="Archivo" w:cs="Archivo" w:eastAsia="Archivo" w:hAnsi="Archivo"/>
          <w:color w:val="073244"/>
          <w:sz w:val="28"/>
          <w:szCs w:val="28"/>
          <w:b/>
          <w:bCs/>
        </w:rPr>
        <w:t xml:space="preserve">3. Solapas del estudiante</w:t>
      </w:r>
    </w:p>
    <w:p>
      <w:pPr>
        <w:spacing w:before="60" w:after="60"/>
      </w:pPr>
      <w:r>
        <w:rPr>
          <w:rFonts w:ascii="Archivo" w:cs="Archivo" w:eastAsia="Archivo" w:hAnsi="Archivo"/>
          <w:color w:val="666666"/>
          <w:sz w:val="20"/>
          <w:szCs w:val="20"/>
        </w:rPr>
        <w:t xml:space="preserve">Al abrir el legajo de un estudiante, encontrás distintas solapas que organizan su información. El asesor puede consultar y gestionar todas ellas.</w:t>
      </w:r>
    </w:p>
    <w:p>
      <w:pPr>
        <w:spacing w:before="180" w:after="80"/>
      </w:pPr>
      <w:r>
        <w:rPr>
          <w:rFonts w:ascii="Archivo" w:cs="Archivo" w:eastAsia="Archivo" w:hAnsi="Archivo"/>
          <w:color w:val="0D6B5E"/>
          <w:sz w:val="24"/>
          <w:szCs w:val="24"/>
          <w:b/>
          <w:bCs/>
        </w:rPr>
        <w:t xml:space="preserve">3.1 Legajo</w:t>
      </w:r>
    </w:p>
    <w:p>
      <w:pPr>
        <w:spacing w:before="60" w:after="60"/>
      </w:pPr>
      <w:r>
        <w:rPr>
          <w:rFonts w:ascii="Archivo" w:cs="Archivo" w:eastAsia="Archivo" w:hAnsi="Archivo"/>
          <w:color w:val="666666"/>
          <w:sz w:val="20"/>
          <w:szCs w:val="20"/>
        </w:rPr>
        <w:t xml:space="preserve">Contiene los datos personales y académicos del estudiante.</w:t>
      </w:r>
    </w:p>
    <w:tbl>
      <w:tblPr>
        <w:tblW w:w="8000" w:type="dxa"/>
        <w:tblBorders>
          <w:insideH w:val="single" w:sz="4" w:color="CCCCCC"/>
          <w:insideV w:val="single" w:sz="4" w:color="CCCCCC"/>
        </w:tblBorders>
        <w:tblCellMar>
          <w:top w:w="80" w:type="dxa"/>
          <w:left w:w="100" w:type="dxa"/>
          <w:bottom w:w="80" w:type="dxa"/>
          <w:right w:w="100" w:type="dxa"/>
        </w:tblCellMar>
      </w:tblPr>
      <w:tblGrid>
        <w:gridCol w:w="2600"/>
        <w:gridCol w:w="5400"/>
      </w:tblGrid>
      <w:tr>
        <w:tc>
          <w:tcPr>
            <w:tcW w:w="26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Campo</w:t>
            </w:r>
          </w:p>
        </w:tc>
        <w:tc>
          <w:tcPr>
            <w:tcW w:w="54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Descripción</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Datos personales</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Nombre completo, DNI, fecha de nacimiento, sexo y datos de contacto.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Situación actual</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Estado de matrícula, año, sección y turno del ciclo lectivo en curso.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Datos del tutor/a</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Nombre, vínculo y contacto del adulto responsable registrado.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Historial de establecimientos</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Listado de escuelas en las que el estudiante estuvo matriculado anteriormente.</w:t>
            </w:r>
          </w:p>
        </w:tc>
      </w:tr>
    </w:tbl>
    <w:p>
      <w:pPr>
        <w:spacing w:before="180" w:after="80"/>
      </w:pPr>
      <w:r>
        <w:rPr>
          <w:rFonts w:ascii="Archivo" w:cs="Archivo" w:eastAsia="Archivo" w:hAnsi="Archivo"/>
          <w:color w:val="0D6B5E"/>
          <w:sz w:val="24"/>
          <w:szCs w:val="24"/>
          <w:b/>
          <w:bCs/>
        </w:rPr>
        <w:t xml:space="preserve">3.2 Regularidad</w:t>
      </w:r>
    </w:p>
    <w:p>
      <w:pPr>
        <w:spacing w:before="60" w:after="60"/>
      </w:pPr>
      <w:r>
        <w:rPr>
          <w:rFonts w:ascii="Archivo" w:cs="Archivo" w:eastAsia="Archivo" w:hAnsi="Archivo"/>
          <w:color w:val="666666"/>
          <w:sz w:val="20"/>
          <w:szCs w:val="20"/>
        </w:rPr>
        <w:t xml:space="preserve">Muestra la condición de regularidad del estudiante por bimestre y la regularidad anual.</w:t>
      </w:r>
    </w:p>
    <w:tbl>
      <w:tblPr>
        <w:tblW w:w="8000" w:type="dxa"/>
        <w:tblBorders>
          <w:insideH w:val="single" w:sz="4" w:color="CCCCCC"/>
          <w:insideV w:val="single" w:sz="4" w:color="CCCCCC"/>
        </w:tblBorders>
        <w:tblCellMar>
          <w:top w:w="80" w:type="dxa"/>
          <w:left w:w="100" w:type="dxa"/>
          <w:bottom w:w="80" w:type="dxa"/>
          <w:right w:w="100" w:type="dxa"/>
        </w:tblCellMar>
      </w:tblPr>
      <w:tblGrid>
        <w:gridCol w:w="2600"/>
        <w:gridCol w:w="5400"/>
      </w:tblGrid>
      <w:tr>
        <w:tc>
          <w:tcPr>
            <w:tcW w:w="26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Columna</w:t>
            </w:r>
          </w:p>
        </w:tc>
        <w:tc>
          <w:tcPr>
            <w:tcW w:w="54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Qué muestra</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Regular (bimestral)</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Condición del estudiante al cierre del bimestre. Se calcula con las inasistencias del período.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No regular (bimestral)</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Superó el límite de inasistencias injustificadas en el período.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Regularidad Anual</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Columna de nueva incorporación (2026). Muestra si el estudiante acumula más de 20 inasistencias injustificadas en el año. Determina el acceso al Dispositivo de Invierno.</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Datos insuficientes</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El período no está cerrado o no hay suficiente información cargada.</w:t>
            </w:r>
          </w:p>
        </w:tc>
      </w:tr>
    </w:tbl>
    <w:p>
      <w:pPr>
        <w:ind w:left="360"/>
        <w:spacing w:before="60" w:after="60"/>
      </w:pPr>
      <w:r>
        <w:rPr>
          <w:rFonts w:ascii="Archivo" w:cs="Archivo" w:eastAsia="Archivo" w:hAnsi="Archivo"/>
          <w:color w:val="0D6B5E"/>
          <w:sz w:val="18"/>
          <w:szCs w:val="18"/>
          <w:i/>
          <w:iCs/>
        </w:rPr>
        <w:t xml:space="preserve">ⓘ La regularidad mostrada en el módulo Matriculados corresponde al último bimestre cerrado, no al bimestre en curso.</w:t>
      </w:r>
    </w:p>
    <w:p>
      <w:pPr>
        <w:spacing w:before="180" w:after="80"/>
      </w:pPr>
      <w:r>
        <w:rPr>
          <w:rFonts w:ascii="Archivo" w:cs="Archivo" w:eastAsia="Archivo" w:hAnsi="Archivo"/>
          <w:color w:val="0D6B5E"/>
          <w:sz w:val="24"/>
          <w:szCs w:val="24"/>
          <w:b/>
          <w:bCs/>
        </w:rPr>
        <w:t xml:space="preserve">3.3 Pases</w:t>
      </w:r>
    </w:p>
    <w:p>
      <w:pPr>
        <w:spacing w:before="60" w:after="60"/>
      </w:pPr>
      <w:r>
        <w:rPr>
          <w:rFonts w:ascii="Archivo" w:cs="Archivo" w:eastAsia="Archivo" w:hAnsi="Archivo"/>
          <w:color w:val="666666"/>
          <w:sz w:val="20"/>
          <w:szCs w:val="20"/>
        </w:rPr>
        <w:t xml:space="preserve">Registra los pases entrantes y salientes del estudiante.</w:t>
      </w:r>
    </w:p>
    <w:tbl>
      <w:tblPr>
        <w:tblW w:w="8000" w:type="dxa"/>
        <w:tblBorders>
          <w:insideH w:val="single" w:sz="4" w:color="CCCCCC"/>
          <w:insideV w:val="single" w:sz="4" w:color="CCCCCC"/>
        </w:tblBorders>
        <w:tblCellMar>
          <w:top w:w="80" w:type="dxa"/>
          <w:left w:w="100" w:type="dxa"/>
          <w:bottom w:w="80" w:type="dxa"/>
          <w:right w:w="100" w:type="dxa"/>
        </w:tblCellMar>
      </w:tblPr>
      <w:tblGrid>
        <w:gridCol w:w="2200"/>
        <w:gridCol w:w="2600"/>
        <w:gridCol w:w="3200"/>
      </w:tblGrid>
      <w:tr>
        <w:tc>
          <w:tcPr>
            <w:tcW w:w="22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Estado del pase</w:t>
            </w:r>
          </w:p>
        </w:tc>
        <w:tc>
          <w:tcPr>
            <w:tcW w:w="26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Iniciado por</w:t>
            </w:r>
          </w:p>
        </w:tc>
        <w:tc>
          <w:tcPr>
            <w:tcW w:w="32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Acción requerida</w:t>
            </w:r>
          </w:p>
        </w:tc>
      </w:tr>
      <w:tr>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Pendiente</w:t>
            </w:r>
          </w:p>
        </w:tc>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Establecimiento origen</w:t>
            </w:r>
          </w:p>
        </w:tc>
        <w:tc>
          <w:tcPr>
            <w:tcW w:w="3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Debe ser aprobado por el establecimiento destino.</w:t>
            </w:r>
          </w:p>
        </w:tc>
      </w:tr>
      <w:tr>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Aprobado</w:t>
            </w:r>
          </w:p>
        </w:tc>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Ambos establecimientos</w:t>
            </w:r>
          </w:p>
        </w:tc>
        <w:tc>
          <w:tcPr>
            <w:tcW w:w="3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El estudiante figura como activo en el nuevo establecimiento.</w:t>
            </w:r>
          </w:p>
        </w:tc>
      </w:tr>
      <w:tr>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Rechazado</w:t>
            </w:r>
          </w:p>
        </w:tc>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Establecimiento destino</w:t>
            </w:r>
          </w:p>
        </w:tc>
        <w:tc>
          <w:tcPr>
            <w:tcW w:w="3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El estudiante permanece en el establecimiento de origen.</w:t>
            </w:r>
          </w:p>
        </w:tc>
      </w:tr>
      <w:tr>
        <w:tc>
          <w:tcPr>
            <w:tcW w:w="2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Cancelado</w:t>
            </w:r>
          </w:p>
        </w:tc>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Cualquiera de las partes</w:t>
            </w:r>
          </w:p>
        </w:tc>
        <w:tc>
          <w:tcPr>
            <w:tcW w:w="32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El pase fue anulado antes de completarse.</w:t>
            </w:r>
          </w:p>
        </w:tc>
      </w:tr>
    </w:tbl>
    <w:p>
      <w:pPr>
        <w:ind w:left="360"/>
        <w:spacing w:before="60" w:after="60"/>
      </w:pPr>
      <w:r>
        <w:rPr>
          <w:rFonts w:ascii="Archivo" w:cs="Archivo" w:eastAsia="Archivo" w:hAnsi="Archivo"/>
          <w:color w:val="0D6B5E"/>
          <w:sz w:val="18"/>
          <w:szCs w:val="18"/>
          <w:i/>
          <w:iCs/>
        </w:rPr>
        <w:t xml:space="preserve">ⓘ Un pase activo (Pendiente) bloquea ciertas operaciones en el legajo del estudiante. El asesor puede identificar esta situación desde la solapa Pases.</w:t>
      </w:r>
    </w:p>
    <w:p>
      <w:pPr>
        <w:spacing w:before="180" w:after="80"/>
      </w:pPr>
      <w:r>
        <w:rPr>
          <w:rFonts w:ascii="Archivo" w:cs="Archivo" w:eastAsia="Archivo" w:hAnsi="Archivo"/>
          <w:color w:val="0D6B5E"/>
          <w:sz w:val="24"/>
          <w:szCs w:val="24"/>
          <w:b/>
          <w:bCs/>
        </w:rPr>
        <w:t xml:space="preserve">3.4 Espacios Curriculares Pendientes</w:t>
      </w:r>
    </w:p>
    <w:p>
      <w:pPr>
        <w:spacing w:before="60" w:after="60"/>
      </w:pPr>
      <w:r>
        <w:rPr>
          <w:rFonts w:ascii="Archivo" w:cs="Archivo" w:eastAsia="Archivo" w:hAnsi="Archivo"/>
          <w:color w:val="666666"/>
          <w:sz w:val="20"/>
          <w:szCs w:val="20"/>
        </w:rPr>
        <w:t xml:space="preserve">Lista las materias que el estudiante tiene en condición de pendiente (deuda académica) de ciclos lectivos anteriores. Esta solapa es informativa y no permite modificaciones.</w:t>
      </w:r>
    </w:p>
    <w:p>
      <w:pPr>
        <w:ind w:left="360"/>
        <w:spacing w:before="60" w:after="60"/>
      </w:pPr>
      <w:r>
        <w:rPr>
          <w:rFonts w:ascii="Archivo" w:cs="Archivo" w:eastAsia="Archivo" w:hAnsi="Archivo"/>
          <w:color w:val="0D6B5E"/>
          <w:sz w:val="18"/>
          <w:szCs w:val="18"/>
          <w:i/>
          <w:iCs/>
        </w:rPr>
        <w:t xml:space="preserve">ⓘ Si aparecen materias que el estudiante ya cursó y no corresponden como pendientes, el establecimiento debe realizar la corrección desde la gestión de calificaciones.</w:t>
      </w:r>
    </w:p>
    <w:p>
      <w:pPr>
        <w:spacing w:before="180" w:after="80"/>
      </w:pPr>
      <w:r>
        <w:rPr>
          <w:rFonts w:ascii="Archivo" w:cs="Archivo" w:eastAsia="Archivo" w:hAnsi="Archivo"/>
          <w:color w:val="0D6B5E"/>
          <w:sz w:val="24"/>
          <w:szCs w:val="24"/>
          <w:b/>
          <w:bCs/>
        </w:rPr>
        <w:t xml:space="preserve">3.5 Historial</w:t>
      </w:r>
    </w:p>
    <w:p>
      <w:pPr>
        <w:spacing w:before="60" w:after="60"/>
      </w:pPr>
      <w:r>
        <w:rPr>
          <w:rFonts w:ascii="Archivo" w:cs="Archivo" w:eastAsia="Archivo" w:hAnsi="Archivo"/>
          <w:color w:val="666666"/>
          <w:sz w:val="20"/>
          <w:szCs w:val="20"/>
        </w:rPr>
        <w:t xml:space="preserve">Muestra el registro cronológico de todos los movimientos registrados en el sistema para el estudiante: matriculaciones, pases, cambios de sección, desmatriculaciones y rematriculaciones.</w:t>
      </w:r>
    </w:p>
    <w:p>
      <w:pPr>
        <w:spacing w:before="240" w:after="100"/>
        <w:jc w:val="left"/>
      </w:pPr>
      <w:r>
        <w:rPr>
          <w:rFonts w:ascii="Archivo" w:cs="Archivo" w:eastAsia="Archivo" w:hAnsi="Archivo"/>
          <w:color w:val="073244"/>
          <w:sz w:val="28"/>
          <w:szCs w:val="28"/>
          <w:b/>
          <w:bCs/>
        </w:rPr>
        <w:t xml:space="preserve">4. Buscador global de estudiantes</w:t>
      </w:r>
    </w:p>
    <w:p>
      <w:pPr>
        <w:spacing w:before="60" w:after="60"/>
      </w:pPr>
      <w:r>
        <w:rPr>
          <w:rFonts w:ascii="Archivo" w:cs="Archivo" w:eastAsia="Archivo" w:hAnsi="Archivo"/>
          <w:color w:val="666666"/>
          <w:sz w:val="20"/>
          <w:szCs w:val="20"/>
        </w:rPr>
        <w:t xml:space="preserve">El buscador global permite localizar a un estudiante en cualquier establecimiento de la zona asignada al asesor, sin tener que ingresar a cada escuela individualmente.</w:t>
      </w:r>
    </w:p>
    <w:tbl>
      <w:tblPr>
        <w:tblW w:w="8000" w:type="dxa"/>
        <w:tblBorders>
          <w:insideH w:val="single" w:sz="4" w:color="CCCCCC"/>
          <w:insideV w:val="single" w:sz="4" w:color="CCCCCC"/>
        </w:tblBorders>
        <w:tblCellMar>
          <w:top w:w="80" w:type="dxa"/>
          <w:left w:w="100" w:type="dxa"/>
          <w:bottom w:w="80" w:type="dxa"/>
          <w:right w:w="100" w:type="dxa"/>
        </w:tblCellMar>
      </w:tblPr>
      <w:tblGrid>
        <w:gridCol w:w="2600"/>
        <w:gridCol w:w="5400"/>
      </w:tblGrid>
      <w:tr>
        <w:tc>
          <w:tcPr>
            <w:tcW w:w="26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Campo de búsqueda</w:t>
            </w:r>
          </w:p>
        </w:tc>
        <w:tc>
          <w:tcPr>
            <w:tcW w:w="54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Descripción</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Nombre o apellido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Búsqueda parcial o completa. El sistema sugiere coincidencias en tiempo real.</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DNI</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Búsqueda exacta por número de documento. Recomendada cuando el nombre puede estar cargado con variaciones.</w:t>
            </w:r>
          </w:p>
        </w:tc>
      </w:tr>
      <w:tr>
        <w:tc>
          <w:tcPr>
            <w:tcW w:w="26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Establecimiento</w:t>
            </w:r>
          </w:p>
        </w:tc>
        <w:tc>
          <w:tcPr>
            <w:tcW w:w="54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Filtrá resultados por escuela si ya sabés en qué establecimiento buscar.</w:t>
            </w:r>
          </w:p>
        </w:tc>
      </w:tr>
    </w:tbl>
    <w:p>
      <w:pPr>
        <w:ind w:left="360"/>
        <w:spacing w:before="60" w:after="60"/>
      </w:pPr>
      <w:r>
        <w:rPr>
          <w:rFonts w:ascii="Archivo" w:cs="Archivo" w:eastAsia="Archivo" w:hAnsi="Archivo"/>
          <w:color w:val="0D6B5E"/>
          <w:sz w:val="18"/>
          <w:szCs w:val="18"/>
          <w:i/>
          <w:iCs/>
        </w:rPr>
        <w:t xml:space="preserve">ⓘ El buscador global es especialmente útil para verificar si un estudiante ya está matriculado en algún establecimiento antes de gestionar una solicitud de alta.</w:t>
      </w:r>
    </w:p>
    <w:p>
      <w:pPr>
        <w:spacing w:before="240" w:after="100"/>
        <w:jc w:val="left"/>
      </w:pPr>
      <w:r>
        <w:rPr>
          <w:rFonts w:ascii="Archivo" w:cs="Archivo" w:eastAsia="Archivo" w:hAnsi="Archivo"/>
          <w:color w:val="073244"/>
          <w:sz w:val="28"/>
          <w:szCs w:val="28"/>
          <w:b/>
          <w:bCs/>
        </w:rPr>
        <w:t xml:space="preserve">5. Alta de estudiantes</w:t>
      </w:r>
    </w:p>
    <w:p>
      <w:pPr>
        <w:spacing w:before="60" w:after="60"/>
      </w:pPr>
      <w:r>
        <w:rPr>
          <w:rFonts w:ascii="Archivo" w:cs="Archivo" w:eastAsia="Archivo" w:hAnsi="Archivo"/>
          <w:color w:val="666666"/>
          <w:sz w:val="20"/>
          <w:szCs w:val="20"/>
        </w:rPr>
        <w:t xml:space="preserve">La función de alta (nuevo ingreso) de estudiantes en el sistema está reservada exclusivamente para la Dirección de Área. Los establecimientos y los asesores no pueden crear nuevos registros de estudiantes directamente.</w:t>
      </w:r>
    </w:p>
    <w:tbl>
      <w:tblPr>
        <w:tblW w:w="8000" w:type="dxa"/>
        <w:tblBorders>
          <w:insideH w:val="single" w:sz="4" w:color="CCCCCC"/>
          <w:insideV w:val="single" w:sz="4" w:color="CCCCCC"/>
        </w:tblBorders>
        <w:tblCellMar>
          <w:top w:w="80" w:type="dxa"/>
          <w:left w:w="100" w:type="dxa"/>
          <w:bottom w:w="80" w:type="dxa"/>
          <w:right w:w="100" w:type="dxa"/>
        </w:tblCellMar>
      </w:tblPr>
      <w:tblGrid>
        <w:gridCol w:w="3000"/>
        <w:gridCol w:w="5000"/>
      </w:tblGrid>
      <w:tr>
        <w:tc>
          <w:tcPr>
            <w:tcW w:w="30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Situación</w:t>
            </w:r>
          </w:p>
        </w:tc>
        <w:tc>
          <w:tcPr>
            <w:tcW w:w="50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Procedimiento</w:t>
            </w:r>
          </w:p>
        </w:tc>
      </w:tr>
      <w:tr>
        <w:tc>
          <w:tcPr>
            <w:tcW w:w="3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Estudiante nunca matriculado</w:t>
            </w:r>
          </w:p>
        </w:tc>
        <w:tc>
          <w:tcPr>
            <w:tcW w:w="5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El establecimiento debe solicitar el alta a la Dirección de Área con la documentación del estudiante.</w:t>
            </w:r>
          </w:p>
        </w:tc>
      </w:tr>
      <w:tr>
        <w:tc>
          <w:tcPr>
            <w:tcW w:w="3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Estudiante con legajo existente</w:t>
            </w:r>
          </w:p>
        </w:tc>
        <w:tc>
          <w:tcPr>
            <w:tcW w:w="5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Si el DNI ya está en el sistema, se gestiona la matrícula directamente desde el establecimiento mediante pase o rematriculación.</w:t>
            </w:r>
          </w:p>
        </w:tc>
      </w:tr>
      <w:tr>
        <w:tc>
          <w:tcPr>
            <w:tcW w:w="3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Solicitud de reapertura de bloqueo</w:t>
            </w:r>
          </w:p>
        </w:tc>
        <w:tc>
          <w:tcPr>
            <w:tcW w:w="50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Si el legajo del estudiante está bloqueado, la Dirección de Área puede habilitarlo previo análisis del caso.</w:t>
            </w:r>
          </w:p>
        </w:tc>
      </w:tr>
    </w:tbl>
    <w:p>
      <w:pPr>
        <w:ind w:left="360"/>
        <w:spacing w:before="60" w:after="60"/>
      </w:pPr>
      <w:r>
        <w:rPr>
          <w:rFonts w:ascii="Archivo" w:cs="Archivo" w:eastAsia="Archivo" w:hAnsi="Archivo"/>
          <w:color w:val="0D6B5E"/>
          <w:sz w:val="18"/>
          <w:szCs w:val="18"/>
          <w:i/>
          <w:iCs/>
        </w:rPr>
        <w:t xml:space="preserve">ⓘ Como asesor, tu rol en este proceso es orientar al establecimiento sobre el procedimiento correcto y derivar la solicitud a la Dirección de Área cuando corresponda.</w:t>
      </w:r>
    </w:p>
    <w:p>
      <w:pPr>
        <w:spacing w:before="240" w:after="100"/>
        <w:jc w:val="left"/>
      </w:pPr>
      <w:r>
        <w:rPr>
          <w:rFonts w:ascii="Archivo" w:cs="Archivo" w:eastAsia="Archivo" w:hAnsi="Archivo"/>
          <w:color w:val="073244"/>
          <w:sz w:val="28"/>
          <w:szCs w:val="28"/>
          <w:b/>
          <w:bCs/>
        </w:rPr>
        <w:t xml:space="preserve">6. Casos de uso para el Asesor de Escuelas</w:t>
      </w:r>
    </w:p>
    <w:p>
      <w:pPr>
        <w:spacing w:before="180" w:after="80"/>
      </w:pPr>
      <w:r>
        <w:rPr>
          <w:rFonts w:ascii="Archivo" w:cs="Archivo" w:eastAsia="Archivo" w:hAnsi="Archivo"/>
          <w:color w:val="0D6B5E"/>
          <w:sz w:val="24"/>
          <w:szCs w:val="24"/>
          <w:b/>
          <w:bCs/>
        </w:rPr>
        <w:t xml:space="preserve">Caso 1: El estudiante no aparece en el listado de la escuela</w:t>
      </w:r>
    </w:p>
    <w:p>
      <w:pPr>
        <w:spacing w:before="60" w:after="60"/>
      </w:pPr>
      <w:r>
        <w:rPr>
          <w:rFonts w:ascii="Archivo" w:cs="Archivo" w:eastAsia="Archivo" w:hAnsi="Archivo"/>
          <w:color w:val="666666"/>
          <w:sz w:val="20"/>
          <w:szCs w:val="20"/>
        </w:rPr>
        <w:t xml:space="preserve">Verificá con el buscador global si el estudiante está registrado en otro establecimiento. Si el DNI no aparece en ningún lado, la Dirección de Área debe gestionar el alta. Si aparece en otra escuela, el establecimiento debe iniciar el pase correspondiente.</w:t>
      </w:r>
    </w:p>
    <w:p>
      <w:pPr>
        <w:spacing w:before="180" w:after="80"/>
      </w:pPr>
      <w:r>
        <w:rPr>
          <w:rFonts w:ascii="Archivo" w:cs="Archivo" w:eastAsia="Archivo" w:hAnsi="Archivo"/>
          <w:color w:val="0D6B5E"/>
          <w:sz w:val="24"/>
          <w:szCs w:val="24"/>
          <w:b/>
          <w:bCs/>
        </w:rPr>
        <w:t xml:space="preserve">Caso 2: El secretario/a no puede editar el legajo del estudiante</w:t>
      </w:r>
    </w:p>
    <w:p>
      <w:pPr>
        <w:spacing w:before="60" w:after="60"/>
      </w:pPr>
      <w:r>
        <w:rPr>
          <w:rFonts w:ascii="Archivo" w:cs="Archivo" w:eastAsia="Archivo" w:hAnsi="Archivo"/>
          <w:color w:val="666666"/>
          <w:sz w:val="20"/>
          <w:szCs w:val="20"/>
        </w:rPr>
        <w:t xml:space="preserve">Un pase activo (estado Pendiente) bloquea la edición del legajo. Verificá en la solapa Pases. Si el pase es válido, debe completarse. Si fue solicitado por error, el establecimiento puede cancelarlo.</w:t>
      </w:r>
    </w:p>
    <w:p>
      <w:pPr>
        <w:spacing w:before="180" w:after="80"/>
      </w:pPr>
      <w:r>
        <w:rPr>
          <w:rFonts w:ascii="Archivo" w:cs="Archivo" w:eastAsia="Archivo" w:hAnsi="Archivo"/>
          <w:color w:val="0D6B5E"/>
          <w:sz w:val="24"/>
          <w:szCs w:val="24"/>
          <w:b/>
          <w:bCs/>
        </w:rPr>
        <w:t xml:space="preserve">Caso 3: El estudiante tiene un pase activo que nadie inició</w:t>
      </w:r>
    </w:p>
    <w:p>
      <w:pPr>
        <w:spacing w:before="60" w:after="60"/>
      </w:pPr>
      <w:r>
        <w:rPr>
          <w:rFonts w:ascii="Archivo" w:cs="Archivo" w:eastAsia="Archivo" w:hAnsi="Archivo"/>
          <w:color w:val="666666"/>
          <w:sz w:val="20"/>
          <w:szCs w:val="20"/>
        </w:rPr>
        <w:t xml:space="preserve">Puede tratarse de un error del sistema o de una solicitud duplicada. Informá el caso a la Dirección de Área con el nombre del estudiante, el establecimiento y el número de DNI para que puedan revisar y cancelar el pase si corresponde.</w:t>
      </w:r>
    </w:p>
    <w:p>
      <w:pPr>
        <w:spacing w:before="180" w:after="80"/>
      </w:pPr>
      <w:r>
        <w:rPr>
          <w:rFonts w:ascii="Archivo" w:cs="Archivo" w:eastAsia="Archivo" w:hAnsi="Archivo"/>
          <w:color w:val="0D6B5E"/>
          <w:sz w:val="24"/>
          <w:szCs w:val="24"/>
          <w:b/>
          <w:bCs/>
        </w:rPr>
        <w:t xml:space="preserve">Caso 4: El pase fue aprobado pero el estudiante sigue apareciendo en el establecimiento de origen</w:t>
      </w:r>
    </w:p>
    <w:p>
      <w:pPr>
        <w:spacing w:before="60" w:after="60"/>
      </w:pPr>
      <w:r>
        <w:rPr>
          <w:rFonts w:ascii="Archivo" w:cs="Archivo" w:eastAsia="Archivo" w:hAnsi="Archivo"/>
          <w:color w:val="666666"/>
          <w:sz w:val="20"/>
          <w:szCs w:val="20"/>
        </w:rPr>
        <w:t xml:space="preserve">El sistema puede demorar en reflejar el cambio. Si después de 24 horas el estudiante no figura en el establecimiento destino, informá el caso indicando la fecha de aprobación del pase para que puedan verificarlo.</w:t>
      </w:r>
    </w:p>
    <w:p>
      <w:pPr>
        <w:spacing w:before="180" w:after="80"/>
      </w:pPr>
      <w:r>
        <w:rPr>
          <w:rFonts w:ascii="Archivo" w:cs="Archivo" w:eastAsia="Archivo" w:hAnsi="Archivo"/>
          <w:color w:val="0D6B5E"/>
          <w:sz w:val="24"/>
          <w:szCs w:val="24"/>
          <w:b/>
          <w:bCs/>
        </w:rPr>
        <w:t xml:space="preserve">Caso 5: Necesitás verificar la matrícula de un estudiante en otra escuela</w:t>
      </w:r>
    </w:p>
    <w:p>
      <w:pPr>
        <w:spacing w:before="60" w:after="60"/>
      </w:pPr>
      <w:r>
        <w:rPr>
          <w:rFonts w:ascii="Archivo" w:cs="Archivo" w:eastAsia="Archivo" w:hAnsi="Archivo"/>
          <w:color w:val="666666"/>
          <w:sz w:val="20"/>
          <w:szCs w:val="20"/>
        </w:rPr>
        <w:t xml:space="preserve">Usá el buscador global ingresando el DNI del estudiante. El resultado muestra el establecimiento actual, el año, la sección y el estado de matrícula.</w:t>
      </w:r>
    </w:p>
    <w:p>
      <w:pPr>
        <w:spacing w:before="180" w:after="80"/>
      </w:pPr>
      <w:r>
        <w:rPr>
          <w:rFonts w:ascii="Archivo" w:cs="Archivo" w:eastAsia="Archivo" w:hAnsi="Archivo"/>
          <w:color w:val="0D6B5E"/>
          <w:sz w:val="24"/>
          <w:szCs w:val="24"/>
          <w:b/>
          <w:bCs/>
        </w:rPr>
        <w:t xml:space="preserve">Caso 6: El establecimiento solicita dar de alta a un estudiante nuevo</w:t>
      </w:r>
    </w:p>
    <w:p>
      <w:pPr>
        <w:spacing w:before="60" w:after="60"/>
      </w:pPr>
      <w:r>
        <w:rPr>
          <w:rFonts w:ascii="Archivo" w:cs="Archivo" w:eastAsia="Archivo" w:hAnsi="Archivo"/>
          <w:color w:val="666666"/>
          <w:sz w:val="20"/>
          <w:szCs w:val="20"/>
        </w:rPr>
        <w:t xml:space="preserve">Indicá al establecimiento que debe elevar la solicitud a la Dirección de Área con la documentación completa del estudiante (DNI, nombre completo, fecha de nacimiento y nivel). No es posible dar de alta desde el módulo sin la intervención de la Dirección de Área.</w:t>
      </w:r>
    </w:p>
    <w:p>
      <w:pPr>
        <w:spacing w:before="240" w:after="100"/>
        <w:jc w:val="left"/>
      </w:pPr>
      <w:r>
        <w:rPr>
          <w:rFonts w:ascii="Archivo" w:cs="Archivo" w:eastAsia="Archivo" w:hAnsi="Archivo"/>
          <w:color w:val="073244"/>
          <w:sz w:val="28"/>
          <w:szCs w:val="28"/>
          <w:b/>
          <w:bCs/>
        </w:rPr>
        <w:t xml:space="preserve">7. Soporte</w:t>
      </w:r>
    </w:p>
    <w:p>
      <w:pPr>
        <w:spacing w:before="60" w:after="60"/>
      </w:pPr>
      <w:r>
        <w:rPr>
          <w:rFonts w:ascii="Archivo" w:cs="Archivo" w:eastAsia="Archivo" w:hAnsi="Archivo"/>
          <w:color w:val="666666"/>
          <w:sz w:val="20"/>
          <w:szCs w:val="20"/>
        </w:rPr>
        <w:t xml:space="preserve">Si encontrás una situación que no podés resolver con los pasos descritos en este manual:</w:t>
      </w:r>
    </w:p>
    <w:tbl>
      <w:tblPr>
        <w:tblW w:w="8000" w:type="dxa"/>
        <w:tblBorders>
          <w:insideH w:val="single" w:sz="4" w:color="CCCCCC"/>
          <w:insideV w:val="single" w:sz="4" w:color="CCCCCC"/>
        </w:tblBorders>
        <w:tblCellMar>
          <w:top w:w="80" w:type="dxa"/>
          <w:left w:w="100" w:type="dxa"/>
          <w:bottom w:w="80" w:type="dxa"/>
          <w:right w:w="100" w:type="dxa"/>
        </w:tblCellMar>
      </w:tblPr>
      <w:tblGrid>
        <w:gridCol w:w="3500"/>
        <w:gridCol w:w="4500"/>
      </w:tblGrid>
      <w:tr>
        <w:tc>
          <w:tcPr>
            <w:tcW w:w="35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Tipo de problema</w:t>
            </w:r>
          </w:p>
        </w:tc>
        <w:tc>
          <w:tcPr>
            <w:tcW w:w="4500" w:type="dxa"/>
            <w:shd w:val="clear" w:color="auto" w:fill="073244"/>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FFFFFF"/>
                <w:sz w:val="18"/>
                <w:szCs w:val="18"/>
                <w:b/>
                <w:bCs/>
              </w:rPr>
              <w:t xml:space="preserve">A quién derivar</w:t>
            </w:r>
          </w:p>
        </w:tc>
      </w:tr>
      <w:tr>
        <w:tc>
          <w:tcPr>
            <w:tcW w:w="35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Datos incorrectos en el legajo del estudiante</w:t>
            </w:r>
          </w:p>
        </w:tc>
        <w:tc>
          <w:tcPr>
            <w:tcW w:w="45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Al secretario/a o directivo/a del establecimiento para que realice la corrección.</w:t>
            </w:r>
          </w:p>
        </w:tc>
      </w:tr>
      <w:tr>
        <w:tc>
          <w:tcPr>
            <w:tcW w:w="35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Bloqueos o errores del sistema</w:t>
            </w:r>
          </w:p>
        </w:tc>
        <w:tc>
          <w:tcPr>
            <w:tcW w:w="45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 la Dirección de Área, que puede escalar al equipo técnico si es necesario.</w:t>
            </w:r>
          </w:p>
        </w:tc>
      </w:tr>
      <w:tr>
        <w:tc>
          <w:tcPr>
            <w:tcW w:w="35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Estudiante no encontrado en ningún establecimiento</w:t>
            </w:r>
          </w:p>
        </w:tc>
        <w:tc>
          <w:tcPr>
            <w:tcW w:w="45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 la Dirección de Área para gestionar el alta en el sistema.</w:t>
            </w:r>
          </w:p>
        </w:tc>
      </w:tr>
      <w:tr>
        <w:tc>
          <w:tcPr>
            <w:tcW w:w="35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Pase con comportamiento inesperado</w:t>
            </w:r>
          </w:p>
        </w:tc>
        <w:tc>
          <w:tcPr>
            <w:tcW w:w="4500" w:type="dxa"/>
            <w:shd w:val="clear" w:color="auto" w:fill="F5F5F5"/>
            <w:tcBorders>
              <w:top w:val="single" w:sz="4" w:color="CCCCCC"/>
              <w:left w:val="single" w:sz="4" w:color="CCCCCC"/>
              <w:bottom w:val="single" w:sz="4" w:color="CCCCCC"/>
              <w:right w:val="single" w:sz="4" w:color="CCCCCC"/>
            </w:tcBorders>
          </w:tcPr>
          <w:p>
            <w:pPr>
              <w:spacing w:before="60" w:after="60"/>
            </w:pPr>
            <w:r>
              <w:rPr>
                <w:rFonts w:ascii="Archivo" w:cs="Archivo" w:eastAsia="Archivo" w:hAnsi="Archivo"/>
                <w:color w:val="666666"/>
                <w:sz w:val="18"/>
                <w:szCs w:val="18"/>
              </w:rPr>
              <w:t xml:space="preserve">A la Dirección de Área, indicando nombre, DNI, establecimiento de origen y destino.</w:t>
            </w:r>
          </w:p>
        </w:tc>
      </w:tr>
    </w:tbl>
    <w:p>
      <w:pPr>
        <w:ind w:left="360"/>
        <w:spacing w:before="60" w:after="60"/>
      </w:pPr>
      <w:r>
        <w:rPr>
          <w:rFonts w:ascii="Archivo" w:cs="Archivo" w:eastAsia="Archivo" w:hAnsi="Archivo"/>
          <w:color w:val="0D6B5E"/>
          <w:sz w:val="18"/>
          <w:szCs w:val="18"/>
          <w:i/>
          <w:iCs/>
        </w:rPr>
        <w:t xml:space="preserve">ⓘ No compartas datos personales de estudiantes por canales informales. Usá los canales institucionales habilitados por el Ministerio de Educación GCBA.</w:t>
      </w:r>
    </w:p>
    <w:sectPr>
      <w:headerReference r:id="rId8" w:type="default"/>
      <w:footerReference r:id="rId9" w:type="default"/>
      <w:pgSz w:h="16838" w:w="11906" w:orient="portrait"/>
      <w:pgMar w:bottom="120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before="20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after="120" w:lineRule="auto"/>
      <w:rPr/>
    </w:pPr>
    <w:r w:rsidDel="00000000" w:rsidR="00000000" w:rsidRPr="00000000">
      <w:rPr/>
      <w:drawing>
        <wp:anchor allowOverlap="1" behindDoc="0" distB="0" distT="0" distL="0" distR="0" hidden="0" layoutInCell="1" locked="0" relativeHeight="0" simplePos="0">
          <wp:simplePos x="0" y="0"/>
          <wp:positionH relativeFrom="page">
            <wp:posOffset>-9524</wp:posOffset>
          </wp:positionH>
          <wp:positionV relativeFrom="page">
            <wp:posOffset>1905</wp:posOffset>
          </wp:positionV>
          <wp:extent cx="7581688" cy="793433"/>
          <wp:effectExtent b="0" l="0" r="0" t="0"/>
          <wp:wrapSquare wrapText="bothSides" distB="0" distT="0" distL="0" distR="0"/>
          <wp:docPr descr="Header GCBA" id="1" name="image3.jpg"/>
          <a:graphic>
            <a:graphicData uri="http://schemas.openxmlformats.org/drawingml/2006/picture">
              <pic:pic>
                <pic:nvPicPr>
                  <pic:cNvPr descr="Header GCBA" id="0" name="image3.jpg"/>
                  <pic:cNvPicPr preferRelativeResize="0"/>
                </pic:nvPicPr>
                <pic:blipFill>
                  <a:blip r:embed="rId1"/>
                  <a:srcRect b="0" l="0" r="0" t="0"/>
                  <a:stretch>
                    <a:fillRect/>
                  </a:stretch>
                </pic:blipFill>
                <pic:spPr>
                  <a:xfrm>
                    <a:off x="0" y="0"/>
                    <a:ext cx="7581688" cy="79343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