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600" w:before="0"/>
        <w:jc w:val="center"/>
      </w:pPr>
      <w:r>
        <w:drawing>
          <wp:inline distT="0" distB="0" distL="0" distR="0">
            <wp:extent cx="4000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0"/>
      </w:pP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999999"/>
          <w:sz w:val="40"/>
          <w:szCs w:val="40"/>
        </w:rPr>
        <w:t xml:space="preserve">Instructivo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3A4B"/>
          <w:sz w:val="36"/>
          <w:szCs w:val="36"/>
        </w:rPr>
        <w:t xml:space="preserve">¿Cómo matricular a un estudiante?</w:t>
      </w:r>
    </w:p>
    <w:p>
      <w:r>
        <w:br w:type="page"/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Acceso al sistema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Dirigite a 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AprendeBA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 y hacé clic en el botón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Ingresá con tu cuenta @bue.edu.ar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que aparece en la pantalla.</w:t>
      </w:r>
    </w:p>
    <w:p>
      <w:pPr>
        <w:spacing w:after="160" w:before="120"/>
        <w:jc w:val="left"/>
      </w:pPr>
      <w:r>
        <w:drawing>
          <wp:inline distT="0" distB="0" distL="0" distR="0">
            <wp:extent cx="59055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2.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Completá con tu cuenta @bue personal y tu contraseña para poder acceder.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Una vez dentro del sistema, hacé clic en la tarjeta que simboliza el rol: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Dirección de Área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»,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Supervisor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»,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Directivo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o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Equipo de Conducción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</w:t>
      </w:r>
    </w:p>
    <w:p>
      <w:pPr>
        <w:spacing w:after="160" w:before="120"/>
        <w:jc w:val="center"/>
      </w:pPr>
      <w:r>
        <w:drawing>
          <wp:inline distT="0" distB="0" distL="0" distR="0">
            <wp:extent cx="1714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Desde el menú izquierdo, hacé clic sobre el icono de Matriculación. El sistema abrirá el módulo de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Matriculación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</w:t>
      </w:r>
    </w:p>
    <w:p>
      <w:r>
        <w:br w:type="page"/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Cómo matricular a un estudiante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Hacé clic sobre la solapa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Inscriptos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». Allí encontrarás el listado de estudiantes a los que se les ha otorgado vacante en tu establecimiento.</w:t>
      </w:r>
    </w:p>
    <w:p>
      <w:pPr>
        <w:spacing w:after="160" w:before="120"/>
        <w:jc w:val="left"/>
      </w:pPr>
      <w:r>
        <w:drawing>
          <wp:inline distT="0" distB="0" distL="0" distR="0">
            <wp:extent cx="6096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Podés utilizar el buscador para encontrar al alumno por nombre, apellido o número de documento. También podés usar los filtros de 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año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 y 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turno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Al identificar al estudiante, en la columna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Sección a matricular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», encontrarás el desplegable con las secciones disponibles.</w:t>
      </w:r>
    </w:p>
    <w:p>
      <w:pPr>
        <w:spacing w:after="160" w:before="120"/>
        <w:jc w:val="left"/>
      </w:pPr>
      <w:r>
        <w:drawing>
          <wp:inline distT="0" distB="0" distL="0" distR="0">
            <wp:extent cx="2667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09688" w:sz="12" w:space="8"/>
        </w:pBdr>
        <w:spacing w:after="160" w:before="160"/>
        <w:ind w:left="300"/>
      </w:pPr>
      <w:r>
        <w:rPr>
          <w:rFonts w:ascii="Calibri" w:cs="Calibri" w:eastAsia="Calibri" w:hAnsi="Calibri"/>
          <w:b/>
          <w:bCs/>
          <w:i/>
          <w:iCs/>
          <w:color w:val="666666"/>
          <w:sz w:val="22"/>
          <w:szCs w:val="22"/>
        </w:rPr>
        <w:t xml:space="preserve">IMPORTANTE: 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Solo se listan las secciones creadas en tu establecimiento según el año.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Seleccionada la sección, hacé clic en el botón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Matricular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(esquina superior derecha, en verde).</w:t>
      </w:r>
    </w:p>
    <w:p>
      <w:pPr>
        <w:spacing w:after="160" w:before="120"/>
        <w:jc w:val="left"/>
      </w:pPr>
      <w:r>
        <w:drawing>
          <wp:inline distT="0" distB="0" distL="0" distR="0">
            <wp:extent cx="6096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Se abrirá una pantalla de confirmación con los datos del estudiante. Verificá la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Fecha efectiva de matriculación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y completá la fecha exacta.</w:t>
      </w:r>
    </w:p>
    <w:p>
      <w:pPr>
        <w:spacing w:after="160" w:before="120"/>
        <w:jc w:val="center"/>
      </w:pPr>
      <w:r>
        <w:drawing>
          <wp:inline distT="0" distB="0" distL="0" distR="0">
            <wp:extent cx="3810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09688" w:sz="12" w:space="8"/>
        </w:pBdr>
        <w:spacing w:after="160" w:before="160"/>
        <w:ind w:left="300"/>
      </w:pPr>
      <w:r>
        <w:rPr>
          <w:rFonts w:ascii="Calibri" w:cs="Calibri" w:eastAsia="Calibri" w:hAnsi="Calibri"/>
          <w:b/>
          <w:bCs/>
          <w:i/>
          <w:iCs/>
          <w:color w:val="666666"/>
          <w:sz w:val="22"/>
          <w:szCs w:val="22"/>
        </w:rPr>
        <w:t xml:space="preserve">Atención: 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el sistema informa si la fecha tiene diferencia en días hábiles y solicitará completar la asistencia retroactiva.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Hacé clic en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Aceptar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para confirmar la matriculación.</w:t>
      </w:r>
    </w:p>
    <w:p>
      <w:pPr>
        <w:spacing w:after="140" w:before="140"/>
      </w:pP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¡Listo!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El alumno está matriculado. Podés encontrarlo en la solapa «Matriculados».</w:t>
      </w:r>
    </w:p>
    <w:p>
      <w:pPr>
        <w:spacing w:after="160" w:before="120"/>
        <w:jc w:val="left"/>
      </w:pPr>
      <w:r>
        <w:drawing>
          <wp:inline distT="0" distB="0" distL="0" distR="0">
            <wp:extent cx="6096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¡Importante!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Es fundamental completar la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Fecha efectiva de matriculación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con los datos correctos, ya que determina el inicio de la toma de presentismo del estudiante.</w:t>
      </w:r>
    </w:p>
    <w:p>
      <w:pPr>
        <w:spacing w:after="160" w:before="120"/>
        <w:jc w:val="left"/>
      </w:pPr>
      <w:r>
        <w:drawing>
          <wp:inline distT="0" distB="0" distL="0" distR="0">
            <wp:extent cx="5905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Si la fecha es incorrecta, solo el rol «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Dirección de área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» podrá modificarla:</w:t>
      </w:r>
    </w:p>
    <w:p>
      <w:pPr>
        <w:spacing w:after="140" w:before="8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1 | Desde el legajo del estudiante (menú de 3 puntos → «Ver legajo»), en «Datos Personales», sección «Datos de la institución».</w:t>
      </w:r>
    </w:p>
    <w:p>
      <w:pPr>
        <w:spacing w:after="140" w:before="8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2 | Hacé clic en «Fecha efectiva de matriculación» y seleccioná la fecha correcta.</w:t>
      </w:r>
    </w:p>
    <w:p>
      <w:pPr>
        <w:spacing w:after="140" w:before="8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3 | Hacé clic en «Guardar». Si se realizó correctamente verás el mensaje «El legajo se ha guardado con éxito».</w:t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¡Antes de irte!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Por cualquier duda podés ingresar a la </w:t>
      </w:r>
      <w:r>
        <w:rPr>
          <w:rFonts w:ascii="Calibri" w:cs="Calibri" w:eastAsia="Calibri" w:hAnsi="Calibri"/>
          <w:b/>
          <w:bCs/>
          <w:color w:val="1B3A4B"/>
          <w:sz w:val="24"/>
          <w:szCs w:val="24"/>
        </w:rPr>
        <w:t xml:space="preserve">mesa de ayuda de AprendeBA</w:t>
      </w:r>
      <w:r>
        <w:rPr>
          <w:rFonts w:ascii="Calibri" w:cs="Calibri" w:eastAsia="Calibri" w:hAnsi="Calibri"/>
          <w:b w:val="false"/>
          <w:bCs w:val="false"/>
          <w:color w:val="1B3A4B"/>
          <w:sz w:val="24"/>
          <w:szCs w:val="24"/>
        </w:rPr>
        <w:t xml:space="preserve"> o al sitio web.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También podés comunicarte al 147 (Ciudad) o al 0800 999 2727 (resto del país).</w:t>
      </w:r>
    </w:p>
    <w:p>
      <w:r>
        <w:br w:type="page"/>
      </w:r>
    </w:p>
    <w:p>
      <w:pPr>
        <w:pBdr>
          <w:bottom w:val="single" w:color="1B3A4B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4B"/>
          <w:sz w:val="26"/>
          <w:szCs w:val="26"/>
        </w:rPr>
        <w:t xml:space="preserve">Novedades — Deploy 17 de junio de 2026</w:t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Las siguientes mejoras de experiencia de usuario fueron incorporadas al módulo de Matriculación en el deploy a producción del 17 de junio de 2026.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9688"/>
          <w:sz w:val="24"/>
          <w:szCs w:val="24"/>
        </w:rPr>
        <w:t xml:space="preserve">Mejora 1 — Buscador global</w:t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La pantalla de Matriculación incorpora una nueva solapa «Búsqueda Global» que permite buscar estudiantes en toda la plataforma, sin importar la escuela a la que pertenecen.</w:t>
      </w:r>
    </w:p>
    <w:p>
      <w:pPr>
        <w:pBdr>
          <w:left w:val="single" w:color="009688" w:sz="12" w:space="8"/>
        </w:pBdr>
        <w:spacing w:after="160" w:before="160"/>
        <w:ind w:left="300"/>
      </w:pPr>
      <w:r>
        <w:rPr>
          <w:rFonts w:ascii="Calibri" w:cs="Calibri" w:eastAsia="Calibri" w:hAnsi="Calibri"/>
          <w:b/>
          <w:bCs/>
          <w:i/>
          <w:iCs/>
          <w:color w:val="666666"/>
          <w:sz w:val="22"/>
          <w:szCs w:val="22"/>
        </w:rPr>
        <w:t xml:space="preserve">Disponible para: 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Directivo, Conducción y Supervisión. La búsqueda es de solo lectura: no permite realizar modificaciones desde esta vista.</w:t>
      </w:r>
    </w:p>
    <w:p>
      <w:pPr>
        <w:spacing w:after="160" w:before="120"/>
        <w:jc w:val="left"/>
      </w:pPr>
      <w:r>
        <w:drawing>
          <wp:inline distT="0" distB="0" distL="0" distR="0">
            <wp:extent cx="59055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9688"/>
          <w:sz w:val="24"/>
          <w:szCs w:val="24"/>
        </w:rPr>
        <w:t xml:space="preserve">Mejora 2 — Validaciones con alertas en el formulario FEM</w:t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El formulario FEM valida los campos en tiempo real. Si detecta datos inconsistentes, muestra una alerta naranja indicando qué campo requiere corrección.</w:t>
      </w:r>
    </w:p>
    <w:p>
      <w:pPr>
        <w:pBdr>
          <w:left w:val="single" w:color="009688" w:sz="12" w:space="8"/>
        </w:pBdr>
        <w:spacing w:after="160" w:before="160"/>
        <w:ind w:left="300"/>
      </w:pPr>
      <w:r>
        <w:rPr>
          <w:rFonts w:ascii="Calibri" w:cs="Calibri" w:eastAsia="Calibri" w:hAnsi="Calibri"/>
          <w:b/>
          <w:bCs/>
          <w:i/>
          <w:iCs/>
          <w:color w:val="666666"/>
          <w:sz w:val="22"/>
          <w:szCs w:val="22"/>
        </w:rPr>
        <w:t xml:space="preserve">El botón «Confirmar» solo se habilita cuando todos los campos son válidos.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9688"/>
          <w:sz w:val="24"/>
          <w:szCs w:val="24"/>
        </w:rPr>
        <w:t xml:space="preserve">Mejora 5 — Indicadores visuales de capacidad en secciones</w:t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Las secciones ahora muestran indicadores visuales de ocupación para facilitar la asignación de estudiantes: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4CAF50"/>
          <w:sz w:val="24"/>
          <w:szCs w:val="24"/>
        </w:rPr>
        <w:t xml:space="preserve">■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Disponible — 0 al 74% de ocupación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FFC107"/>
          <w:sz w:val="24"/>
          <w:szCs w:val="24"/>
        </w:rPr>
        <w:t xml:space="preserve">■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Alta ocupación — 75 al 94%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FF9800"/>
          <w:sz w:val="24"/>
          <w:szCs w:val="24"/>
        </w:rPr>
        <w:t xml:space="preserve">■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Casi llena — 95 al 99%</w:t>
      </w:r>
    </w:p>
    <w:p>
      <w:pPr>
        <w:spacing w:after="80" w:before="80"/>
        <w:ind w:left="500"/>
      </w:pPr>
      <w:r>
        <w:rPr>
          <w:rFonts w:ascii="Calibri" w:cs="Calibri" w:eastAsia="Calibri" w:hAnsi="Calibri"/>
          <w:color w:val="F44336"/>
          <w:sz w:val="24"/>
          <w:szCs w:val="24"/>
        </w:rPr>
        <w:t xml:space="preserve">■ </w:t>
      </w:r>
      <w:r>
        <w:rPr>
          <w:rFonts w:ascii="Calibri" w:cs="Calibri" w:eastAsia="Calibri" w:hAnsi="Calibri"/>
          <w:color w:val="1B3A4B"/>
          <w:sz w:val="24"/>
          <w:szCs w:val="24"/>
        </w:rPr>
        <w:t xml:space="preserve">Llena — 100%</w:t>
      </w:r>
    </w:p>
    <w:p>
      <w:pPr>
        <w:spacing w:after="160" w:before="120"/>
        <w:jc w:val="left"/>
      </w:pPr>
      <w:r>
        <w:drawing>
          <wp:inline distT="0" distB="0" distL="0" distR="0">
            <wp:extent cx="5905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009688"/>
          <w:sz w:val="24"/>
          <w:szCs w:val="24"/>
        </w:rPr>
        <w:t xml:space="preserve">Mejora 7 — Desmatriculación con motivos tipificados</w:t>
      </w:r>
    </w:p>
    <w:p>
      <w:pPr>
        <w:spacing w:after="140" w:before="140"/>
      </w:pPr>
      <w:r>
        <w:rPr>
          <w:rFonts w:ascii="Calibri" w:cs="Calibri" w:eastAsia="Calibri" w:hAnsi="Calibri"/>
          <w:color w:val="1B3A4B"/>
          <w:sz w:val="24"/>
          <w:szCs w:val="24"/>
        </w:rPr>
        <w:t xml:space="preserve">Al desmatricular a un/a estudiante, ahora es obligatorio seleccionar un motivo de desmatriculación. El sistema ofrece 13 motivos tipificados.</w:t>
      </w:r>
    </w:p>
    <w:p>
      <w:pPr>
        <w:pBdr>
          <w:left w:val="single" w:color="009688" w:sz="12" w:space="8"/>
        </w:pBdr>
        <w:spacing w:after="160" w:before="160"/>
        <w:ind w:left="300"/>
      </w:pPr>
      <w:r>
        <w:rPr>
          <w:rFonts w:ascii="Calibri" w:cs="Calibri" w:eastAsia="Calibri" w:hAnsi="Calibri"/>
          <w:b/>
          <w:bCs/>
          <w:i/>
          <w:iCs/>
          <w:color w:val="666666"/>
          <w:sz w:val="22"/>
          <w:szCs w:val="22"/>
        </w:rPr>
        <w:t xml:space="preserve">Opción «Otro (uso excepcional)»: 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muestra una alerta de advertencia. El motivo queda registrado en el historial del estudiante.</w:t>
      </w:r>
    </w:p>
    <w:sectPr>
      <w:headerReference w:type="default" r:id="rId7"/>
      <w:footerReference w:type="default" r:id="rId8"/>
      <w:pgSz w:w="11906" w:h="16838" w:orient="portrait"/>
      <w:pgMar w:top="1400" w:right="1000" w:bottom="1400" w:left="100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inline distT="0" distB="0" distL="0" distR="0">
          <wp:extent cx="6477000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inline distT="0" distB="0" distL="0" distR="0">
          <wp:extent cx="64770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601a5a6d3f386beb311afe6f44f7f3575c4337.png"/><Relationship Id="rId10" Type="http://schemas.openxmlformats.org/officeDocument/2006/relationships/image" Target="media/e8ede1d053c5591193c26ce723d95846905989e6.png"/><Relationship Id="rId11" Type="http://schemas.openxmlformats.org/officeDocument/2006/relationships/image" Target="media/a881e0f6a097c0fff9197dffc71ebe8492576002.png"/><Relationship Id="rId12" Type="http://schemas.openxmlformats.org/officeDocument/2006/relationships/image" Target="media/0c22ca778c820ec263483d573f5b8629e75a2c6f.png"/><Relationship Id="rId13" Type="http://schemas.openxmlformats.org/officeDocument/2006/relationships/image" Target="media/dcf0cb983a59cc63793828729d4852501e361584.png"/><Relationship Id="rId14" Type="http://schemas.openxmlformats.org/officeDocument/2006/relationships/image" Target="media/f5ff1f41f3ed16b475095075c53a07a935316130.png"/><Relationship Id="rId15" Type="http://schemas.openxmlformats.org/officeDocument/2006/relationships/image" Target="media/602131e8eaeb36d66a7265fdbcd83d07b06b45b3.png"/><Relationship Id="rId16" Type="http://schemas.openxmlformats.org/officeDocument/2006/relationships/image" Target="media/e4a92c3348fd98dad62fcab1b1a2bcabe945932e.png"/><Relationship Id="rId17" Type="http://schemas.openxmlformats.org/officeDocument/2006/relationships/image" Target="media/169626eacb3db1b8c94150630fee6cb700a7d24b.png"/><Relationship Id="rId18" Type="http://schemas.openxmlformats.org/officeDocument/2006/relationships/image" Target="media/7cdec91dc312c255f41b5f83b3841839d3c559f2.png"/><Relationship Id="rId19" Type="http://schemas.openxmlformats.org/officeDocument/2006/relationships/image" Target="media/24f53092f987367909dacd91a699fbf98fccb20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cc0779490389ed9f2c5f5813a136d25dc245c1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b74073fbad3ef262f25768d653e5e841a347725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2026-08-11T13:38:18.624Z</dcterms:created>
  <dcterms:modified xsi:type="dcterms:W3CDTF">2026-08-11T13:38:18.625Z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