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2D6A2D"/>
          <w:sz w:val="30"/>
          <w:szCs w:val="30"/>
        </w:rPr>
        <w:t xml:space="preserve">KD Tree — Syracuse, NY</w:t>
      </w:r>
    </w:p>
    <w:p>
      <w:pPr>
        <w:pBdr>
          <w:bottom w:val="single" w:color="2D6A2D" w:sz="4" w:space="4"/>
        </w:pBdr>
        <w:spacing w:after="280"/>
      </w:pPr>
      <w:r>
        <w:rPr>
          <w:rFonts w:ascii="Arial" w:cs="Arial" w:eastAsia="Arial" w:hAnsi="Arial"/>
          <w:color w:val="777777"/>
          <w:sz w:val="22"/>
          <w:szCs w:val="22"/>
        </w:rPr>
        <w:t xml:space="preserve">Opened Opportunities Summary  |  June 1–17, 2026</w:t>
      </w:r>
    </w:p>
    <w:p>
      <w:pPr>
        <w:spacing w:after="200"/>
      </w:pPr>
      <w:r>
        <w:rPr>
          <w:rFonts w:ascii="Arial" w:cs="Arial" w:eastAsia="Arial" w:hAnsi="Arial"/>
          <w:b/>
          <w:bCs/>
          <w:sz w:val="24"/>
          <w:szCs w:val="24"/>
        </w:rPr>
        <w:t xml:space="preserve">Total Leads: </w:t>
      </w:r>
      <w:r>
        <w:rPr>
          <w:rFonts w:ascii="Arial" w:cs="Arial" w:eastAsia="Arial" w:hAnsi="Arial"/>
          <w:sz w:val="24"/>
          <w:szCs w:val="24"/>
        </w:rPr>
        <w:t xml:space="preserve">KD Tree Syracuse has 67 open opportunities for June 2026, all currently active in the pipeline. The majority of leads are direct/organic, with 11 coming through Optin Claim for Website and 1 from Google — showing early traction from digital channels in the Syracuse market.</w:t>
      </w:r>
    </w:p>
    <w:p>
      <w:pPr>
        <w:spacing w:after="200"/>
      </w:pPr>
      <w:r>
        <w:rPr>
          <w:rFonts w:ascii="Arial" w:cs="Arial" w:eastAsia="Arial" w:hAnsi="Arial"/>
          <w:b/>
          <w:bCs/>
          <w:sz w:val="24"/>
          <w:szCs w:val="24"/>
        </w:rPr>
        <w:t xml:space="preserve">Appointments Booked: </w:t>
      </w:r>
      <w:r>
        <w:rPr>
          <w:rFonts w:ascii="Arial" w:cs="Arial" w:eastAsia="Arial" w:hAnsi="Arial"/>
          <w:sz w:val="24"/>
          <w:szCs w:val="24"/>
        </w:rPr>
        <w:t xml:space="preserve">37 prospects have confirmed appointments, making this the strongest stage in the funnel. Key booked leads include illya, Willis Knighton, Victor, Richard (x2), Michael, Mark Fricano, Julia Scott, Gabrielle LaBare, and Edward Rosecrans, among others. Proposals and confirmations should be sent to all 37 ahead of their scheduled visits.</w:t>
      </w:r>
    </w:p>
    <w:p>
      <w:pPr>
        <w:spacing w:after="200"/>
      </w:pPr>
      <w:r>
        <w:rPr>
          <w:rFonts w:ascii="Arial" w:cs="Arial" w:eastAsia="Arial" w:hAnsi="Arial"/>
          <w:b/>
          <w:bCs/>
          <w:sz w:val="24"/>
          <w:szCs w:val="24"/>
        </w:rPr>
        <w:t xml:space="preserve">Follow Up to Close: </w:t>
      </w:r>
      <w:r>
        <w:rPr>
          <w:rFonts w:ascii="Arial" w:cs="Arial" w:eastAsia="Arial" w:hAnsi="Arial"/>
          <w:sz w:val="24"/>
          <w:szCs w:val="24"/>
        </w:rPr>
        <w:t xml:space="preserve">10 leads are at the Follow Up to Close stage and represent the most immediate revenue — Trish Nichols, Melissa, Megan, Lauren Robinson (Google), Keli Clark, Karim, Dave Cooley, Cody Harrington, Ariana Herr, and Alexander Monday. These should be called this week with a firm closing offer to convert before end of month.</w:t>
      </w:r>
    </w:p>
    <w:p>
      <w:pPr>
        <w:spacing w:after="200"/>
      </w:pPr>
      <w:r>
        <w:rPr>
          <w:rFonts w:ascii="Arial" w:cs="Arial" w:eastAsia="Arial" w:hAnsi="Arial"/>
          <w:b/>
          <w:bCs/>
          <w:sz w:val="24"/>
          <w:szCs w:val="24"/>
        </w:rPr>
        <w:t xml:space="preserve">Other Pipeline Stages: </w:t>
      </w:r>
      <w:r>
        <w:rPr>
          <w:rFonts w:ascii="Arial" w:cs="Arial" w:eastAsia="Arial" w:hAnsi="Arial"/>
          <w:sz w:val="24"/>
          <w:szCs w:val="24"/>
        </w:rPr>
        <w:t xml:space="preserve">8 prospects are New Leads requiring initial outreach, 4 are Hot Leads (sean, Sam, Erin, Chris) ready for site visit scheduling, 4 are Pending Service Completion (shalyne, Dawn Johnson, Britney/Russel, Bills), 2 are Non Closed needing review, and 2 (Frank, Dan Treible) have already completed service — ideal candidates for a referral or upsell follow-up.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2026-06-17T21:07:22.428Z</dcterms:created>
  <dcterms:modified xsi:type="dcterms:W3CDTF">2026-06-17T21:07:22.436Z</dcterms:modified>
</cp:coreProperties>
</file>

<file path=docProps/custom.xml><?xml version="1.0" encoding="utf-8"?>
<Properties xmlns="http://schemas.openxmlformats.org/officeDocument/2006/custom-properties" xmlns:vt="http://schemas.openxmlformats.org/officeDocument/2006/docPropsVTypes"/>
</file>