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Times New Roman" w:cs="Times New Roman" w:eastAsia="Times New Roman" w:hAnsi="Times New Roman"/>
          <w:sz w:val="24"/>
          <w:szCs w:val="24"/>
        </w:rPr>
        <w:t xml:space="preserve"/>
      </w:r>
    </w:p>
    <w:p>
      <w:pPr>
        <w:spacing w:after="120" w:before="0"/>
        <w:jc w:val="center"/>
      </w:pPr>
      <w:r>
        <w:rPr>
          <w:rFonts w:ascii="Arial" w:cs="Arial" w:eastAsia="Arial" w:hAnsi="Arial"/>
          <w:b/>
          <w:bCs/>
          <w:color w:val="1F3864"/>
          <w:sz w:val="36"/>
          <w:szCs w:val="36"/>
        </w:rPr>
        <w:t xml:space="preserve">TRANSFORMATIVE TECHNOLOGIES IN INFORMATION TECHNOLOGY:</w:t>
      </w:r>
    </w:p>
    <w:p>
      <w:pPr>
        <w:spacing w:after="480" w:before="0"/>
        <w:jc w:val="center"/>
      </w:pPr>
      <w:r>
        <w:rPr>
          <w:rFonts w:ascii="Arial" w:cs="Arial" w:eastAsia="Arial" w:hAnsi="Arial"/>
          <w:b/>
          <w:bCs/>
          <w:color w:val="2E5496"/>
          <w:sz w:val="28"/>
          <w:szCs w:val="28"/>
        </w:rPr>
        <w:t xml:space="preserve">Trends, Impacts, and Ethical Considerations</w:t>
      </w:r>
    </w:p>
    <w:p>
      <w:pPr>
        <w:spacing w:after="1440" w:before="0"/>
        <w:jc w:val="center"/>
      </w:pPr>
      <w:r>
        <w:rPr>
          <w:rFonts w:ascii="Times New Roman" w:cs="Times New Roman" w:eastAsia="Times New Roman" w:hAnsi="Times New Roman"/>
          <w:i/>
          <w:iCs/>
          <w:sz w:val="24"/>
          <w:szCs w:val="24"/>
        </w:rPr>
        <w:t xml:space="preserve">A Research Paper</w:t>
      </w:r>
    </w:p>
    <w:p>
      <w:pPr>
        <w:spacing w:after="120"/>
        <w:jc w:val="center"/>
      </w:pPr>
      <w:r>
        <w:rPr>
          <w:rFonts w:ascii="Times New Roman" w:cs="Times New Roman" w:eastAsia="Times New Roman" w:hAnsi="Times New Roman"/>
          <w:sz w:val="24"/>
          <w:szCs w:val="24"/>
        </w:rPr>
        <w:t xml:space="preserve">Department of Information Technology</w:t>
      </w:r>
    </w:p>
    <w:p>
      <w:pPr>
        <w:spacing w:after="0"/>
        <w:jc w:val="center"/>
      </w:pPr>
      <w:r>
        <w:rPr>
          <w:rFonts w:ascii="Times New Roman" w:cs="Times New Roman" w:eastAsia="Times New Roman" w:hAnsi="Times New Roman"/>
          <w:sz w:val="24"/>
          <w:szCs w:val="24"/>
        </w:rPr>
        <w:t xml:space="preserve">2026</w:t>
      </w:r>
    </w:p>
    <w:p>
      <w:pPr>
        <w:spacing w:after="0"/>
      </w:pPr>
      <w:r>
        <w:br/>
      </w:r>
    </w:p>
    <w:p>
      <w:pPr>
        <w:pStyle w:val="Heading1"/>
      </w:pPr>
      <w:r>
        <w:rPr>
          <w:rFonts w:ascii="Arial" w:cs="Arial" w:eastAsia="Arial" w:hAnsi="Arial"/>
          <w:b/>
          <w:bCs/>
          <w:color w:val="1F3864"/>
          <w:sz w:val="32"/>
          <w:szCs w:val="32"/>
        </w:rPr>
        <w:t xml:space="preserve">Abstract</w:t>
      </w:r>
    </w:p>
    <w:p>
      <w:pPr>
        <w:spacing w:after="120" w:before="0" w:line="480" w:lineRule="auto"/>
        <w:jc w:val="both"/>
      </w:pPr>
      <w:r>
        <w:rPr>
          <w:rFonts w:ascii="Times New Roman" w:cs="Times New Roman" w:eastAsia="Times New Roman" w:hAnsi="Times New Roman"/>
          <w:sz w:val="24"/>
          <w:szCs w:val="24"/>
        </w:rPr>
        <w:t xml:space="preserve">This paper provides an expanded academic examination of five landmark technological domains that are redefining the landscape of Information Technology (IT) and adjacent fields: Artificial Intelligence (AI) and Generative Models, CRISPR Gene Editing, mRNA Vaccines and Therapeutics, Quantum Computing, and Renewable Energy and Storage Technologies. Each domain is explored in depth with particular emphasis on its relevance to IT infrastructure, software systems, and data engineering. Additionally, this paper critically addresses the ethical concerns that emerged during the data collection and curation phases of AI development — a frequently underexamined area that carries significant implications for fairness, privacy, and systemic trust in AI systems. The paper concludes with forward-looking perspectives on responsible innovation.</w:t>
      </w:r>
    </w:p>
    <w:p>
      <w:pPr>
        <w:spacing w:after="0" w:before="0" w:line="240" w:lineRule="auto"/>
      </w:pPr>
      <w:r>
        <w:t xml:space="preserve"/>
      </w:r>
    </w:p>
    <w:p>
      <w:pPr>
        <w:spacing w:after="120" w:before="0" w:line="480" w:lineRule="auto"/>
        <w:jc w:val="both"/>
      </w:pPr>
      <w:r>
        <w:rPr>
          <w:rFonts w:ascii="Times New Roman" w:cs="Times New Roman" w:eastAsia="Times New Roman" w:hAnsi="Times New Roman"/>
          <w:b/>
          <w:bCs/>
          <w:sz w:val="24"/>
          <w:szCs w:val="24"/>
        </w:rPr>
        <w:t xml:space="preserve">Keywords: </w:t>
      </w:r>
    </w:p>
    <w:p>
      <w:pPr>
        <w:spacing w:after="120" w:before="0" w:line="480" w:lineRule="auto"/>
        <w:jc w:val="both"/>
      </w:pPr>
      <w:r>
        <w:rPr>
          <w:rFonts w:ascii="Times New Roman" w:cs="Times New Roman" w:eastAsia="Times New Roman" w:hAnsi="Times New Roman"/>
          <w:sz w:val="24"/>
          <w:szCs w:val="24"/>
        </w:rPr>
        <w:t xml:space="preserve">Artificial Intelligence, Generative Models, CRISPR, mRNA Therapeutics, Quantum Computing, Renewable Energy, AI Ethics, Data Ethics, Bias, Privacy, IT Trends.</w:t>
      </w:r>
    </w:p>
    <w:p>
      <w:pPr>
        <w:spacing w:after="0" w:before="0" w:line="240" w:lineRule="auto"/>
      </w:pPr>
      <w:r>
        <w:t xml:space="preserve"/>
      </w:r>
    </w:p>
    <w:p>
      <w:pPr>
        <w:pStyle w:val="Heading1"/>
      </w:pPr>
      <w:r>
        <w:rPr>
          <w:rFonts w:ascii="Arial" w:cs="Arial" w:eastAsia="Arial" w:hAnsi="Arial"/>
          <w:b/>
          <w:bCs/>
          <w:color w:val="1F3864"/>
          <w:sz w:val="32"/>
          <w:szCs w:val="32"/>
        </w:rPr>
        <w:t xml:space="preserve">Table of Contents</w:t>
      </w:r>
    </w:p>
    <w:p>
      <w:pPr>
        <w:spacing w:after="120"/>
      </w:pPr>
      <w:r>
        <w:rPr>
          <w:i/>
          <w:iCs/>
          <w:color w:val="888888"/>
          <w:sz w:val="20"/>
          <w:szCs w:val="20"/>
        </w:rPr>
        <w:t xml:space="preserve">(Update field after opening in Word: right-click &gt; Update Field)</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0" w:before="0" w:line="240" w:lineRule="auto"/>
      </w:pPr>
      <w:r>
        <w:t xml:space="preserve"/>
      </w:r>
    </w:p>
    <w:p>
      <w:pPr>
        <w:pStyle w:val="Heading1"/>
      </w:pPr>
      <w:r>
        <w:rPr>
          <w:rFonts w:ascii="Arial" w:cs="Arial" w:eastAsia="Arial" w:hAnsi="Arial"/>
          <w:b/>
          <w:bCs/>
          <w:color w:val="1F3864"/>
          <w:sz w:val="32"/>
          <w:szCs w:val="32"/>
        </w:rPr>
        <w:t xml:space="preserve">1. Introduction</w:t>
      </w:r>
    </w:p>
    <w:p>
      <w:pPr>
        <w:spacing w:after="120" w:before="0" w:line="480" w:lineRule="auto"/>
        <w:jc w:val="both"/>
      </w:pPr>
      <w:r>
        <w:rPr>
          <w:rFonts w:ascii="Times New Roman" w:cs="Times New Roman" w:eastAsia="Times New Roman" w:hAnsi="Times New Roman"/>
          <w:sz w:val="24"/>
          <w:szCs w:val="24"/>
        </w:rPr>
        <w:t xml:space="preserve">The pace of technological transformation in the twenty-first century has accelerated beyond the projections of even the most optimistic futurists of previous decades. Information Technology, once conceived as a support function for organisational operations, has evolved into the primary engine of global economic activity, scientific discovery, and social interaction. Five technological domains in particular stand out for their disruptive potential and their deep integration with IT systems and infrastructures.</w:t>
      </w:r>
    </w:p>
    <w:p>
      <w:pPr>
        <w:spacing w:after="120" w:before="0" w:line="480" w:lineRule="auto"/>
        <w:jc w:val="both"/>
      </w:pPr>
      <w:r>
        <w:rPr>
          <w:rFonts w:ascii="Times New Roman" w:cs="Times New Roman" w:eastAsia="Times New Roman" w:hAnsi="Times New Roman"/>
          <w:sz w:val="24"/>
          <w:szCs w:val="24"/>
        </w:rPr>
        <w:t xml:space="preserve">Artificial Intelligence and Generative Models are rewriting how software is developed, deployed, and consumed. CRISPR gene-editing technologies, while rooted in biology, rely on massive computational resources for genomic data analysis and bioinformatics pipelines. mRNA vaccine platforms depend on cloud infrastructure and distributed computing for research, logistics, and clinical trial management. Quantum Computing is poised to obsolete current encryption standards while enabling entirely new classes of algorithms. Renewable Energy and Storage technologies are transforming the physical infrastructure of data centres and IT operations globally.</w:t>
      </w:r>
    </w:p>
    <w:p>
      <w:pPr>
        <w:spacing w:after="120" w:before="0" w:line="480" w:lineRule="auto"/>
        <w:jc w:val="both"/>
      </w:pPr>
      <w:r>
        <w:rPr>
          <w:rFonts w:ascii="Times New Roman" w:cs="Times New Roman" w:eastAsia="Times New Roman" w:hAnsi="Times New Roman"/>
          <w:sz w:val="24"/>
          <w:szCs w:val="24"/>
        </w:rPr>
        <w:t xml:space="preserve">This paper examines each domain in expanded detail, drawing connections to IT practice where relevant, before dedicating significant analysis to the ethical controversies surrounding data practices in AI development — arguably the most pressing governance challenge in modern computing.</w:t>
      </w:r>
    </w:p>
    <w:p>
      <w:pPr>
        <w:spacing w:after="0" w:before="0" w:line="240" w:lineRule="auto"/>
      </w:pPr>
      <w:r>
        <w:t xml:space="preserve"/>
      </w:r>
    </w:p>
    <w:p>
      <w:pPr>
        <w:pStyle w:val="Heading1"/>
      </w:pPr>
      <w:r>
        <w:rPr>
          <w:rFonts w:ascii="Arial" w:cs="Arial" w:eastAsia="Arial" w:hAnsi="Arial"/>
          <w:b/>
          <w:bCs/>
          <w:color w:val="1F3864"/>
          <w:sz w:val="32"/>
          <w:szCs w:val="32"/>
        </w:rPr>
        <w:t xml:space="preserve">2. Artificial Intelligence and Generative Models</w:t>
      </w:r>
    </w:p>
    <w:p>
      <w:pPr>
        <w:pStyle w:val="Heading2"/>
      </w:pPr>
      <w:r>
        <w:rPr>
          <w:rFonts w:ascii="Arial" w:cs="Arial" w:eastAsia="Arial" w:hAnsi="Arial"/>
          <w:b/>
          <w:bCs/>
          <w:color w:val="2E5496"/>
          <w:sz w:val="26"/>
          <w:szCs w:val="26"/>
        </w:rPr>
        <w:t xml:space="preserve">2.1 Overview and Evolution</w:t>
      </w:r>
    </w:p>
    <w:p>
      <w:pPr>
        <w:spacing w:after="120" w:before="0" w:line="480" w:lineRule="auto"/>
        <w:jc w:val="both"/>
      </w:pPr>
      <w:r>
        <w:rPr>
          <w:rFonts w:ascii="Times New Roman" w:cs="Times New Roman" w:eastAsia="Times New Roman" w:hAnsi="Times New Roman"/>
          <w:sz w:val="24"/>
          <w:szCs w:val="24"/>
        </w:rPr>
        <w:t xml:space="preserve">Artificial Intelligence has undergone a fundamental paradigm shift from rule-based expert systems towards deep learning architectures that derive statistical patterns from enormous datasets. The contemporary AI stack is built on transformer architectures — neural networks that process sequences of data tokens in parallel — enabling the emergence of large language models (LLMs), image synthesis systems, code generation tools, and multimodal agents capable of operating across text, vision, and audio simultaneously.</w:t>
      </w:r>
    </w:p>
    <w:p>
      <w:pPr>
        <w:spacing w:after="120" w:before="0" w:line="480" w:lineRule="auto"/>
        <w:jc w:val="both"/>
      </w:pPr>
      <w:r>
        <w:rPr>
          <w:rFonts w:ascii="Times New Roman" w:cs="Times New Roman" w:eastAsia="Times New Roman" w:hAnsi="Times New Roman"/>
          <w:sz w:val="24"/>
          <w:szCs w:val="24"/>
        </w:rPr>
        <w:t xml:space="preserve">Generative AI, exemplified by systems such as large language models, diffusion-based image generators, and code synthesis engines, represents a qualitative departure from prior AI applications. Rather than classifying or predicting from existing categories, generative models produce novel artefacts — source code, prose, clinical documentation, synthetic training data — with a degree of coherence and contextual awareness previously associated exclusively with human cognition.</w:t>
      </w:r>
    </w:p>
    <w:p>
      <w:pPr>
        <w:pStyle w:val="Heading2"/>
      </w:pPr>
      <w:r>
        <w:rPr>
          <w:rFonts w:ascii="Arial" w:cs="Arial" w:eastAsia="Arial" w:hAnsi="Arial"/>
          <w:b/>
          <w:bCs/>
          <w:color w:val="2E5496"/>
          <w:sz w:val="26"/>
          <w:szCs w:val="26"/>
        </w:rPr>
        <w:t xml:space="preserve">2.2 IT Infrastructure Implications</w:t>
      </w:r>
    </w:p>
    <w:p>
      <w:pPr>
        <w:spacing w:after="120" w:before="0" w:line="480" w:lineRule="auto"/>
        <w:jc w:val="both"/>
      </w:pPr>
      <w:r>
        <w:rPr>
          <w:rFonts w:ascii="Times New Roman" w:cs="Times New Roman" w:eastAsia="Times New Roman" w:hAnsi="Times New Roman"/>
          <w:sz w:val="24"/>
          <w:szCs w:val="24"/>
        </w:rPr>
        <w:t xml:space="preserve">The demands of AI workloads have restructured IT infrastructure at every layer. Modern AI training requires Graphics Processing Units (GPUs) and Tensor Processing Units (TPUs) operating in massively parallel configurations, connected by high-bandwidth interconnects such as NVIDIA NVLink and InfiniBand. Inference workloads — running a trained model to generate outputs — are increasingly deployed at the network edge to reduce latency, giving rise to specialised AI accelerator chips embedded in smartphones, IoT sensors, and network switches.</w:t>
      </w:r>
    </w:p>
    <w:p>
      <w:pPr>
        <w:spacing w:after="120" w:before="0" w:line="480" w:lineRule="auto"/>
        <w:jc w:val="both"/>
      </w:pPr>
      <w:r>
        <w:rPr>
          <w:rFonts w:ascii="Times New Roman" w:cs="Times New Roman" w:eastAsia="Times New Roman" w:hAnsi="Times New Roman"/>
          <w:sz w:val="24"/>
          <w:szCs w:val="24"/>
        </w:rPr>
        <w:t xml:space="preserve">From a software architecture standpoint, AI integration has popularised MLOps (Machine Learning Operations) as a discipline: the practice of versioning datasets, automating model training pipelines, monitoring model drift in production, and managing the lifecycle of models with the same rigour previously applied only to application software. Tools such as Kubernetes-based orchestration frameworks, feature stores, and vector databases have become standard components of enterprise AI infrastructure.</w:t>
      </w:r>
    </w:p>
    <w:p>
      <w:pPr>
        <w:pStyle w:val="Heading2"/>
      </w:pPr>
      <w:r>
        <w:rPr>
          <w:rFonts w:ascii="Arial" w:cs="Arial" w:eastAsia="Arial" w:hAnsi="Arial"/>
          <w:b/>
          <w:bCs/>
          <w:color w:val="2E5496"/>
          <w:sz w:val="26"/>
          <w:szCs w:val="26"/>
        </w:rPr>
        <w:t xml:space="preserve">2.3 Applications Across Domains</w:t>
      </w:r>
    </w:p>
    <w:p>
      <w:pPr>
        <w:spacing w:after="120" w:before="0" w:line="480" w:lineRule="auto"/>
        <w:jc w:val="both"/>
      </w:pPr>
      <w:r>
        <w:rPr>
          <w:rFonts w:ascii="Times New Roman" w:cs="Times New Roman" w:eastAsia="Times New Roman" w:hAnsi="Times New Roman"/>
          <w:sz w:val="24"/>
          <w:szCs w:val="24"/>
        </w:rPr>
        <w:t xml:space="preserve">AI applications have penetrated virtually every vertical industry. In healthcare, AI-assisted diagnostic systems interpret medical imaging with sensitivity rates comparable to specialist physicians. In software engineering, code completion and generation assistants reduce boilerplate authorship time and assist in test generation, documentation, and vulnerability analysis. In financial services, AI powers real-time fraud detection, algorithmic trading, and personalised credit assessment. Autonomous vehicle systems rely on AI perception pipelines processing sensor fusion data from LIDAR, RADAR, and camera arrays in real time. In natural language processing, AI translation, summarisation, and conversational interfaces have reduced language barriers in global business communications.</w:t>
      </w:r>
    </w:p>
    <w:p>
      <w:pPr>
        <w:spacing w:after="0" w:before="0" w:line="240" w:lineRule="auto"/>
      </w:pPr>
      <w:r>
        <w:t xml:space="preserve"/>
      </w:r>
    </w:p>
    <w:p>
      <w:pPr>
        <w:pStyle w:val="Heading1"/>
      </w:pPr>
      <w:r>
        <w:rPr>
          <w:rFonts w:ascii="Arial" w:cs="Arial" w:eastAsia="Arial" w:hAnsi="Arial"/>
          <w:b/>
          <w:bCs/>
          <w:color w:val="1F3864"/>
          <w:sz w:val="32"/>
          <w:szCs w:val="32"/>
        </w:rPr>
        <w:t xml:space="preserve">3. CRISPR Gene Editing and Its Computational Dimensions</w:t>
      </w:r>
    </w:p>
    <w:p>
      <w:pPr>
        <w:pStyle w:val="Heading2"/>
      </w:pPr>
      <w:r>
        <w:rPr>
          <w:rFonts w:ascii="Arial" w:cs="Arial" w:eastAsia="Arial" w:hAnsi="Arial"/>
          <w:b/>
          <w:bCs/>
          <w:color w:val="2E5496"/>
          <w:sz w:val="26"/>
          <w:szCs w:val="26"/>
        </w:rPr>
        <w:t xml:space="preserve">3.1 The Technology Explained</w:t>
      </w:r>
    </w:p>
    <w:p>
      <w:pPr>
        <w:spacing w:after="120" w:before="0" w:line="480" w:lineRule="auto"/>
        <w:jc w:val="both"/>
      </w:pPr>
      <w:r>
        <w:rPr>
          <w:rFonts w:ascii="Times New Roman" w:cs="Times New Roman" w:eastAsia="Times New Roman" w:hAnsi="Times New Roman"/>
          <w:sz w:val="24"/>
          <w:szCs w:val="24"/>
        </w:rPr>
        <w:t xml:space="preserve">CRISPR-Cas9 (Clustered Regularly Interspaced Short Palindromic Repeats) is a molecular tool adapted from a bacterial immune defence mechanism. It enables precise, programmable modification of DNA sequences within living organisms by deploying a guide RNA to direct the Cas9 endonuclease enzyme to a specific genomic locus, where it introduces a double-stranded break. The cell's natural repair mechanisms then either disrupt the target gene or incorporate a supplied DNA template, enabling both gene knockout and gene correction.</w:t>
      </w:r>
    </w:p>
    <w:p>
      <w:pPr>
        <w:spacing w:after="120" w:before="0" w:line="480" w:lineRule="auto"/>
        <w:jc w:val="both"/>
      </w:pPr>
      <w:r>
        <w:rPr>
          <w:rFonts w:ascii="Times New Roman" w:cs="Times New Roman" w:eastAsia="Times New Roman" w:hAnsi="Times New Roman"/>
          <w:sz w:val="24"/>
          <w:szCs w:val="24"/>
        </w:rPr>
        <w:t xml:space="preserve">The therapeutic implications are profound. CRISPR-based therapies have demonstrated curative potential in sickle cell disease, beta-thalassaemia, and certain forms of inherited blindness. Ongoing trials are investigating its application in oncology, HIV treatment, and rare neurological conditions for which no pharmacological interventions currently exist.</w:t>
      </w:r>
    </w:p>
    <w:p>
      <w:pPr>
        <w:pStyle w:val="Heading2"/>
      </w:pPr>
      <w:r>
        <w:rPr>
          <w:rFonts w:ascii="Arial" w:cs="Arial" w:eastAsia="Arial" w:hAnsi="Arial"/>
          <w:b/>
          <w:bCs/>
          <w:color w:val="2E5496"/>
          <w:sz w:val="26"/>
          <w:szCs w:val="26"/>
        </w:rPr>
        <w:t xml:space="preserve">3.2 IT and Data Science Intersection</w:t>
      </w:r>
    </w:p>
    <w:p>
      <w:pPr>
        <w:spacing w:after="120" w:before="0" w:line="480" w:lineRule="auto"/>
        <w:jc w:val="both"/>
      </w:pPr>
      <w:r>
        <w:rPr>
          <w:rFonts w:ascii="Times New Roman" w:cs="Times New Roman" w:eastAsia="Times New Roman" w:hAnsi="Times New Roman"/>
          <w:sz w:val="24"/>
          <w:szCs w:val="24"/>
        </w:rPr>
        <w:t xml:space="preserve">CRISPR research is fundamentally a data problem at scale. Whole-genome sequencing generates terabytes of raw sequence data per patient; identifying the optimal guide RNA sequence for a given therapeutic target requires computational modelling of off-target binding sites across billions of base pairs. Bioinformatics pipelines — typically implemented on high-performance computing clusters or cloud platforms — perform sequence alignment, variant calling, and functional annotation to support experimental design.</w:t>
      </w:r>
    </w:p>
    <w:p>
      <w:pPr>
        <w:spacing w:after="120" w:before="0" w:line="480" w:lineRule="auto"/>
        <w:jc w:val="both"/>
      </w:pPr>
      <w:r>
        <w:rPr>
          <w:rFonts w:ascii="Times New Roman" w:cs="Times New Roman" w:eastAsia="Times New Roman" w:hAnsi="Times New Roman"/>
          <w:sz w:val="24"/>
          <w:szCs w:val="24"/>
        </w:rPr>
        <w:t xml:space="preserve">Machine learning models, particularly convolutional and recurrent neural networks, are deployed to predict CRISPR guide RNA efficiency and specificity, dramatically reducing the experimental iteration cycles required to identify viable therapeutic candidates. Databases such as NCBI GenBank and Ensembl are foundational IT resources that underpin all CRISPR research, requiring sophisticated database engineering, API design, and data governance.</w:t>
      </w:r>
    </w:p>
    <w:p>
      <w:pPr>
        <w:spacing w:after="0" w:before="0" w:line="240" w:lineRule="auto"/>
      </w:pPr>
      <w:r>
        <w:t xml:space="preserve"/>
      </w:r>
    </w:p>
    <w:p>
      <w:pPr>
        <w:pStyle w:val="Heading1"/>
      </w:pPr>
      <w:r>
        <w:rPr>
          <w:rFonts w:ascii="Arial" w:cs="Arial" w:eastAsia="Arial" w:hAnsi="Arial"/>
          <w:b/>
          <w:bCs/>
          <w:color w:val="1F3864"/>
          <w:sz w:val="32"/>
          <w:szCs w:val="32"/>
        </w:rPr>
        <w:t xml:space="preserve">4. mRNA Vaccines and Therapeutics</w:t>
      </w:r>
    </w:p>
    <w:p>
      <w:pPr>
        <w:pStyle w:val="Heading2"/>
      </w:pPr>
      <w:r>
        <w:rPr>
          <w:rFonts w:ascii="Arial" w:cs="Arial" w:eastAsia="Arial" w:hAnsi="Arial"/>
          <w:b/>
          <w:bCs/>
          <w:color w:val="2E5496"/>
          <w:sz w:val="26"/>
          <w:szCs w:val="26"/>
        </w:rPr>
        <w:t xml:space="preserve">4.1 Mechanism and Significance</w:t>
      </w:r>
    </w:p>
    <w:p>
      <w:pPr>
        <w:spacing w:after="120" w:before="0" w:line="480" w:lineRule="auto"/>
        <w:jc w:val="both"/>
      </w:pPr>
      <w:r>
        <w:rPr>
          <w:rFonts w:ascii="Times New Roman" w:cs="Times New Roman" w:eastAsia="Times New Roman" w:hAnsi="Times New Roman"/>
          <w:sz w:val="24"/>
          <w:szCs w:val="24"/>
        </w:rPr>
        <w:t xml:space="preserve">Messenger RNA (mRNA) vaccines operate by delivering a synthetic mRNA sequence into human cells, instructing ribosomes to produce a target antigen — most prominently, the SARS-CoV-2 spike protein — that the immune system recognises and mounts a response against. Unlike traditional vaccine platforms, mRNA sequences can be designed and manufactured entirely in silico and in vitro, without requiring cultivation of live pathogens. This feature enables response timelines measured in weeks rather than years.</w:t>
      </w:r>
    </w:p>
    <w:p>
      <w:pPr>
        <w:spacing w:after="120" w:before="0" w:line="480" w:lineRule="auto"/>
        <w:jc w:val="both"/>
      </w:pPr>
      <w:r>
        <w:rPr>
          <w:rFonts w:ascii="Times New Roman" w:cs="Times New Roman" w:eastAsia="Times New Roman" w:hAnsi="Times New Roman"/>
          <w:sz w:val="24"/>
          <w:szCs w:val="24"/>
        </w:rPr>
        <w:t xml:space="preserve">Beyond infectious disease, the mRNA platform is being applied to personalised cancer vaccines that encode the neoantigen profile of an individual patient's tumour, as well as to protein replacement therapies for conditions such as cystic fibrosis and cardiovascular disease.</w:t>
      </w:r>
    </w:p>
    <w:p>
      <w:pPr>
        <w:pStyle w:val="Heading2"/>
      </w:pPr>
      <w:r>
        <w:rPr>
          <w:rFonts w:ascii="Arial" w:cs="Arial" w:eastAsia="Arial" w:hAnsi="Arial"/>
          <w:b/>
          <w:bCs/>
          <w:color w:val="2E5496"/>
          <w:sz w:val="26"/>
          <w:szCs w:val="26"/>
        </w:rPr>
        <w:t xml:space="preserve">4.2 The Role of IT in mRNA Development and Distribution</w:t>
      </w:r>
    </w:p>
    <w:p>
      <w:pPr>
        <w:spacing w:after="120" w:before="0" w:line="480" w:lineRule="auto"/>
        <w:jc w:val="both"/>
      </w:pPr>
      <w:r>
        <w:rPr>
          <w:rFonts w:ascii="Times New Roman" w:cs="Times New Roman" w:eastAsia="Times New Roman" w:hAnsi="Times New Roman"/>
          <w:sz w:val="24"/>
          <w:szCs w:val="24"/>
        </w:rPr>
        <w:t xml:space="preserve">The COVID-19 vaccination campaign revealed the extent to which modern pharmaceutical logistics are fundamentally IT operations. Cloud-based platforms managed clinical trial data across multinational sites. Sequence design software — employing algorithms to optimise codon usage for mammalian expression — ran on GPU clusters. Cold-chain monitoring systems used IoT sensor networks to maintain sub-zero temperature compliance during global distribution, with real-time dashboards ingesting millions of data points daily.</w:t>
      </w:r>
    </w:p>
    <w:p>
      <w:pPr>
        <w:spacing w:after="120" w:before="0" w:line="480" w:lineRule="auto"/>
        <w:jc w:val="both"/>
      </w:pPr>
      <w:r>
        <w:rPr>
          <w:rFonts w:ascii="Times New Roman" w:cs="Times New Roman" w:eastAsia="Times New Roman" w:hAnsi="Times New Roman"/>
          <w:sz w:val="24"/>
          <w:szCs w:val="24"/>
        </w:rPr>
        <w:t xml:space="preserve">Supply chain management systems integrated genomic surveillance data — tracking emerging viral variants — with manufacturing planning tools to enable rapid reformulation and scale-up. Patient registration systems, appointment booking platforms, and adverse event reporting databases formed a critical digital infrastructure layer supporting the largest synchronised vaccination effort in human history.</w:t>
      </w:r>
    </w:p>
    <w:p>
      <w:pPr>
        <w:spacing w:after="0" w:before="0" w:line="240" w:lineRule="auto"/>
      </w:pPr>
      <w:r>
        <w:t xml:space="preserve"/>
      </w:r>
    </w:p>
    <w:p>
      <w:pPr>
        <w:pStyle w:val="Heading1"/>
      </w:pPr>
      <w:r>
        <w:rPr>
          <w:rFonts w:ascii="Arial" w:cs="Arial" w:eastAsia="Arial" w:hAnsi="Arial"/>
          <w:b/>
          <w:bCs/>
          <w:color w:val="1F3864"/>
          <w:sz w:val="32"/>
          <w:szCs w:val="32"/>
        </w:rPr>
        <w:t xml:space="preserve">5. Quantum Computing</w:t>
      </w:r>
    </w:p>
    <w:p>
      <w:pPr>
        <w:pStyle w:val="Heading2"/>
      </w:pPr>
      <w:r>
        <w:rPr>
          <w:rFonts w:ascii="Arial" w:cs="Arial" w:eastAsia="Arial" w:hAnsi="Arial"/>
          <w:b/>
          <w:bCs/>
          <w:color w:val="2E5496"/>
          <w:sz w:val="26"/>
          <w:szCs w:val="26"/>
        </w:rPr>
        <w:t xml:space="preserve">5.1 Foundations of Quantum Computation</w:t>
      </w:r>
    </w:p>
    <w:p>
      <w:pPr>
        <w:spacing w:after="120" w:before="0" w:line="480" w:lineRule="auto"/>
        <w:jc w:val="both"/>
      </w:pPr>
      <w:r>
        <w:rPr>
          <w:rFonts w:ascii="Times New Roman" w:cs="Times New Roman" w:eastAsia="Times New Roman" w:hAnsi="Times New Roman"/>
          <w:sz w:val="24"/>
          <w:szCs w:val="24"/>
        </w:rPr>
        <w:t xml:space="preserve">Classical computers encode information as binary bits — discrete values of zero or one. Quantum computers exploit the principles of quantum superposition and entanglement to represent information as quantum bits (qubits), which exist in probabilistic combinations of zero and one simultaneously. This property, combined with quantum interference (the amplification of correct computational paths), enables quantum computers to evaluate exponentially large solution spaces in polynomial time for specific problem classes.</w:t>
      </w:r>
    </w:p>
    <w:p>
      <w:pPr>
        <w:spacing w:after="120" w:before="0" w:line="480" w:lineRule="auto"/>
        <w:jc w:val="both"/>
      </w:pPr>
      <w:r>
        <w:rPr>
          <w:rFonts w:ascii="Times New Roman" w:cs="Times New Roman" w:eastAsia="Times New Roman" w:hAnsi="Times New Roman"/>
          <w:sz w:val="24"/>
          <w:szCs w:val="24"/>
        </w:rPr>
        <w:t xml:space="preserve">Quantum gates manipulate qubits analogously to how classical logic gates manipulate bits, though quantum circuits must contend with decoherence — the tendency of quantum states to collapse to classical values upon interaction with the environment. Current quantum processors, referred to as Noisy Intermediate-Scale Quantum (NISQ) devices, contain between dozens and a few thousand qubits but suffer from high error rates, limiting the depth and complexity of computable circuits.</w:t>
      </w:r>
    </w:p>
    <w:p>
      <w:pPr>
        <w:pStyle w:val="Heading2"/>
      </w:pPr>
      <w:r>
        <w:rPr>
          <w:rFonts w:ascii="Arial" w:cs="Arial" w:eastAsia="Arial" w:hAnsi="Arial"/>
          <w:b/>
          <w:bCs/>
          <w:color w:val="2E5496"/>
          <w:sz w:val="26"/>
          <w:szCs w:val="26"/>
        </w:rPr>
        <w:t xml:space="preserve">5.2 Implications for Cybersecurity and Cryptography</w:t>
      </w:r>
    </w:p>
    <w:p>
      <w:pPr>
        <w:spacing w:after="120" w:before="0" w:line="480" w:lineRule="auto"/>
        <w:jc w:val="both"/>
      </w:pPr>
      <w:r>
        <w:rPr>
          <w:rFonts w:ascii="Times New Roman" w:cs="Times New Roman" w:eastAsia="Times New Roman" w:hAnsi="Times New Roman"/>
          <w:sz w:val="24"/>
          <w:szCs w:val="24"/>
        </w:rPr>
        <w:t xml:space="preserve">The most immediate IT implication of quantum computing is the threat it poses to current public-key cryptographic infrastructure. Shor's algorithm, executable on a sufficiently powerful fault-tolerant quantum computer, can factor large integers and compute discrete logarithms in polynomial time — operations that underpin the RSA and elliptic-curve cryptography (ECC) algorithms protecting the world's financial transactions, government communications, and digital identities.</w:t>
      </w:r>
    </w:p>
    <w:p>
      <w:pPr>
        <w:spacing w:after="120" w:before="0" w:line="480" w:lineRule="auto"/>
        <w:jc w:val="both"/>
      </w:pPr>
      <w:r>
        <w:rPr>
          <w:rFonts w:ascii="Times New Roman" w:cs="Times New Roman" w:eastAsia="Times New Roman" w:hAnsi="Times New Roman"/>
          <w:sz w:val="24"/>
          <w:szCs w:val="24"/>
        </w:rPr>
        <w:t xml:space="preserve">In anticipation of this "harvest now, decrypt later" threat — where adversaries store encrypted communications today for decryption once quantum hardware matures — the National Institute of Standards and Technology (NIST) finalised post-quantum cryptographic standards in 2024, including lattice-based and hash-based cryptographic algorithms. IT organisations are now undertaking cryptographic agility assessments to inventory systems requiring migration.</w:t>
      </w:r>
    </w:p>
    <w:p>
      <w:pPr>
        <w:pStyle w:val="Heading2"/>
      </w:pPr>
      <w:r>
        <w:rPr>
          <w:rFonts w:ascii="Arial" w:cs="Arial" w:eastAsia="Arial" w:hAnsi="Arial"/>
          <w:b/>
          <w:bCs/>
          <w:color w:val="2E5496"/>
          <w:sz w:val="26"/>
          <w:szCs w:val="26"/>
        </w:rPr>
        <w:t xml:space="preserve">5.3 Computational Advantages Beyond Cryptography</w:t>
      </w:r>
    </w:p>
    <w:p>
      <w:pPr>
        <w:spacing w:after="120" w:before="0" w:line="480" w:lineRule="auto"/>
        <w:jc w:val="both"/>
      </w:pPr>
      <w:r>
        <w:rPr>
          <w:rFonts w:ascii="Times New Roman" w:cs="Times New Roman" w:eastAsia="Times New Roman" w:hAnsi="Times New Roman"/>
          <w:sz w:val="24"/>
          <w:szCs w:val="24"/>
        </w:rPr>
        <w:t xml:space="preserve">Quantum computing's implications extend well beyond breaking existing encryption. In materials science and drug discovery, quantum simulation of molecular interactions at the quantum-mechanical level — intractable on classical hardware for complex molecules — may enable rational design of novel catalysts, superconductors, and pharmaceuticals. Quantum machine learning algorithms are hypothesised to provide training speed-ups for specific model classes. Quantum optimisation algorithms such as the Quantum Approximate Optimisation Algorithm (QAOA) are being evaluated for logistics, financial portfolio optimisation, and network routing problems.</w:t>
      </w:r>
    </w:p>
    <w:p>
      <w:pPr>
        <w:spacing w:after="0" w:before="0" w:line="240" w:lineRule="auto"/>
      </w:pPr>
      <w:r>
        <w:t xml:space="preserve"/>
      </w:r>
    </w:p>
    <w:p>
      <w:pPr>
        <w:pStyle w:val="Heading1"/>
      </w:pPr>
      <w:r>
        <w:rPr>
          <w:rFonts w:ascii="Arial" w:cs="Arial" w:eastAsia="Arial" w:hAnsi="Arial"/>
          <w:b/>
          <w:bCs/>
          <w:color w:val="1F3864"/>
          <w:sz w:val="32"/>
          <w:szCs w:val="32"/>
        </w:rPr>
        <w:t xml:space="preserve">6. Renewable Energy and Storage Technologies</w:t>
      </w:r>
    </w:p>
    <w:p>
      <w:pPr>
        <w:pStyle w:val="Heading2"/>
      </w:pPr>
      <w:r>
        <w:rPr>
          <w:rFonts w:ascii="Arial" w:cs="Arial" w:eastAsia="Arial" w:hAnsi="Arial"/>
          <w:b/>
          <w:bCs/>
          <w:color w:val="2E5496"/>
          <w:sz w:val="26"/>
          <w:szCs w:val="26"/>
        </w:rPr>
        <w:t xml:space="preserve">6.1 Advances in Solar and Battery Technology</w:t>
      </w:r>
    </w:p>
    <w:p>
      <w:pPr>
        <w:spacing w:after="120" w:before="0" w:line="480" w:lineRule="auto"/>
        <w:jc w:val="both"/>
      </w:pPr>
      <w:r>
        <w:rPr>
          <w:rFonts w:ascii="Times New Roman" w:cs="Times New Roman" w:eastAsia="Times New Roman" w:hAnsi="Times New Roman"/>
          <w:sz w:val="24"/>
          <w:szCs w:val="24"/>
        </w:rPr>
        <w:t xml:space="preserve">Solar photovoltaic (PV) efficiency has increased dramatically over the past two decades, with perovskite and tandem cell architectures achieving laboratory efficiencies exceeding 30%. Levelised cost of electricity (LCOE) from utility-scale solar has fallen by over 90% since 2010, making solar competitive with or cheaper than fossil fuel generation in most geographies. Offshore and onshore wind generation has undergone parallel cost reductions driven by improved turbine design, supply chain maturation, and economies of scale.</w:t>
      </w:r>
    </w:p>
    <w:p>
      <w:pPr>
        <w:spacing w:after="120" w:before="0" w:line="480" w:lineRule="auto"/>
        <w:jc w:val="both"/>
      </w:pPr>
      <w:r>
        <w:rPr>
          <w:rFonts w:ascii="Times New Roman" w:cs="Times New Roman" w:eastAsia="Times New Roman" w:hAnsi="Times New Roman"/>
          <w:sz w:val="24"/>
          <w:szCs w:val="24"/>
        </w:rPr>
        <w:t xml:space="preserve">Solid-state battery technology promises to replace lithium-ion cells with higher energy density, faster charging, and improved safety characteristics, enabling longer-range electric vehicles and more compact grid storage systems. Flow batteries and compressed air energy storage offer large-scale, long-duration grid buffering capabilities critical for managing the intermittency of solar and wind generation.</w:t>
      </w:r>
    </w:p>
    <w:p>
      <w:pPr>
        <w:pStyle w:val="Heading2"/>
      </w:pPr>
      <w:r>
        <w:rPr>
          <w:rFonts w:ascii="Arial" w:cs="Arial" w:eastAsia="Arial" w:hAnsi="Arial"/>
          <w:b/>
          <w:bCs/>
          <w:color w:val="2E5496"/>
          <w:sz w:val="26"/>
          <w:szCs w:val="26"/>
        </w:rPr>
        <w:t xml:space="preserve">6.2 Impact on Data Centre Operations</w:t>
      </w:r>
    </w:p>
    <w:p>
      <w:pPr>
        <w:spacing w:after="120" w:before="0" w:line="480" w:lineRule="auto"/>
        <w:jc w:val="both"/>
      </w:pPr>
      <w:r>
        <w:rPr>
          <w:rFonts w:ascii="Times New Roman" w:cs="Times New Roman" w:eastAsia="Times New Roman" w:hAnsi="Times New Roman"/>
          <w:sz w:val="24"/>
          <w:szCs w:val="24"/>
        </w:rPr>
        <w:t xml:space="preserve">Data centres currently account for approximately 1-2% of global electricity consumption, a share projected to grow substantially as AI workloads proliferate. The major hyperscale cloud providers — AWS, Microsoft Azure, and Google Cloud — have committed to powering their operations with 100% renewable energy and achieving net-zero carbon emissions. Achieving these commitments requires co-location of data centres with renewable energy sources, investment in long-duration storage, and participation in power purchase agreements (PPAs) for dedicated renewable generation capacity.</w:t>
      </w:r>
    </w:p>
    <w:p>
      <w:pPr>
        <w:spacing w:after="120" w:before="0" w:line="480" w:lineRule="auto"/>
        <w:jc w:val="both"/>
      </w:pPr>
      <w:r>
        <w:rPr>
          <w:rFonts w:ascii="Times New Roman" w:cs="Times New Roman" w:eastAsia="Times New Roman" w:hAnsi="Times New Roman"/>
          <w:sz w:val="24"/>
          <w:szCs w:val="24"/>
        </w:rPr>
        <w:t xml:space="preserve">AI-driven energy management systems optimise power usage effectiveness (PUE) in real time, dynamically adjusting cooling systems, workload scheduling, and server utilisation based on ambient temperature, grid carbon intensity, and electricity pricing signals. This creates a recursive relationship: AI systems that require substantial energy are also being deployed to reduce the energy consumption of the infrastructure that runs them.</w:t>
      </w:r>
    </w:p>
    <w:p>
      <w:pPr>
        <w:spacing w:after="0" w:before="0" w:line="240" w:lineRule="auto"/>
      </w:pPr>
      <w:r>
        <w:t xml:space="preserve"/>
      </w:r>
    </w:p>
    <w:p>
      <w:pPr>
        <w:pStyle w:val="Heading1"/>
      </w:pPr>
      <w:r>
        <w:rPr>
          <w:rFonts w:ascii="Arial" w:cs="Arial" w:eastAsia="Arial" w:hAnsi="Arial"/>
          <w:b/>
          <w:bCs/>
          <w:color w:val="1F3864"/>
          <w:sz w:val="32"/>
          <w:szCs w:val="32"/>
        </w:rPr>
        <w:t xml:space="preserve">7. Ethical Concerns in the AI Data Phase</w:t>
      </w:r>
    </w:p>
    <w:p>
      <w:pPr>
        <w:spacing w:after="120" w:before="0" w:line="480" w:lineRule="auto"/>
        <w:jc w:val="both"/>
      </w:pPr>
      <w:r>
        <w:rPr>
          <w:rFonts w:ascii="Times New Roman" w:cs="Times New Roman" w:eastAsia="Times New Roman" w:hAnsi="Times New Roman"/>
          <w:sz w:val="24"/>
          <w:szCs w:val="24"/>
        </w:rPr>
        <w:t xml:space="preserve">The construction of AI training datasets is among the most consequential and least publicly scrutinised phases of AI development. The ethical concerns arising during data collection, labelling, aggregation, and curation are numerous, systemic, and in many cases structurally embedded in the workflows of both academic and commercial AI development organisations. This section addresses each major category of concern in depth.</w:t>
      </w:r>
    </w:p>
    <w:p>
      <w:pPr>
        <w:spacing w:after="0" w:before="0" w:line="240" w:lineRule="auto"/>
      </w:pPr>
      <w:r>
        <w:t xml:space="preserve"/>
      </w:r>
    </w:p>
    <w:p>
      <w:pPr>
        <w:pStyle w:val="Heading2"/>
      </w:pPr>
      <w:r>
        <w:rPr>
          <w:rFonts w:ascii="Arial" w:cs="Arial" w:eastAsia="Arial" w:hAnsi="Arial"/>
          <w:b/>
          <w:bCs/>
          <w:color w:val="2E5496"/>
          <w:sz w:val="26"/>
          <w:szCs w:val="26"/>
        </w:rPr>
        <w:t xml:space="preserve">7.1 Consent and Privacy Violations</w:t>
      </w:r>
    </w:p>
    <w:p>
      <w:pPr>
        <w:spacing w:after="120" w:before="0" w:line="480" w:lineRule="auto"/>
        <w:jc w:val="both"/>
      </w:pPr>
      <w:r>
        <w:rPr>
          <w:rFonts w:ascii="Times New Roman" w:cs="Times New Roman" w:eastAsia="Times New Roman" w:hAnsi="Times New Roman"/>
          <w:sz w:val="24"/>
          <w:szCs w:val="24"/>
        </w:rPr>
        <w:t xml:space="preserve">The dominant paradigm for constructing large-scale AI training datasets has been large-scale web scraping — the automated harvesting of publicly accessible content from websites, social media platforms, forums, image repositories, and code hosting services. This approach implicitly assumes that publicly accessible content is freely available for any use, including training commercial AI systems. This assumption is legally contested and ethically questionable.</w:t>
      </w:r>
    </w:p>
    <w:p>
      <w:pPr>
        <w:spacing w:after="120" w:before="0" w:line="480" w:lineRule="auto"/>
        <w:jc w:val="both"/>
      </w:pPr>
      <w:r>
        <w:rPr>
          <w:rFonts w:ascii="Times New Roman" w:cs="Times New Roman" w:eastAsia="Times New Roman" w:hAnsi="Times New Roman"/>
          <w:sz w:val="24"/>
          <w:szCs w:val="24"/>
        </w:rPr>
        <w:t xml:space="preserve">Individuals who publish content online typically do so within an understood social contract: they consent to their words, images, or creative work being seen by other humans within the context of a specific platform. They do not necessarily consent to having their content ingested into commercial AI training pipelines, nor to having AI systems generate derivative content that mimics their style, voice, or likeness. The absence of explicit opt-in mechanisms means that billions of individuals have contributed involuntarily to the training of systems that may directly displace their own labour.</w:t>
      </w:r>
    </w:p>
    <w:p>
      <w:pPr>
        <w:spacing w:after="120" w:before="0" w:line="480" w:lineRule="auto"/>
        <w:jc w:val="both"/>
      </w:pPr>
      <w:r>
        <w:rPr>
          <w:rFonts w:ascii="Times New Roman" w:cs="Times New Roman" w:eastAsia="Times New Roman" w:hAnsi="Times New Roman"/>
          <w:sz w:val="24"/>
          <w:szCs w:val="24"/>
        </w:rPr>
        <w:t xml:space="preserve">Privacy concerns are compounded by the fact that web scraping captures not merely the content users intentionally publish but also incidental personal information: geolocation metadata embedded in photographs, health information disclosed in forum posts, financial circumstances revealed in advice-seeking threads. Training datasets such as the Common Crawl corpus — widely used in LLM pre-training — contain sensitive personal information from healthcare forums, legal advice communities, and personal blogs, much of which was published under pseudonymity with no anticipation of large-scale re-use.</w:t>
      </w:r>
    </w:p>
    <w:p>
      <w:pPr>
        <w:pStyle w:val="Heading2"/>
      </w:pPr>
      <w:r>
        <w:rPr>
          <w:rFonts w:ascii="Arial" w:cs="Arial" w:eastAsia="Arial" w:hAnsi="Arial"/>
          <w:b/>
          <w:bCs/>
          <w:color w:val="2E5496"/>
          <w:sz w:val="26"/>
          <w:szCs w:val="26"/>
        </w:rPr>
        <w:t xml:space="preserve">7.2 Bias and Representational Inequity</w:t>
      </w:r>
    </w:p>
    <w:p>
      <w:pPr>
        <w:spacing w:after="120" w:before="0" w:line="480" w:lineRule="auto"/>
        <w:jc w:val="both"/>
      </w:pPr>
      <w:r>
        <w:rPr>
          <w:rFonts w:ascii="Times New Roman" w:cs="Times New Roman" w:eastAsia="Times New Roman" w:hAnsi="Times New Roman"/>
          <w:sz w:val="24"/>
          <w:szCs w:val="24"/>
        </w:rPr>
        <w:t xml:space="preserve">AI training datasets are not neutral samples of human knowledge and experience — they are artefacts shaped by the historical inequities and structural biases of the societies and institutions that produced the underlying content. The dominant language in large web corpora is English, with substantial representation for Western European languages and severe underrepresentation of the thousands of other languages spoken globally. Models trained on such corpora perform demonstrably worse for users communicating in underrepresented languages, systematically marginalising non-Western communities from the benefits of AI technology.</w:t>
      </w:r>
    </w:p>
    <w:p>
      <w:pPr>
        <w:spacing w:after="120" w:before="0" w:line="480" w:lineRule="auto"/>
        <w:jc w:val="both"/>
      </w:pPr>
      <w:r>
        <w:rPr>
          <w:rFonts w:ascii="Times New Roman" w:cs="Times New Roman" w:eastAsia="Times New Roman" w:hAnsi="Times New Roman"/>
          <w:sz w:val="24"/>
          <w:szCs w:val="24"/>
        </w:rPr>
        <w:t xml:space="preserve">Demographic underrepresentation in image datasets has been extensively documented. Foundational computer vision datasets were disproportionately composed of images depicting light-skinned individuals, leading to commercially deployed facial recognition systems that exhibited error rates up to 34 percentage points higher for dark-skinned women compared to light-skinned men. These disparities have produced real-world harms in domains including criminal justice, healthcare, and employment screening, where AI systems are deployed to make or inform consequential decisions about individuals.</w:t>
      </w:r>
    </w:p>
    <w:p>
      <w:pPr>
        <w:spacing w:after="120" w:before="0" w:line="480" w:lineRule="auto"/>
        <w:jc w:val="both"/>
      </w:pPr>
      <w:r>
        <w:rPr>
          <w:rFonts w:ascii="Times New Roman" w:cs="Times New Roman" w:eastAsia="Times New Roman" w:hAnsi="Times New Roman"/>
          <w:sz w:val="24"/>
          <w:szCs w:val="24"/>
        </w:rPr>
        <w:t xml:space="preserve">Occupational and gender stereotypes encoded in internet text are faithfully reproduced in AI language models. Word embedding models trained on large corpora have been shown to associate terms for male gender with professions such as engineer and doctor, and terms for female gender with professions such as nurse and secretary, perpetuating exactly the stereotypes that decades of equality legislation have sought to dismantle. Without deliberate debiasing interventions — which themselves raise methodological controversies — these biases propagate through deployed AI systems into hiring tools, content recommendation engines, and educational platforms.</w:t>
      </w:r>
    </w:p>
    <w:p>
      <w:pPr>
        <w:pStyle w:val="Heading2"/>
      </w:pPr>
      <w:r>
        <w:rPr>
          <w:rFonts w:ascii="Arial" w:cs="Arial" w:eastAsia="Arial" w:hAnsi="Arial"/>
          <w:b/>
          <w:bCs/>
          <w:color w:val="2E5496"/>
          <w:sz w:val="26"/>
          <w:szCs w:val="26"/>
        </w:rPr>
        <w:t xml:space="preserve">7.3 Labour Exploitation in Data Labelling</w:t>
      </w:r>
    </w:p>
    <w:p>
      <w:pPr>
        <w:spacing w:after="120" w:before="0" w:line="480" w:lineRule="auto"/>
        <w:jc w:val="both"/>
      </w:pPr>
      <w:r>
        <w:rPr>
          <w:rFonts w:ascii="Times New Roman" w:cs="Times New Roman" w:eastAsia="Times New Roman" w:hAnsi="Times New Roman"/>
          <w:sz w:val="24"/>
          <w:szCs w:val="24"/>
        </w:rPr>
        <w:t xml:space="preserve">Supervised machine learning requires labelled training data: images annotated with object categories, text annotated with sentiment or toxicity scores, audio annotated with transcriptions. This labelling work is performed at enormous scale by a global workforce of data annotators, the majority of whom are employed in the Global South through microwork platforms such as Amazon Mechanical Turk, Scale AI, and regional equivalents.</w:t>
      </w:r>
    </w:p>
    <w:p>
      <w:pPr>
        <w:spacing w:after="120" w:before="0" w:line="480" w:lineRule="auto"/>
        <w:jc w:val="both"/>
      </w:pPr>
      <w:r>
        <w:rPr>
          <w:rFonts w:ascii="Times New Roman" w:cs="Times New Roman" w:eastAsia="Times New Roman" w:hAnsi="Times New Roman"/>
          <w:sz w:val="24"/>
          <w:szCs w:val="24"/>
        </w:rPr>
        <w:t xml:space="preserve">Investigative reporting has documented multiple systemic labour rights concerns in AI data annotation supply chains. Workers are frequently compensated at rates that fall below the minimum wage of their jurisdiction when task complexity and preparation time are accounted for. Content moderation tasks — labelling graphic violence, child sexual abuse material, and extremist content to train content safety classifiers — expose workers to repeated psychological trauma without adequate mental health support, legal protections, or compensation commensurate with the occupational hazard.</w:t>
      </w:r>
    </w:p>
    <w:p>
      <w:pPr>
        <w:spacing w:after="120" w:before="0" w:line="480" w:lineRule="auto"/>
        <w:jc w:val="both"/>
      </w:pPr>
      <w:r>
        <w:rPr>
          <w:rFonts w:ascii="Times New Roman" w:cs="Times New Roman" w:eastAsia="Times New Roman" w:hAnsi="Times New Roman"/>
          <w:sz w:val="24"/>
          <w:szCs w:val="24"/>
        </w:rPr>
        <w:t xml:space="preserve">The workers performing this labour are often invisible in the public narrative of AI development, which centres on the algorithmic innovations of research teams at major technology corporations. The AI industry's supply chain dependency on a poorly compensated global labelling workforce constitutes a significant ethical blind spot that has begun to attract regulatory scrutiny in the European Union and elsewhere.</w:t>
      </w:r>
    </w:p>
    <w:p>
      <w:pPr>
        <w:pStyle w:val="Heading2"/>
      </w:pPr>
      <w:r>
        <w:rPr>
          <w:rFonts w:ascii="Arial" w:cs="Arial" w:eastAsia="Arial" w:hAnsi="Arial"/>
          <w:b/>
          <w:bCs/>
          <w:color w:val="2E5496"/>
          <w:sz w:val="26"/>
          <w:szCs w:val="26"/>
        </w:rPr>
        <w:t xml:space="preserve">7.4 Copyright and Intellectual Property Infringement</w:t>
      </w:r>
    </w:p>
    <w:p>
      <w:pPr>
        <w:spacing w:after="120" w:before="0" w:line="480" w:lineRule="auto"/>
        <w:jc w:val="both"/>
      </w:pPr>
      <w:r>
        <w:rPr>
          <w:rFonts w:ascii="Times New Roman" w:cs="Times New Roman" w:eastAsia="Times New Roman" w:hAnsi="Times New Roman"/>
          <w:sz w:val="24"/>
          <w:szCs w:val="24"/>
        </w:rPr>
        <w:t xml:space="preserve">The legal status of training data scraping has become one of the most contentious intellectual property questions of the current era. Major AI developers have trained foundation models on web corpora that include copyrighted journalistic content, literary works, academic papers, and artistic works without licensing agreements or remuneration to rights holders. Publishers, authors, musicians, visual artists, and software developers have initiated legal proceedings in multiple jurisdictions arguing that this constitutes large-scale copyright infringement.</w:t>
      </w:r>
    </w:p>
    <w:p>
      <w:pPr>
        <w:spacing w:after="120" w:before="0" w:line="480" w:lineRule="auto"/>
        <w:jc w:val="both"/>
      </w:pPr>
      <w:r>
        <w:rPr>
          <w:rFonts w:ascii="Times New Roman" w:cs="Times New Roman" w:eastAsia="Times New Roman" w:hAnsi="Times New Roman"/>
          <w:sz w:val="24"/>
          <w:szCs w:val="24"/>
        </w:rPr>
        <w:t xml:space="preserve">The principal legal question is whether the reproduction and processing of copyrighted works during model training constitutes fair use under US law or an equivalent exception in other jurisdictions. Proponents of the fair use argument contend that training is a transformative process that does not reproduce the original works in their training outputs. Critics argue that models can be prompted to produce outputs closely derivative of specific works, and that the commercial benefit extracted from training on copyrighted material without compensation constitutes unfair appropriation. Resolution of these disputes through litigation and legislation will fundamentally shape the economics of AI development.</w:t>
      </w:r>
    </w:p>
    <w:p>
      <w:pPr>
        <w:pStyle w:val="Heading2"/>
      </w:pPr>
      <w:r>
        <w:rPr>
          <w:rFonts w:ascii="Arial" w:cs="Arial" w:eastAsia="Arial" w:hAnsi="Arial"/>
          <w:b/>
          <w:bCs/>
          <w:color w:val="2E5496"/>
          <w:sz w:val="26"/>
          <w:szCs w:val="26"/>
        </w:rPr>
        <w:t xml:space="preserve">7.5 Data Provenance and Transparency Deficits</w:t>
      </w:r>
    </w:p>
    <w:p>
      <w:pPr>
        <w:spacing w:after="120" w:before="0" w:line="480" w:lineRule="auto"/>
        <w:jc w:val="both"/>
      </w:pPr>
      <w:r>
        <w:rPr>
          <w:rFonts w:ascii="Times New Roman" w:cs="Times New Roman" w:eastAsia="Times New Roman" w:hAnsi="Times New Roman"/>
          <w:sz w:val="24"/>
          <w:szCs w:val="24"/>
        </w:rPr>
        <w:t xml:space="preserve">A recurring ethical concern in the AI data phase is the opacity of dataset composition. Major foundation models have been released with limited or no documentation of the datasets used in their training. This lack of transparency impedes independent auditing of bias, safety, and legal compliance; prevents affected parties from understanding how their data has been used; and makes it difficult for downstream developers to assess the suitability of a model for particular applications.</w:t>
      </w:r>
    </w:p>
    <w:p>
      <w:pPr>
        <w:spacing w:after="120" w:before="0" w:line="480" w:lineRule="auto"/>
        <w:jc w:val="both"/>
      </w:pPr>
      <w:r>
        <w:rPr>
          <w:rFonts w:ascii="Times New Roman" w:cs="Times New Roman" w:eastAsia="Times New Roman" w:hAnsi="Times New Roman"/>
          <w:sz w:val="24"/>
          <w:szCs w:val="24"/>
        </w:rPr>
        <w:t xml:space="preserve">The concept of a data nutrition label — a standardised documentation format analogous to the nutritional information required on food packaging — has been proposed as a mechanism for improving dataset transparency. Datasheets for Datasets, a documentation standard proposed by researchers at Microsoft, has gained traction in the research community but has not been adopted as a mandatory requirement by major AI development organisations. The EU AI Act, which came into full force in 2024-2025, imposes transparency obligations on providers of high-risk AI systems, including requirements to document training data characteristics, which may catalyse broader industry adoption.</w:t>
      </w:r>
    </w:p>
    <w:p>
      <w:pPr>
        <w:pStyle w:val="Heading2"/>
      </w:pPr>
      <w:r>
        <w:rPr>
          <w:rFonts w:ascii="Arial" w:cs="Arial" w:eastAsia="Arial" w:hAnsi="Arial"/>
          <w:b/>
          <w:bCs/>
          <w:color w:val="2E5496"/>
          <w:sz w:val="26"/>
          <w:szCs w:val="26"/>
        </w:rPr>
        <w:t xml:space="preserve">7.6 Dual Use and the Militarisation of AI Data</w:t>
      </w:r>
    </w:p>
    <w:p>
      <w:pPr>
        <w:spacing w:after="120" w:before="0" w:line="480" w:lineRule="auto"/>
        <w:jc w:val="both"/>
      </w:pPr>
      <w:r>
        <w:rPr>
          <w:rFonts w:ascii="Times New Roman" w:cs="Times New Roman" w:eastAsia="Times New Roman" w:hAnsi="Times New Roman"/>
          <w:sz w:val="24"/>
          <w:szCs w:val="24"/>
        </w:rPr>
        <w:t xml:space="preserve">Datasets assembled for ostensibly benign applications — facial recognition for device unlock, satellite imagery analysis for urban planning, natural language models for virtual assistants — have been procured and repurposed for military, intelligence, and authoritarian surveillance applications. The dual-use nature of AI capabilities and their underlying training data creates ethical obligations for developers to conduct end-use assessments and implement contractual restrictions on downstream deployment in harmful contexts.</w:t>
      </w:r>
    </w:p>
    <w:p>
      <w:pPr>
        <w:spacing w:after="120" w:before="0" w:line="480" w:lineRule="auto"/>
        <w:jc w:val="both"/>
      </w:pPr>
      <w:r>
        <w:rPr>
          <w:rFonts w:ascii="Times New Roman" w:cs="Times New Roman" w:eastAsia="Times New Roman" w:hAnsi="Times New Roman"/>
          <w:sz w:val="24"/>
          <w:szCs w:val="24"/>
        </w:rPr>
        <w:t xml:space="preserve">Researchers and engineers employed at major AI laboratories have raised concerns through public protests, open letters, and resignation over their employers' contracts with defence agencies and foreign governments with documented human rights records. The governance gap between the technical capabilities being developed and the ethical frameworks available to manage their deployment represents a fundamental challenge for the IT profession.</w:t>
      </w:r>
    </w:p>
    <w:p>
      <w:pPr>
        <w:spacing w:after="0" w:before="0" w:line="240" w:lineRule="auto"/>
      </w:pPr>
      <w:r>
        <w:t xml:space="preserve"/>
      </w:r>
    </w:p>
    <w:p>
      <w:pPr>
        <w:pStyle w:val="Heading1"/>
      </w:pPr>
      <w:r>
        <w:rPr>
          <w:rFonts w:ascii="Arial" w:cs="Arial" w:eastAsia="Arial" w:hAnsi="Arial"/>
          <w:b/>
          <w:bCs/>
          <w:color w:val="1F3864"/>
          <w:sz w:val="32"/>
          <w:szCs w:val="32"/>
        </w:rPr>
        <w:t xml:space="preserve">8. Towards Responsible Data Practices in AI Development</w:t>
      </w:r>
    </w:p>
    <w:p>
      <w:pPr>
        <w:spacing w:after="120" w:before="0" w:line="480" w:lineRule="auto"/>
        <w:jc w:val="both"/>
      </w:pPr>
      <w:r>
        <w:rPr>
          <w:rFonts w:ascii="Times New Roman" w:cs="Times New Roman" w:eastAsia="Times New Roman" w:hAnsi="Times New Roman"/>
          <w:sz w:val="24"/>
          <w:szCs w:val="24"/>
        </w:rPr>
        <w:t xml:space="preserve">Addressing the ethical concerns surveyed in Section 7 requires interventions at multiple levels: technical, organisational, legal, and cultural. The following approaches represent a synthesis of current best practice recommendations from AI ethics researchers, regulatory bodies, and practitioner communities.</w:t>
      </w:r>
    </w:p>
    <w:p>
      <w:pPr>
        <w:spacing w:after="0" w:before="0" w:line="240" w:lineRule="auto"/>
      </w:pPr>
      <w:r>
        <w:t xml:space="preserve"/>
      </w:r>
    </w:p>
    <w:p>
      <w:pPr>
        <w:pStyle w:val="Heading2"/>
      </w:pPr>
      <w:r>
        <w:rPr>
          <w:rFonts w:ascii="Arial" w:cs="Arial" w:eastAsia="Arial" w:hAnsi="Arial"/>
          <w:b/>
          <w:bCs/>
          <w:color w:val="2E5496"/>
          <w:sz w:val="26"/>
          <w:szCs w:val="26"/>
        </w:rPr>
        <w:t xml:space="preserve">8.1 Consent-First Data Collection</w:t>
      </w:r>
    </w:p>
    <w:p>
      <w:pPr>
        <w:spacing w:after="120" w:before="0" w:line="480" w:lineRule="auto"/>
        <w:jc w:val="both"/>
      </w:pPr>
      <w:r>
        <w:rPr>
          <w:rFonts w:ascii="Times New Roman" w:cs="Times New Roman" w:eastAsia="Times New Roman" w:hAnsi="Times New Roman"/>
          <w:sz w:val="24"/>
          <w:szCs w:val="24"/>
        </w:rPr>
        <w:t xml:space="preserve">AI developers should implement opt-in consent mechanisms for data collection rather than relying on the absence of explicit objection as implied consent. Technically, this can be implemented through support for the robots.txt AI-training exclusion standard, through licensing frameworks such as those developed by the Creative Commons for AI use, and through data marketplaces that compensate content creators for use of their work in training pipelines.</w:t>
      </w:r>
    </w:p>
    <w:p>
      <w:pPr>
        <w:spacing w:after="0" w:before="0" w:line="240" w:lineRule="auto"/>
      </w:pPr>
      <w:r>
        <w:t xml:space="preserve"/>
      </w:r>
    </w:p>
    <w:p>
      <w:pPr>
        <w:pStyle w:val="Heading2"/>
      </w:pPr>
      <w:r>
        <w:rPr>
          <w:rFonts w:ascii="Arial" w:cs="Arial" w:eastAsia="Arial" w:hAnsi="Arial"/>
          <w:b/>
          <w:bCs/>
          <w:color w:val="2E5496"/>
          <w:sz w:val="26"/>
          <w:szCs w:val="26"/>
        </w:rPr>
        <w:t xml:space="preserve">8.2 Bias Auditing and Dataset Diversity</w:t>
      </w:r>
    </w:p>
    <w:p>
      <w:pPr>
        <w:spacing w:after="120" w:before="0" w:line="480" w:lineRule="auto"/>
        <w:jc w:val="both"/>
      </w:pPr>
      <w:r>
        <w:rPr>
          <w:rFonts w:ascii="Times New Roman" w:cs="Times New Roman" w:eastAsia="Times New Roman" w:hAnsi="Times New Roman"/>
          <w:sz w:val="24"/>
          <w:szCs w:val="24"/>
        </w:rPr>
        <w:t xml:space="preserve">Mandatory pre-deployment bias auditing, conducted by independent third parties against standardised evaluation frameworks, should be a precondition for deploying AI systems in high-stakes domains. Dataset curation teams should include diverse disciplinary expertise — not merely machine learning engineers but also social scientists, ethicists, linguists, and community representatives from affected populations.</w:t>
      </w:r>
    </w:p>
    <w:p>
      <w:pPr>
        <w:spacing w:after="0" w:before="0" w:line="240" w:lineRule="auto"/>
      </w:pPr>
      <w:r>
        <w:t xml:space="preserve"/>
      </w:r>
    </w:p>
    <w:p>
      <w:pPr>
        <w:pStyle w:val="Heading2"/>
      </w:pPr>
      <w:r>
        <w:rPr>
          <w:rFonts w:ascii="Arial" w:cs="Arial" w:eastAsia="Arial" w:hAnsi="Arial"/>
          <w:b/>
          <w:bCs/>
          <w:color w:val="2E5496"/>
          <w:sz w:val="26"/>
          <w:szCs w:val="26"/>
        </w:rPr>
        <w:t xml:space="preserve">8.3 Fair Compensation and Labour Standards</w:t>
      </w:r>
    </w:p>
    <w:p>
      <w:pPr>
        <w:spacing w:after="120" w:before="0" w:line="480" w:lineRule="auto"/>
        <w:jc w:val="both"/>
      </w:pPr>
      <w:r>
        <w:rPr>
          <w:rFonts w:ascii="Times New Roman" w:cs="Times New Roman" w:eastAsia="Times New Roman" w:hAnsi="Times New Roman"/>
          <w:sz w:val="24"/>
          <w:szCs w:val="24"/>
        </w:rPr>
        <w:t xml:space="preserve">AI companies should apply their published ethical principles to their entire supply chain, including data annotation contractors. This requires living wage commitments for annotators, psychological support and exposure limits for content moderation workers, and transparency reporting on supply chain labour conditions. Procurement standards analogous to those applied in other industries for conflict minerals or child labour should be developed and applied to AI training data.</w:t>
      </w:r>
    </w:p>
    <w:p>
      <w:pPr>
        <w:spacing w:after="0" w:before="0" w:line="240" w:lineRule="auto"/>
      </w:pPr>
      <w:r>
        <w:t xml:space="preserve"/>
      </w:r>
    </w:p>
    <w:p>
      <w:pPr>
        <w:pStyle w:val="Heading2"/>
      </w:pPr>
      <w:r>
        <w:rPr>
          <w:rFonts w:ascii="Arial" w:cs="Arial" w:eastAsia="Arial" w:hAnsi="Arial"/>
          <w:b/>
          <w:bCs/>
          <w:color w:val="2E5496"/>
          <w:sz w:val="26"/>
          <w:szCs w:val="26"/>
        </w:rPr>
        <w:t xml:space="preserve">8.4 Mandatory Dataset Documentation</w:t>
      </w:r>
    </w:p>
    <w:p>
      <w:pPr>
        <w:spacing w:after="120" w:before="0" w:line="480" w:lineRule="auto"/>
        <w:jc w:val="both"/>
      </w:pPr>
      <w:r>
        <w:rPr>
          <w:rFonts w:ascii="Times New Roman" w:cs="Times New Roman" w:eastAsia="Times New Roman" w:hAnsi="Times New Roman"/>
          <w:sz w:val="24"/>
          <w:szCs w:val="24"/>
        </w:rPr>
        <w:t xml:space="preserve">Regulators should mandate the publication of standardised dataset documentation — including data sources, collection methods, labelling protocols, demographic composition, and known limitations — for all AI systems deployed in regulated domains. This documentation should be machine-readable and publicly accessible to enable independent research and accountability.</w:t>
      </w:r>
    </w:p>
    <w:p>
      <w:pPr>
        <w:spacing w:after="0" w:before="0" w:line="240" w:lineRule="auto"/>
      </w:pPr>
      <w:r>
        <w:t xml:space="preserve"/>
      </w:r>
    </w:p>
    <w:p>
      <w:pPr>
        <w:pStyle w:val="Heading1"/>
      </w:pPr>
      <w:r>
        <w:rPr>
          <w:rFonts w:ascii="Arial" w:cs="Arial" w:eastAsia="Arial" w:hAnsi="Arial"/>
          <w:b/>
          <w:bCs/>
          <w:color w:val="1F3864"/>
          <w:sz w:val="32"/>
          <w:szCs w:val="32"/>
        </w:rPr>
        <w:t xml:space="preserve">9. Conclusion</w:t>
      </w:r>
    </w:p>
    <w:p>
      <w:pPr>
        <w:spacing w:after="120" w:before="0" w:line="480" w:lineRule="auto"/>
        <w:jc w:val="both"/>
      </w:pPr>
      <w:r>
        <w:rPr>
          <w:rFonts w:ascii="Times New Roman" w:cs="Times New Roman" w:eastAsia="Times New Roman" w:hAnsi="Times New Roman"/>
          <w:sz w:val="24"/>
          <w:szCs w:val="24"/>
        </w:rPr>
        <w:t xml:space="preserve">The five technological domains examined in this paper — AI and Generative Models, CRISPR Gene Editing, mRNA Therapeutics, Quantum Computing, and Renewable Energy and Storage — collectively constitute a technological inflection point whose implications for Information Technology are profound and enduring. Each domain both depends upon and transforms the IT infrastructure, software engineering practices, and data management disciplines at the core of the profession.</w:t>
      </w:r>
    </w:p>
    <w:p>
      <w:pPr>
        <w:spacing w:after="120" w:before="0" w:line="480" w:lineRule="auto"/>
        <w:jc w:val="both"/>
      </w:pPr>
      <w:r>
        <w:rPr>
          <w:rFonts w:ascii="Times New Roman" w:cs="Times New Roman" w:eastAsia="Times New Roman" w:hAnsi="Times New Roman"/>
          <w:sz w:val="24"/>
          <w:szCs w:val="24"/>
        </w:rPr>
        <w:t xml:space="preserve">Yet alongside the remarkable capabilities these technologies unlock, the AI data phase analysis reveals that the most advanced technological systems can carry within them the inequities, biases, and rights violations of the societies and processes that produced their training data. Responsible innovation demands that technical excellence and ethical rigour advance together, not sequentially. The credibility and long-term social licence of the IT industry depends on its capacity to internalise these obligations — not as compliance constraints but as foundational engineering requirements.</w:t>
      </w:r>
    </w:p>
    <w:p>
      <w:pPr>
        <w:spacing w:after="120" w:before="0" w:line="480" w:lineRule="auto"/>
        <w:jc w:val="both"/>
      </w:pPr>
      <w:r>
        <w:rPr>
          <w:rFonts w:ascii="Times New Roman" w:cs="Times New Roman" w:eastAsia="Times New Roman" w:hAnsi="Times New Roman"/>
          <w:sz w:val="24"/>
          <w:szCs w:val="24"/>
        </w:rPr>
        <w:t xml:space="preserve">Future research should focus on developing technically robust, internationally standardised frameworks for dataset auditing, consent management, and bias quantification that can keep pace with the accelerating complexity of AI training pipelines. The goal must be AI systems that are not merely technically capable, but demonstrably fair, transparent, and accountable to the communities they serve.</w:t>
      </w:r>
    </w:p>
    <w:p>
      <w:pPr>
        <w:spacing w:after="0" w:before="0" w:line="240" w:lineRule="auto"/>
      </w:pPr>
      <w:r>
        <w:t xml:space="preserve"/>
      </w:r>
    </w:p>
    <w:p>
      <w:pPr>
        <w:pStyle w:val="Heading1"/>
      </w:pPr>
      <w:r>
        <w:rPr>
          <w:rFonts w:ascii="Arial" w:cs="Arial" w:eastAsia="Arial" w:hAnsi="Arial"/>
          <w:b/>
          <w:bCs/>
          <w:color w:val="1F3864"/>
          <w:sz w:val="32"/>
          <w:szCs w:val="32"/>
        </w:rPr>
        <w:t xml:space="preserve">References</w:t>
      </w:r>
    </w:p>
    <w:p>
      <w:pPr>
        <w:spacing w:after="100" w:before="0" w:line="480" w:lineRule="auto"/>
        <w:ind w:left="720" w:hanging="720"/>
        <w:jc w:val="both"/>
      </w:pPr>
      <w:r>
        <w:rPr>
          <w:rFonts w:ascii="Times New Roman" w:cs="Times New Roman" w:eastAsia="Times New Roman" w:hAnsi="Times New Roman"/>
          <w:sz w:val="22"/>
          <w:szCs w:val="22"/>
        </w:rPr>
        <w:t xml:space="preserve">Buolamwini, J., &amp; Gebru, T. (2018). Gender shades: Intersectional accuracy disparities in commercial gender classification. Proceedings of the 1st Conference on Fairness, Accountability and Transparency (FAT*), 81, 77–91.</w:t>
      </w:r>
    </w:p>
    <w:p>
      <w:pPr>
        <w:spacing w:after="100" w:before="0" w:line="480" w:lineRule="auto"/>
        <w:ind w:left="720" w:hanging="720"/>
        <w:jc w:val="both"/>
      </w:pPr>
      <w:r>
        <w:rPr>
          <w:rFonts w:ascii="Times New Roman" w:cs="Times New Roman" w:eastAsia="Times New Roman" w:hAnsi="Times New Roman"/>
          <w:sz w:val="22"/>
          <w:szCs w:val="22"/>
        </w:rPr>
        <w:t xml:space="preserve">Calo, R. (2017). Artificial intelligence policy: A primer and roadmap. UC Davis Law Review, 51(2), 399–435.</w:t>
      </w:r>
    </w:p>
    <w:p>
      <w:pPr>
        <w:spacing w:after="100" w:before="0" w:line="480" w:lineRule="auto"/>
        <w:ind w:left="720" w:hanging="720"/>
        <w:jc w:val="both"/>
      </w:pPr>
      <w:r>
        <w:rPr>
          <w:rFonts w:ascii="Times New Roman" w:cs="Times New Roman" w:eastAsia="Times New Roman" w:hAnsi="Times New Roman"/>
          <w:sz w:val="22"/>
          <w:szCs w:val="22"/>
        </w:rPr>
        <w:t xml:space="preserve">Crawford, K. (2021). Atlas of AI: Power, politics, and the planetary costs of artificial intelligence. Yale University Press.</w:t>
      </w:r>
    </w:p>
    <w:p>
      <w:pPr>
        <w:spacing w:after="100" w:before="0" w:line="480" w:lineRule="auto"/>
        <w:ind w:left="720" w:hanging="720"/>
        <w:jc w:val="both"/>
      </w:pPr>
      <w:r>
        <w:rPr>
          <w:rFonts w:ascii="Times New Roman" w:cs="Times New Roman" w:eastAsia="Times New Roman" w:hAnsi="Times New Roman"/>
          <w:sz w:val="22"/>
          <w:szCs w:val="22"/>
        </w:rPr>
        <w:t xml:space="preserve">Gebru, T., Morgenstern, J., Vecchione, B., Vaughan, J. W., Wallach, H., Daumé III, H., &amp; Crawford, K. (2021). Datasheets for datasets. Communications of the ACM, 64(12), 86–92.</w:t>
      </w:r>
    </w:p>
    <w:p>
      <w:pPr>
        <w:spacing w:after="100" w:before="0" w:line="480" w:lineRule="auto"/>
        <w:ind w:left="720" w:hanging="720"/>
        <w:jc w:val="both"/>
      </w:pPr>
      <w:r>
        <w:rPr>
          <w:rFonts w:ascii="Times New Roman" w:cs="Times New Roman" w:eastAsia="Times New Roman" w:hAnsi="Times New Roman"/>
          <w:sz w:val="22"/>
          <w:szCs w:val="22"/>
        </w:rPr>
        <w:t xml:space="preserve">Goodfellow, I., Bengio, Y., &amp; Courville, A. (2016). Deep learning. MIT Press.</w:t>
      </w:r>
    </w:p>
    <w:p>
      <w:pPr>
        <w:spacing w:after="100" w:before="0" w:line="480" w:lineRule="auto"/>
        <w:ind w:left="720" w:hanging="720"/>
        <w:jc w:val="both"/>
      </w:pPr>
      <w:r>
        <w:rPr>
          <w:rFonts w:ascii="Times New Roman" w:cs="Times New Roman" w:eastAsia="Times New Roman" w:hAnsi="Times New Roman"/>
          <w:sz w:val="22"/>
          <w:szCs w:val="22"/>
        </w:rPr>
        <w:t xml:space="preserve">IEA. (2023). The 20 biggest tech advances of the past 20 years. Institute of Economic Affairs. https://iea.org.uk/the-20-biggest-tech-advances-of-the-past-20-years/</w:t>
      </w:r>
    </w:p>
    <w:p>
      <w:pPr>
        <w:spacing w:after="100" w:before="0" w:line="480" w:lineRule="auto"/>
        <w:ind w:left="720" w:hanging="720"/>
        <w:jc w:val="both"/>
      </w:pPr>
      <w:r>
        <w:rPr>
          <w:rFonts w:ascii="Times New Roman" w:cs="Times New Roman" w:eastAsia="Times New Roman" w:hAnsi="Times New Roman"/>
          <w:sz w:val="22"/>
          <w:szCs w:val="22"/>
        </w:rPr>
        <w:t xml:space="preserve">Jinek, M., Chylinski, K., Fonfara, I., Hauer, M., Doudna, J. A., &amp; Charpentier, E. (2012). A programmable dual-RNA-guided DNA endonuclease in adaptive bacterial immunity. Science, 337(6096), 816–821.</w:t>
      </w:r>
    </w:p>
    <w:p>
      <w:pPr>
        <w:spacing w:after="100" w:before="0" w:line="480" w:lineRule="auto"/>
        <w:ind w:left="720" w:hanging="720"/>
        <w:jc w:val="both"/>
      </w:pPr>
      <w:r>
        <w:rPr>
          <w:rFonts w:ascii="Times New Roman" w:cs="Times New Roman" w:eastAsia="Times New Roman" w:hAnsi="Times New Roman"/>
          <w:sz w:val="22"/>
          <w:szCs w:val="22"/>
        </w:rPr>
        <w:t xml:space="preserve">National Institute of Standards and Technology. (2024). Post-Quantum Cryptography Standards (FIPS 203, 204, 205). U.S. Department of Commerce.</w:t>
      </w:r>
    </w:p>
    <w:p>
      <w:pPr>
        <w:spacing w:after="100" w:before="0" w:line="480" w:lineRule="auto"/>
        <w:ind w:left="720" w:hanging="720"/>
        <w:jc w:val="both"/>
      </w:pPr>
      <w:r>
        <w:rPr>
          <w:rFonts w:ascii="Times New Roman" w:cs="Times New Roman" w:eastAsia="Times New Roman" w:hAnsi="Times New Roman"/>
          <w:sz w:val="22"/>
          <w:szCs w:val="22"/>
        </w:rPr>
        <w:t xml:space="preserve">Pew Research Center. (2023). How AI is transforming the world. Pew Research Center.</w:t>
      </w:r>
    </w:p>
    <w:p>
      <w:pPr>
        <w:spacing w:after="100" w:before="0" w:line="480" w:lineRule="auto"/>
        <w:ind w:left="720" w:hanging="720"/>
        <w:jc w:val="both"/>
      </w:pPr>
      <w:r>
        <w:rPr>
          <w:rFonts w:ascii="Times New Roman" w:cs="Times New Roman" w:eastAsia="Times New Roman" w:hAnsi="Times New Roman"/>
          <w:sz w:val="22"/>
          <w:szCs w:val="22"/>
        </w:rPr>
        <w:t xml:space="preserve">Preskill, J. (2018). Quantum computing in the NISQ era and beyond. Quantum, 2, 79.</w:t>
      </w:r>
    </w:p>
    <w:p>
      <w:pPr>
        <w:spacing w:after="100" w:before="0" w:line="480" w:lineRule="auto"/>
        <w:ind w:left="720" w:hanging="720"/>
        <w:jc w:val="both"/>
      </w:pPr>
      <w:r>
        <w:rPr>
          <w:rFonts w:ascii="Times New Roman" w:cs="Times New Roman" w:eastAsia="Times New Roman" w:hAnsi="Times New Roman"/>
          <w:sz w:val="22"/>
          <w:szCs w:val="22"/>
        </w:rPr>
        <w:t xml:space="preserve">TK Elevator. (2023). Ten technological advances changing the world and how we live in it. TK Elevator Newsroom. https://www.tkelevator.com/global-en/newsroom/blog/ten-technological-advances-changing-the-world-and-how-we-live-in-it/</w:t>
      </w:r>
    </w:p>
    <w:p>
      <w:pPr>
        <w:spacing w:after="100" w:before="0" w:line="480" w:lineRule="auto"/>
        <w:ind w:left="720" w:hanging="720"/>
        <w:jc w:val="both"/>
      </w:pPr>
      <w:r>
        <w:rPr>
          <w:rFonts w:ascii="Times New Roman" w:cs="Times New Roman" w:eastAsia="Times New Roman" w:hAnsi="Times New Roman"/>
          <w:sz w:val="22"/>
          <w:szCs w:val="22"/>
        </w:rPr>
        <w:t xml:space="preserve">Weforum. (2021). Top 10 emerging technologies of 2021. World Economic Forum. https://www.weforum.org/stories/2021/10/top-emerging-technologies-10-years/</w:t>
      </w:r>
    </w:p>
    <w:p>
      <w:pPr>
        <w:spacing w:after="100" w:before="0" w:line="480" w:lineRule="auto"/>
        <w:ind w:left="720" w:hanging="720"/>
        <w:jc w:val="both"/>
      </w:pPr>
      <w:r>
        <w:rPr>
          <w:rFonts w:ascii="Times New Roman" w:cs="Times New Roman" w:eastAsia="Times New Roman" w:hAnsi="Times New Roman"/>
          <w:sz w:val="22"/>
          <w:szCs w:val="22"/>
        </w:rPr>
        <w:t xml:space="preserve">Ziegler, D. M., Stiennon, N., Wu, J., Brown, T. B., Radford, A., Amodei, D., ... &amp; Irving, G. (2019). Fine-tuning language models from human preferences. arXiv preprint arXiv:1909.08593.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spacing w:after="0"/>
    </w:pPr>
    <w:r>
      <w:rPr>
        <w:rFonts w:ascii="Arial" w:cs="Arial" w:eastAsia="Arial" w:hAnsi="Arial"/>
        <w:color w:val="666666"/>
        <w:sz w:val="18"/>
        <w:szCs w:val="18"/>
      </w:rPr>
      <w:t xml:space="preserve">Transformative Technologies in Information Technology: Trends, Impacts, and Ethical Considerations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2026-06-23T10:13:21.139Z</dcterms:created>
  <dcterms:modified xsi:type="dcterms:W3CDTF">2026-06-23T10:13:21.140Z</dcterms:modified>
</cp:coreProperties>
</file>

<file path=docProps/custom.xml><?xml version="1.0" encoding="utf-8"?>
<Properties xmlns="http://schemas.openxmlformats.org/officeDocument/2006/custom-properties" xmlns:vt="http://schemas.openxmlformats.org/officeDocument/2006/docPropsVTypes"/>
</file>