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pBdr>
          <w:top w:val="single" w:color="E8A020" w:sz="20"/>
          <w:bottom w:val="single" w:color="E8A020" w:sz="8"/>
        </w:pBdr>
        <w:shd w:fill="1A3C6E" w:val="clear"/>
        <w:spacing w:before="0" w:after="0"/>
        <w:jc w:val="center"/>
      </w:pPr>
      <w:r>
        <w:rPr>
          <w:rFonts w:ascii="Arial" w:cs="Arial" w:eastAsia="Arial" w:hAnsi="Arial"/>
          <w:b/>
          <w:bCs/>
          <w:color w:val="D6E8F7"/>
          <w:sz w:val="24"/>
          <w:szCs w:val="24"/>
        </w:rPr>
        <w:br/>
        <w:t xml:space="preserve">  ADDENDUM TO PRODUCT REQUIREMENTS DOCUMENT  </w:t>
      </w:r>
      <w:r>
        <w:br/>
        <w:t xml:space="preserve"> </w:t>
      </w:r>
    </w:p>
    <w:p>
      <w:pPr>
        <w:shd w:fill="2E6DA4" w:val="clear"/>
        <w:spacing w:before="0" w:after="0"/>
        <w:jc w:val="center"/>
      </w:pPr>
      <w:r>
        <w:rPr>
          <w:rFonts w:ascii="Arial" w:cs="Arial" w:eastAsia="Arial" w:hAnsi="Arial"/>
          <w:b/>
          <w:bCs/>
          <w:color w:val="FFFFFF"/>
          <w:sz w:val="46"/>
          <w:szCs w:val="46"/>
        </w:rPr>
        <w:t xml:space="preserve">ZeroLoss AI — World-Class Edition</w:t>
      </w:r>
    </w:p>
    <w:p>
      <w:pPr>
        <w:shd w:fill="2E6DA4" w:val="clear"/>
        <w:spacing w:before="0" w:after="200"/>
        <w:jc w:val="center"/>
      </w:pPr>
      <w:r>
        <w:rPr>
          <w:rFonts w:ascii="Arial" w:cs="Arial" w:eastAsia="Arial" w:hAnsi="Arial"/>
          <w:color w:val="D6E8F7"/>
          <w:sz w:val="22"/>
          <w:szCs w:val="22"/>
        </w:rPr>
        <w:t xml:space="preserve">Developer Bottleneck Atlas + 20-Year Quant Strategist Bot + 30 World-Class Features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400"/>
        <w:gridCol w:w="1760"/>
      </w:tblGrid>
      <w:tr>
        <w:tc>
          <w:tcPr>
            <w:tcW w:type="dxa" w:w="20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Document Type</w:t>
            </w:r>
          </w:p>
        </w:tc>
        <w:tc>
          <w:tcPr>
            <w:tcW w:type="dxa" w:w="42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Component</w:t>
            </w:r>
          </w:p>
        </w:tc>
        <w:tc>
          <w:tcPr>
            <w:tcW w:type="dxa" w:w="14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Version</w:t>
            </w:r>
          </w:p>
        </w:tc>
        <w:tc>
          <w:tcPr>
            <w:tcW w:type="dxa" w:w="17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PRD Addendum</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Bottlenecks + Feature Expansion + Elite AI Agent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v2.0</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February 2026</w:t>
            </w:r>
          </w:p>
        </w:tc>
      </w:tr>
    </w:tbl>
    <w:p>
      <w:pPr>
        <w:spacing w:before="60" w:after="60"/>
      </w:pPr>
      <w:r>
        <w:t xml:space="preserve"/>
      </w:r>
    </w:p>
    <w:p>
      <w:pPr>
        <w:shd w:fill="FFF8E1" w:val="clear"/>
        <w:spacing w:before="100" w:after="100"/>
        <w:jc w:val="center"/>
      </w:pPr>
      <w:r>
        <w:rPr>
          <w:rFonts w:ascii="Arial" w:cs="Arial" w:eastAsia="Arial" w:hAnsi="Arial"/>
          <w:b/>
          <w:bCs/>
          <w:color w:val="F57F17"/>
          <w:sz w:val="20"/>
          <w:szCs w:val="20"/>
        </w:rPr>
        <w:t xml:space="preserve">  PURPOSE:  </w:t>
      </w:r>
      <w:r>
        <w:rPr>
          <w:rFonts w:ascii="Arial" w:cs="Arial" w:eastAsia="Arial" w:hAnsi="Arial"/>
          <w:color w:val="444444"/>
          <w:sz w:val="20"/>
          <w:szCs w:val="20"/>
        </w:rPr>
        <w:t xml:space="preserve">This addendum supplements PRD v1.0 with exhaustive developer bottlenecks, institutional-grade AI agent specifications modeled on 20 years of prop/quant trading wisdom, and 30 additional world-class features not found in any existing retail platform.</w:t>
      </w:r>
    </w:p>
    <w:p>
      <w:r>
        <w:br w:type="page"/>
      </w:r>
    </w:p>
    <w:p>
      <w:pPr>
        <w:shd w:fill="B22222" w:val="clear"/>
        <w:spacing w:before="160" w:after="160"/>
        <w:jc w:val="center"/>
      </w:pPr>
      <w:r>
        <w:rPr>
          <w:rFonts w:ascii="Arial" w:cs="Arial" w:eastAsia="Arial" w:hAnsi="Arial"/>
          <w:b/>
          <w:bCs/>
          <w:color w:val="FFFFFF"/>
          <w:sz w:val="22"/>
          <w:szCs w:val="22"/>
        </w:rPr>
        <w:t xml:space="preserve">PART 1 — DEVELOPER &amp; INFRASTRUCTURE BOTTLENECK ATLAS</w:t>
      </w:r>
    </w:p>
    <w:p>
      <w:pPr>
        <w:spacing w:before="60" w:after="60"/>
      </w:pPr>
      <w:r>
        <w:t xml:space="preserve"/>
      </w:r>
    </w:p>
    <w:p>
      <w:pPr>
        <w:spacing w:before="80" w:after="80" w:line="280"/>
      </w:pPr>
      <w:r>
        <w:rPr>
          <w:rFonts w:ascii="Arial" w:cs="Arial" w:eastAsia="Arial" w:hAnsi="Arial"/>
          <w:color w:val="333333"/>
          <w:sz w:val="20"/>
          <w:szCs w:val="20"/>
        </w:rPr>
        <w:t xml:space="preserve">This section is a hard-won, battle-tested catalog of every significant bottleneck a developer will face building this application. Each is documented with its root cause, real-world impact, and a concrete mitigation strategy. This is the document every developer wishes existed before they started.</w:t>
      </w:r>
    </w:p>
    <w:p>
      <w:pPr>
        <w:spacing w:before="60" w:after="60"/>
      </w:pPr>
      <w:r>
        <w:t xml:space="preserve"/>
      </w:r>
    </w:p>
    <w:p>
      <w:pPr>
        <w:pStyle w:val="Heading1"/>
        <w:pBdr>
          <w:bottom w:val="single" w:color="E8A020" w:sz="8" w:space="6"/>
        </w:pBdr>
        <w:spacing w:before="480" w:after="200"/>
      </w:pPr>
      <w:r>
        <w:rPr>
          <w:rFonts w:ascii="Arial" w:cs="Arial" w:eastAsia="Arial" w:hAnsi="Arial"/>
          <w:b/>
          <w:bCs/>
          <w:color w:val="1A3C6E"/>
          <w:sz w:val="30"/>
          <w:szCs w:val="30"/>
        </w:rPr>
        <w:t xml:space="preserve">A. Breeze API — Specific Bottlenecks</w:t>
      </w:r>
    </w:p>
    <w:p>
      <w:pPr>
        <w:pStyle w:val="Heading2"/>
        <w:spacing w:before="320" w:after="120"/>
      </w:pPr>
      <w:r>
        <w:rPr>
          <w:rFonts w:ascii="Arial" w:cs="Arial" w:eastAsia="Arial" w:hAnsi="Arial"/>
          <w:b/>
          <w:bCs/>
          <w:color w:val="2E6DA4"/>
          <w:sz w:val="25"/>
          <w:szCs w:val="25"/>
        </w:rPr>
        <w:t xml:space="preserve">A1. Manual Session Token Regeneration Every Day</w:t>
      </w:r>
    </w:p>
    <w:p>
      <w:pPr>
        <w:shd w:fill="FDE8E8" w:val="clear"/>
        <w:spacing w:before="120" w:after="120"/>
      </w:pPr>
      <w:r>
        <w:rPr>
          <w:rFonts w:ascii="Arial" w:cs="Arial" w:eastAsia="Arial" w:hAnsi="Arial"/>
          <w:b/>
          <w:bCs/>
          <w:color w:val="B22222"/>
          <w:sz w:val="19"/>
          <w:szCs w:val="19"/>
        </w:rPr>
        <w:t xml:space="preserve">  SEVERITY: CRITICAL  </w:t>
      </w:r>
      <w:r>
        <w:rPr>
          <w:rFonts w:ascii="Arial" w:cs="Arial" w:eastAsia="Arial" w:hAnsi="Arial"/>
          <w:color w:val="333333"/>
          <w:sz w:val="19"/>
          <w:szCs w:val="19"/>
        </w:rPr>
        <w:t xml:space="preserve"> — This is the single most disruptive operational bottleneck in the entire system.</w:t>
      </w:r>
    </w:p>
    <w:p>
      <w:pPr>
        <w:spacing w:before="60" w:after="60"/>
      </w:pPr>
      <w:r>
        <w:t xml:space="preserve"/>
      </w:r>
    </w:p>
    <w:p>
      <w:pPr>
        <w:spacing w:before="80" w:after="80" w:line="280"/>
      </w:pPr>
      <w:r>
        <w:rPr>
          <w:rFonts w:ascii="Arial" w:cs="Arial" w:eastAsia="Arial" w:hAnsi="Arial"/>
          <w:color w:val="333333"/>
          <w:sz w:val="20"/>
          <w:szCs w:val="20"/>
        </w:rPr>
        <w:t xml:space="preserve">Root Cause: ICICI Direct's Breeze API does not support automated OAuth refresh tokens. The session token is generated via a browser-based login flow (the user must visit a URL, log in with username/password/OTP, and copy-paste the session token from the browser address bar). This must be repeated every single calendar day — including weekends when you might expect it to not matter.</w:t>
      </w:r>
    </w:p>
    <w:p>
      <w:pPr>
        <w:spacing w:before="60" w:after="60"/>
      </w:pPr>
      <w:r>
        <w:t xml:space="preserve"/>
      </w:r>
    </w:p>
    <w:p>
      <w:pPr>
        <w:spacing w:before="80" w:after="80" w:line="280"/>
      </w:pPr>
      <w:r>
        <w:rPr>
          <w:rFonts w:ascii="Arial" w:cs="Arial" w:eastAsia="Arial" w:hAnsi="Arial"/>
          <w:color w:val="333333"/>
          <w:sz w:val="20"/>
          <w:szCs w:val="20"/>
        </w:rPr>
        <w:t xml:space="preserve">Real-World Impact: If the session expires at 3:30 AM and your AI agent wakes up at 9:00 AM to place pre-market trades, it will silently fail with a 401 error. Every automated trade for the day is missed. You won't know until you check logs.</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Semi-automated TOTP approach: </w:t>
      </w:r>
      <w:r>
        <w:rPr>
          <w:rFonts w:ascii="Arial" w:cs="Arial" w:eastAsia="Arial" w:hAnsi="Arial"/>
          <w:color w:val="333333"/>
          <w:sz w:val="20"/>
          <w:szCs w:val="20"/>
        </w:rPr>
        <w:t xml:space="preserve">Breeze does support TOTP (Time-based One-Time Password) via authenticator apps. You can automate the session renewal using Python + pyotp + selenium/playwright to: (a) navigate to the login URL, (b) fill credentials from environment secrets, (c) generate the TOTP code programmatically, (d) submit and capture the session token from the URL. This reduces daily manual effort to zero but requires storing TOTP secret securely.</w:t>
      </w:r>
    </w:p>
    <w:p>
      <w:pPr>
        <w:pStyle w:val="ListParagraph"/>
        <w:numPr>
          <w:ilvl w:val="0"/>
          <w:numId w:val="2"/>
        </w:numPr>
        <w:spacing w:before="60" w:after="60" w:line="270"/>
      </w:pPr>
      <w:r>
        <w:rPr>
          <w:rFonts w:ascii="Arial" w:cs="Arial" w:eastAsia="Arial" w:hAnsi="Arial"/>
          <w:b/>
          <w:bCs/>
          <w:color w:val="1A3C6E"/>
          <w:sz w:val="20"/>
          <w:szCs w:val="20"/>
        </w:rPr>
        <w:t xml:space="preserve">Webhook trigger: </w:t>
      </w:r>
      <w:r>
        <w:rPr>
          <w:rFonts w:ascii="Arial" w:cs="Arial" w:eastAsia="Arial" w:hAnsi="Arial"/>
          <w:color w:val="333333"/>
          <w:sz w:val="20"/>
          <w:szCs w:val="20"/>
        </w:rPr>
        <w:t xml:space="preserve">Build a simple Telegram bot command that, when typed by the user, re-triggers the session refresh flow remotely. Useful as a fallback.</w:t>
      </w:r>
    </w:p>
    <w:p>
      <w:pPr>
        <w:pStyle w:val="ListParagraph"/>
        <w:numPr>
          <w:ilvl w:val="0"/>
          <w:numId w:val="2"/>
        </w:numPr>
        <w:spacing w:before="60" w:after="60" w:line="270"/>
      </w:pPr>
      <w:r>
        <w:rPr>
          <w:rFonts w:ascii="Arial" w:cs="Arial" w:eastAsia="Arial" w:hAnsi="Arial"/>
          <w:b/>
          <w:bCs/>
          <w:color w:val="1A3C6E"/>
          <w:sz w:val="20"/>
          <w:szCs w:val="20"/>
        </w:rPr>
        <w:t xml:space="preserve">Session health monitor: </w:t>
      </w:r>
      <w:r>
        <w:rPr>
          <w:rFonts w:ascii="Arial" w:cs="Arial" w:eastAsia="Arial" w:hAnsi="Arial"/>
          <w:color w:val="333333"/>
          <w:sz w:val="20"/>
          <w:szCs w:val="20"/>
        </w:rPr>
        <w:t xml:space="preserve">Run a background health-check job every 15 minutes that calls a lightweight Breeze endpoint (e.g., get_customer_details). If it returns a 401, immediately fire a Slack/email/Telegram alert. Never let a stale session cause silent failure.</w:t>
      </w:r>
    </w:p>
    <w:p>
      <w:pPr>
        <w:pStyle w:val="ListParagraph"/>
        <w:numPr>
          <w:ilvl w:val="0"/>
          <w:numId w:val="2"/>
        </w:numPr>
        <w:spacing w:before="60" w:after="60" w:line="270"/>
      </w:pPr>
      <w:r>
        <w:rPr>
          <w:rFonts w:ascii="Arial" w:cs="Arial" w:eastAsia="Arial" w:hAnsi="Arial"/>
          <w:b/>
          <w:bCs/>
          <w:color w:val="1A3C6E"/>
          <w:sz w:val="20"/>
          <w:szCs w:val="20"/>
        </w:rPr>
        <w:t xml:space="preserve">Graceful degradation: </w:t>
      </w:r>
      <w:r>
        <w:rPr>
          <w:rFonts w:ascii="Arial" w:cs="Arial" w:eastAsia="Arial" w:hAnsi="Arial"/>
          <w:color w:val="333333"/>
          <w:sz w:val="20"/>
          <w:szCs w:val="20"/>
        </w:rPr>
        <w:t xml:space="preserve">If the session is stale at market open, the system switches to a read-only mode using Yahoo Finance as a live price fallback. No trades fire, but users still see dashboards.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A2. Hard Rate Limit: 100 Calls/Minute, 5,000 Calls/Day</w:t>
      </w:r>
    </w:p>
    <w:p>
      <w:pPr>
        <w:shd w:fill="FDE8E8" w:val="clear"/>
        <w:spacing w:before="120" w:after="120"/>
      </w:pPr>
      <w:r>
        <w:rPr>
          <w:rFonts w:ascii="Arial" w:cs="Arial" w:eastAsia="Arial" w:hAnsi="Arial"/>
          <w:b/>
          <w:bCs/>
          <w:color w:val="B22222"/>
          <w:sz w:val="19"/>
          <w:szCs w:val="19"/>
        </w:rPr>
        <w:t xml:space="preserve">  SEVERITY: HIGH  </w:t>
      </w:r>
      <w:r>
        <w:rPr>
          <w:rFonts w:ascii="Arial" w:cs="Arial" w:eastAsia="Arial" w:hAnsi="Arial"/>
          <w:color w:val="333333"/>
          <w:sz w:val="19"/>
          <w:szCs w:val="19"/>
        </w:rPr>
        <w:t xml:space="preserve"> — Easily breached when scaling to multiple users or running aggressive signal scans.</w:t>
      </w:r>
    </w:p>
    <w:p>
      <w:pPr>
        <w:spacing w:before="60" w:after="60"/>
      </w:pPr>
      <w:r>
        <w:t xml:space="preserve"/>
      </w:r>
    </w:p>
    <w:p>
      <w:pPr>
        <w:spacing w:before="80" w:after="80" w:line="280"/>
      </w:pPr>
      <w:r>
        <w:rPr>
          <w:rFonts w:ascii="Arial" w:cs="Arial" w:eastAsia="Arial" w:hAnsi="Arial"/>
          <w:color w:val="333333"/>
          <w:sz w:val="20"/>
          <w:szCs w:val="20"/>
        </w:rPr>
        <w:t xml:space="preserve">Root Cause: Breeze enforces 100 REST API calls per minute and 5,000 per day per API key. The day limit resets at midnight IST. The per-minute limit is enforced with a hard 429 error. The 5,000/day limit is shared across ALL calls — every data fetch, every order status check, every options chain request.</w:t>
      </w:r>
    </w:p>
    <w:p>
      <w:pPr>
        <w:spacing w:before="60" w:after="60"/>
      </w:pPr>
      <w:r>
        <w:t xml:space="preserve"/>
      </w:r>
    </w:p>
    <w:p>
      <w:pPr>
        <w:spacing w:before="80" w:after="80" w:line="280"/>
      </w:pPr>
      <w:r>
        <w:rPr>
          <w:rFonts w:ascii="Arial" w:cs="Arial" w:eastAsia="Arial" w:hAnsi="Arial"/>
          <w:color w:val="333333"/>
          <w:sz w:val="20"/>
          <w:szCs w:val="20"/>
        </w:rPr>
        <w:t xml:space="preserve">Real-World Impact: An AI agent scanning 50 stocks every 5 minutes = 600 requests/hour = easily hits 5,000 before 3 PM. GitHub Issue #144 on Breeze SDK confirms this causes silent order confirmation failures — orders go through but status checks fail, leaving the system unsure if trades executed.</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API call budgeting system: </w:t>
      </w:r>
      <w:r>
        <w:rPr>
          <w:rFonts w:ascii="Arial" w:cs="Arial" w:eastAsia="Arial" w:hAnsi="Arial"/>
          <w:color w:val="333333"/>
          <w:sz w:val="20"/>
          <w:szCs w:val="20"/>
        </w:rPr>
        <w:t xml:space="preserve">Build a central API call counter in Redis. Every Breeze call is routed through a RateLimitedBreezeClient wrapper class that checks remaining budget before executing. Assign budgets per operation type: 1,500 for live price feeds, 1,000 for options chain, 1,500 for order management, 1,000 buffer.</w:t>
      </w:r>
    </w:p>
    <w:p>
      <w:pPr>
        <w:pStyle w:val="ListParagraph"/>
        <w:numPr>
          <w:ilvl w:val="0"/>
          <w:numId w:val="2"/>
        </w:numPr>
        <w:spacing w:before="60" w:after="60" w:line="270"/>
      </w:pPr>
      <w:r>
        <w:rPr>
          <w:rFonts w:ascii="Arial" w:cs="Arial" w:eastAsia="Arial" w:hAnsi="Arial"/>
          <w:b/>
          <w:bCs/>
          <w:color w:val="1A3C6E"/>
          <w:sz w:val="20"/>
          <w:szCs w:val="20"/>
        </w:rPr>
        <w:t xml:space="preserve">Aggressive WebSocket use: </w:t>
      </w:r>
      <w:r>
        <w:rPr>
          <w:rFonts w:ascii="Arial" w:cs="Arial" w:eastAsia="Arial" w:hAnsi="Arial"/>
          <w:color w:val="333333"/>
          <w:sz w:val="20"/>
          <w:szCs w:val="20"/>
        </w:rPr>
        <w:t xml:space="preserve">Route all live price needs through Breeze WebSocket subscriptions (no REST calls). Reserve REST for historical data and order operations only. Note: Breeze WebSocket has a ~40 instrument subscription limit per connection — use multiplexing for larger watchlists.</w:t>
      </w:r>
    </w:p>
    <w:p>
      <w:pPr>
        <w:pStyle w:val="ListParagraph"/>
        <w:numPr>
          <w:ilvl w:val="0"/>
          <w:numId w:val="2"/>
        </w:numPr>
        <w:spacing w:before="60" w:after="60" w:line="270"/>
      </w:pPr>
      <w:r>
        <w:rPr>
          <w:rFonts w:ascii="Arial" w:cs="Arial" w:eastAsia="Arial" w:hAnsi="Arial"/>
          <w:b/>
          <w:bCs/>
          <w:color w:val="1A3C6E"/>
          <w:sz w:val="20"/>
          <w:szCs w:val="20"/>
        </w:rPr>
        <w:t xml:space="preserve">Intelligent caching: </w:t>
      </w:r>
      <w:r>
        <w:rPr>
          <w:rFonts w:ascii="Arial" w:cs="Arial" w:eastAsia="Arial" w:hAnsi="Arial"/>
          <w:color w:val="333333"/>
          <w:sz w:val="20"/>
          <w:szCs w:val="20"/>
        </w:rPr>
        <w:t xml:space="preserve">Cache options chain data for 5 minutes (it does not change tick-by-tick). Cache historical data responses. Store FII/DII data for the full day. Use Upstash Redis TTL keys.</w:t>
      </w:r>
    </w:p>
    <w:p>
      <w:pPr>
        <w:pStyle w:val="ListParagraph"/>
        <w:numPr>
          <w:ilvl w:val="0"/>
          <w:numId w:val="2"/>
        </w:numPr>
        <w:spacing w:before="60" w:after="60" w:line="270"/>
      </w:pPr>
      <w:r>
        <w:rPr>
          <w:rFonts w:ascii="Arial" w:cs="Arial" w:eastAsia="Arial" w:hAnsi="Arial"/>
          <w:b/>
          <w:bCs/>
          <w:color w:val="1A3C6E"/>
          <w:sz w:val="20"/>
          <w:szCs w:val="20"/>
        </w:rPr>
        <w:t xml:space="preserve">Multi-user isolation: </w:t>
      </w:r>
      <w:r>
        <w:rPr>
          <w:rFonts w:ascii="Arial" w:cs="Arial" w:eastAsia="Arial" w:hAnsi="Arial"/>
          <w:color w:val="333333"/>
          <w:sz w:val="20"/>
          <w:szCs w:val="20"/>
        </w:rPr>
        <w:t xml:space="preserve">Each user must use THEIR OWN Breeze API key. The platform cannot share one API key across users — this will exhaust limits instantly and violates ICICI's terms of service.</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A3. WebSocket Instrument Subscription Limit (~40 Instruments)</w:t>
      </w:r>
    </w:p>
    <w:p>
      <w:pPr>
        <w:shd w:fill="FDE8E8" w:val="clear"/>
        <w:spacing w:before="120" w:after="120"/>
      </w:pPr>
      <w:r>
        <w:rPr>
          <w:rFonts w:ascii="Arial" w:cs="Arial" w:eastAsia="Arial" w:hAnsi="Arial"/>
          <w:b/>
          <w:bCs/>
          <w:color w:val="B22222"/>
          <w:sz w:val="19"/>
          <w:szCs w:val="19"/>
        </w:rPr>
        <w:t xml:space="preserve">  SEVERITY: HIGH  </w:t>
      </w:r>
      <w:r>
        <w:rPr>
          <w:rFonts w:ascii="Arial" w:cs="Arial" w:eastAsia="Arial" w:hAnsi="Arial"/>
          <w:color w:val="333333"/>
          <w:sz w:val="19"/>
          <w:szCs w:val="19"/>
        </w:rPr>
        <w:t xml:space="preserve"> — The Breeze WebSocket silently drops data beyond ~40 subscriptions.</w:t>
      </w:r>
    </w:p>
    <w:p>
      <w:pPr>
        <w:spacing w:before="60" w:after="60"/>
      </w:pPr>
      <w:r>
        <w:t xml:space="preserve"/>
      </w:r>
    </w:p>
    <w:p>
      <w:pPr>
        <w:spacing w:before="80" w:after="80" w:line="280"/>
      </w:pPr>
      <w:r>
        <w:rPr>
          <w:rFonts w:ascii="Arial" w:cs="Arial" w:eastAsia="Arial" w:hAnsi="Arial"/>
          <w:color w:val="333333"/>
          <w:sz w:val="20"/>
          <w:szCs w:val="20"/>
        </w:rPr>
        <w:t xml:space="preserve">Root Cause: Unlike Zerodha Kite (which supports 1,000 instruments per WebSocket), Breeze's WebSocket becomes unreliable beyond approximately 40 simultaneous subscriptions (confirmed in GitHub Issue #45 of the Breeze Python SDK). Data for instruments beyond this threshold is inconsistently delivered or silently dropped. There is no official documentation for this limit.</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Subscription pool manager: </w:t>
      </w:r>
      <w:r>
        <w:rPr>
          <w:rFonts w:ascii="Arial" w:cs="Arial" w:eastAsia="Arial" w:hAnsi="Arial"/>
          <w:color w:val="333333"/>
          <w:sz w:val="20"/>
          <w:szCs w:val="20"/>
        </w:rPr>
        <w:t xml:space="preserve">Build a dynamic subscription manager that maintains at most 35 active WebSocket subscriptions at once. Rotate subscriptions based on which stocks are in the user's watchlist and open positions, prioritizing open positions first.</w:t>
      </w:r>
    </w:p>
    <w:p>
      <w:pPr>
        <w:pStyle w:val="ListParagraph"/>
        <w:numPr>
          <w:ilvl w:val="0"/>
          <w:numId w:val="2"/>
        </w:numPr>
        <w:spacing w:before="60" w:after="60" w:line="270"/>
      </w:pPr>
      <w:r>
        <w:rPr>
          <w:rFonts w:ascii="Arial" w:cs="Arial" w:eastAsia="Arial" w:hAnsi="Arial"/>
          <w:b/>
          <w:bCs/>
          <w:color w:val="1A3C6E"/>
          <w:sz w:val="20"/>
          <w:szCs w:val="20"/>
        </w:rPr>
        <w:t xml:space="preserve">Polling fallback for non-priority stocks: </w:t>
      </w:r>
      <w:r>
        <w:rPr>
          <w:rFonts w:ascii="Arial" w:cs="Arial" w:eastAsia="Arial" w:hAnsi="Arial"/>
          <w:color w:val="333333"/>
          <w:sz w:val="20"/>
          <w:szCs w:val="20"/>
        </w:rPr>
        <w:t xml:space="preserve">For stocks not in the active WS pool, fall back to 30-second REST polling. This is acceptable for stocks not actively being traded.</w:t>
      </w:r>
    </w:p>
    <w:p>
      <w:pPr>
        <w:pStyle w:val="ListParagraph"/>
        <w:numPr>
          <w:ilvl w:val="0"/>
          <w:numId w:val="2"/>
        </w:numPr>
        <w:spacing w:before="60" w:after="60" w:line="270"/>
      </w:pPr>
      <w:r>
        <w:rPr>
          <w:rFonts w:ascii="Arial" w:cs="Arial" w:eastAsia="Arial" w:hAnsi="Arial"/>
          <w:b/>
          <w:bCs/>
          <w:color w:val="1A3C6E"/>
          <w:sz w:val="20"/>
          <w:szCs w:val="20"/>
        </w:rPr>
        <w:t xml:space="preserve">Multiple WS connections: </w:t>
      </w:r>
      <w:r>
        <w:rPr>
          <w:rFonts w:ascii="Arial" w:cs="Arial" w:eastAsia="Arial" w:hAnsi="Arial"/>
          <w:color w:val="333333"/>
          <w:sz w:val="20"/>
          <w:szCs w:val="20"/>
        </w:rPr>
        <w:t xml:space="preserve">Open multiple WebSocket connections with different instrument groups. Test showed 3 simultaneous connections with 30 instruments each (90 total) remain stable.</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A4. Token Master File — Daily Re-Download Required</w:t>
      </w:r>
    </w:p>
    <w:p>
      <w:pPr>
        <w:shd w:fill="FFF8E1"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Missing token refresh causes 'instrument not found' errors on new listings.</w:t>
      </w:r>
    </w:p>
    <w:p>
      <w:pPr>
        <w:spacing w:before="60" w:after="60"/>
      </w:pPr>
      <w:r>
        <w:t xml:space="preserve"/>
      </w:r>
    </w:p>
    <w:p>
      <w:pPr>
        <w:spacing w:before="80" w:after="80" w:line="280"/>
      </w:pPr>
      <w:r>
        <w:rPr>
          <w:rFonts w:ascii="Arial" w:cs="Arial" w:eastAsia="Arial" w:hAnsi="Arial"/>
          <w:color w:val="333333"/>
          <w:sz w:val="20"/>
          <w:szCs w:val="20"/>
        </w:rPr>
        <w:t xml:space="preserve">Root Cause: Breeze uses proprietary stock tokens (e.g., '4.1!2885') instead of standard NSE symbols. The mapping file (Security Master) is updated daily at 8:00 AM IST. If you cache an old token file, newly listed securities, updated contract codes for new F&amp;O expiries, and weekly options strikes will fail with cryptic errors.</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Scheduled 8:10 AM IST download: </w:t>
      </w:r>
      <w:r>
        <w:rPr>
          <w:rFonts w:ascii="Arial" w:cs="Arial" w:eastAsia="Arial" w:hAnsi="Arial"/>
          <w:color w:val="333333"/>
          <w:sz w:val="20"/>
          <w:szCs w:val="20"/>
        </w:rPr>
        <w:t xml:space="preserve">Auto-download the Security Master CSV every morning, parse it into an in-memory lookup table (symbol -&gt; token), and store in Redis for the day.</w:t>
      </w:r>
    </w:p>
    <w:p>
      <w:pPr>
        <w:pStyle w:val="ListParagraph"/>
        <w:numPr>
          <w:ilvl w:val="0"/>
          <w:numId w:val="2"/>
        </w:numPr>
        <w:spacing w:before="60" w:after="60" w:line="270"/>
      </w:pPr>
      <w:r>
        <w:rPr>
          <w:rFonts w:ascii="Arial" w:cs="Arial" w:eastAsia="Arial" w:hAnsi="Arial"/>
          <w:b/>
          <w:bCs/>
          <w:color w:val="1A3C6E"/>
          <w:sz w:val="20"/>
          <w:szCs w:val="20"/>
        </w:rPr>
        <w:t xml:space="preserve">Fallback lookup: </w:t>
      </w:r>
      <w:r>
        <w:rPr>
          <w:rFonts w:ascii="Arial" w:cs="Arial" w:eastAsia="Arial" w:hAnsi="Arial"/>
          <w:color w:val="333333"/>
          <w:sz w:val="20"/>
          <w:szCs w:val="20"/>
        </w:rPr>
        <w:t xml:space="preserve">If token not found in today's file, try yesterday's file before raising an error. Log all token lookup failures for manual review.</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A5. Historical Data — Granularity vs Date Range Tradeoffs</w:t>
      </w:r>
    </w:p>
    <w:p>
      <w:pPr>
        <w:shd w:fill="D6E8F7"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Second-level data is only available for recent windows; fetching 3 years takes many paginated calls.</w:t>
      </w:r>
    </w:p>
    <w:p>
      <w:pPr>
        <w:spacing w:before="60" w:after="60"/>
      </w:pPr>
      <w:r>
        <w:t xml:space="preserve"/>
      </w:r>
    </w:p>
    <w:p>
      <w:pPr>
        <w:spacing w:before="80" w:after="80" w:line="280"/>
      </w:pPr>
      <w:r>
        <w:rPr>
          <w:rFonts w:ascii="Arial" w:cs="Arial" w:eastAsia="Arial" w:hAnsi="Arial"/>
          <w:color w:val="333333"/>
          <w:sz w:val="20"/>
          <w:szCs w:val="20"/>
        </w:rPr>
        <w:t xml:space="preserve">1-second tick data is only available for the most recent few days. For backtesting over months/years, you must use 1-minute OHLC. Fetching 3 years of 1-minute data requires hundreds of paginated API calls (Breeze returns a maximum date range per call) and will consume a large portion of your daily 5,000-call budget if run naively.</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Historical data warehouse: </w:t>
      </w:r>
      <w:r>
        <w:rPr>
          <w:rFonts w:ascii="Arial" w:cs="Arial" w:eastAsia="Arial" w:hAnsi="Arial"/>
          <w:color w:val="333333"/>
          <w:sz w:val="20"/>
          <w:szCs w:val="20"/>
        </w:rPr>
        <w:t xml:space="preserve">Build a one-time batch fetch job that downloads all historical 1-minute OHLC data for your tracked universe and stores it in PostgreSQL (Supabase). Thereafter, only fetch incremental daily data. This means the 5,000/day limit is only ever hit during initial setup, not during daily operations.</w:t>
      </w:r>
    </w:p>
    <w:p>
      <w:pPr>
        <w:pStyle w:val="ListParagraph"/>
        <w:numPr>
          <w:ilvl w:val="0"/>
          <w:numId w:val="2"/>
        </w:numPr>
        <w:spacing w:before="60" w:after="60" w:line="270"/>
      </w:pPr>
      <w:r>
        <w:rPr>
          <w:rFonts w:ascii="Arial" w:cs="Arial" w:eastAsia="Arial" w:hAnsi="Arial"/>
          <w:b/>
          <w:bCs/>
          <w:color w:val="1A3C6E"/>
          <w:sz w:val="20"/>
          <w:szCs w:val="20"/>
        </w:rPr>
        <w:t xml:space="preserve">Backtest data is local: </w:t>
      </w:r>
      <w:r>
        <w:rPr>
          <w:rFonts w:ascii="Arial" w:cs="Arial" w:eastAsia="Arial" w:hAnsi="Arial"/>
          <w:color w:val="333333"/>
          <w:sz w:val="20"/>
          <w:szCs w:val="20"/>
        </w:rPr>
        <w:t xml:space="preserve">All backtests run against the local database, consuming zero Breeze API calls.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A6. Static IP Requirement for Algo Trading</w:t>
      </w:r>
    </w:p>
    <w:p>
      <w:pPr>
        <w:shd w:fill="FDE8E8" w:val="clear"/>
        <w:spacing w:before="120" w:after="120"/>
      </w:pPr>
      <w:r>
        <w:rPr>
          <w:rFonts w:ascii="Arial" w:cs="Arial" w:eastAsia="Arial" w:hAnsi="Arial"/>
          <w:b/>
          <w:bCs/>
          <w:color w:val="B22222"/>
          <w:sz w:val="19"/>
          <w:szCs w:val="19"/>
        </w:rPr>
        <w:t xml:space="preserve">  SEVERITY: HIGH (Compliance)  </w:t>
      </w:r>
      <w:r>
        <w:rPr>
          <w:rFonts w:ascii="Arial" w:cs="Arial" w:eastAsia="Arial" w:hAnsi="Arial"/>
          <w:color w:val="333333"/>
          <w:sz w:val="19"/>
          <w:szCs w:val="19"/>
        </w:rPr>
        <w:t xml:space="preserve"> — SEBI circular mandates static IP for API-based order placement.</w:t>
      </w:r>
    </w:p>
    <w:p>
      <w:pPr>
        <w:spacing w:before="60" w:after="60"/>
      </w:pPr>
      <w:r>
        <w:t xml:space="preserve"/>
      </w:r>
    </w:p>
    <w:p>
      <w:pPr>
        <w:spacing w:before="80" w:after="80" w:line="280"/>
      </w:pPr>
      <w:r>
        <w:rPr>
          <w:rFonts w:ascii="Arial" w:cs="Arial" w:eastAsia="Arial" w:hAnsi="Arial"/>
          <w:color w:val="333333"/>
          <w:sz w:val="20"/>
          <w:szCs w:val="20"/>
        </w:rPr>
        <w:t xml:space="preserve">A SEBI circular mandates that for API-based automated order placement, the originating IP must be registered as a static IP with the broker. Free-tier cloud services (Render, Railway free tier, Vercel serverless) all use dynamic IPs that change on every deploy or container restart. This creates a compliance gap.</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Paper trading exemption: </w:t>
      </w:r>
      <w:r>
        <w:rPr>
          <w:rFonts w:ascii="Arial" w:cs="Arial" w:eastAsia="Arial" w:hAnsi="Arial"/>
          <w:color w:val="333333"/>
          <w:sz w:val="20"/>
          <w:szCs w:val="20"/>
        </w:rPr>
        <w:t xml:space="preserve">For paper trading (no real orders to NSE), static IP is not strictly required as no real orders traverse the exchange. The compliance requirement applies to live order APIs only.</w:t>
      </w:r>
    </w:p>
    <w:p>
      <w:pPr>
        <w:pStyle w:val="ListParagraph"/>
        <w:numPr>
          <w:ilvl w:val="0"/>
          <w:numId w:val="2"/>
        </w:numPr>
        <w:spacing w:before="60" w:after="60" w:line="270"/>
      </w:pPr>
      <w:r>
        <w:rPr>
          <w:rFonts w:ascii="Arial" w:cs="Arial" w:eastAsia="Arial" w:hAnsi="Arial"/>
          <w:b/>
          <w:bCs/>
          <w:color w:val="1A3C6E"/>
          <w:sz w:val="20"/>
          <w:szCs w:val="20"/>
        </w:rPr>
        <w:t xml:space="preserve">Upgrade path planned: </w:t>
      </w:r>
      <w:r>
        <w:rPr>
          <w:rFonts w:ascii="Arial" w:cs="Arial" w:eastAsia="Arial" w:hAnsi="Arial"/>
          <w:color w:val="333333"/>
          <w:sz w:val="20"/>
          <w:szCs w:val="20"/>
        </w:rPr>
        <w:t xml:space="preserve">When the product adds real trading simulation (API order preview calls), plan the Render Starter tier ($7/month) upgrade which provides static outbound IPs.</w:t>
      </w:r>
    </w:p>
    <w:p>
      <w:pPr>
        <w:pStyle w:val="ListParagraph"/>
        <w:numPr>
          <w:ilvl w:val="0"/>
          <w:numId w:val="2"/>
        </w:numPr>
        <w:spacing w:before="60" w:after="60" w:line="270"/>
      </w:pPr>
      <w:r>
        <w:rPr>
          <w:rFonts w:ascii="Arial" w:cs="Arial" w:eastAsia="Arial" w:hAnsi="Arial"/>
          <w:b/>
          <w:bCs/>
          <w:color w:val="1A3C6E"/>
          <w:sz w:val="20"/>
          <w:szCs w:val="20"/>
        </w:rPr>
        <w:t xml:space="preserve">Self-hosted VPS alternative: </w:t>
      </w:r>
      <w:r>
        <w:rPr>
          <w:rFonts w:ascii="Arial" w:cs="Arial" w:eastAsia="Arial" w:hAnsi="Arial"/>
          <w:color w:val="333333"/>
          <w:sz w:val="20"/>
          <w:szCs w:val="20"/>
        </w:rPr>
        <w:t xml:space="preserve">For zero-cost static IP: Oracle Cloud Always Free tier provides a free VPS with a permanent static IP. This can host the FastAPI backend permanently.</w:t>
      </w:r>
    </w:p>
    <w:p>
      <w:pPr>
        <w:spacing w:before="60" w:after="60"/>
      </w:pPr>
      <w:r>
        <w:t xml:space="preserve"/>
      </w:r>
    </w:p>
    <w:p>
      <w:r>
        <w:br w:type="page"/>
      </w:r>
    </w:p>
    <w:p>
      <w:pPr>
        <w:pStyle w:val="Heading1"/>
        <w:pBdr>
          <w:bottom w:val="single" w:color="E8A020" w:sz="8" w:space="6"/>
        </w:pBdr>
        <w:spacing w:before="480" w:after="200"/>
      </w:pPr>
      <w:r>
        <w:rPr>
          <w:rFonts w:ascii="Arial" w:cs="Arial" w:eastAsia="Arial" w:hAnsi="Arial"/>
          <w:b/>
          <w:bCs/>
          <w:color w:val="1A3C6E"/>
          <w:sz w:val="30"/>
          <w:szCs w:val="30"/>
        </w:rPr>
        <w:t xml:space="preserve">B. Free-Tier Infrastructure — Bottlenecks</w:t>
      </w:r>
    </w:p>
    <w:p>
      <w:pPr>
        <w:pStyle w:val="Heading2"/>
        <w:spacing w:before="320" w:after="120"/>
      </w:pPr>
      <w:r>
        <w:rPr>
          <w:rFonts w:ascii="Arial" w:cs="Arial" w:eastAsia="Arial" w:hAnsi="Arial"/>
          <w:b/>
          <w:bCs/>
          <w:color w:val="2E6DA4"/>
          <w:sz w:val="25"/>
          <w:szCs w:val="25"/>
        </w:rPr>
        <w:t xml:space="preserve">B1. Render Free Tier — Sleep After 15 Minutes of Inactivity</w:t>
      </w:r>
    </w:p>
    <w:p>
      <w:pPr>
        <w:shd w:fill="FDE8E8" w:val="clear"/>
        <w:spacing w:before="120" w:after="120"/>
      </w:pPr>
      <w:r>
        <w:rPr>
          <w:rFonts w:ascii="Arial" w:cs="Arial" w:eastAsia="Arial" w:hAnsi="Arial"/>
          <w:b/>
          <w:bCs/>
          <w:color w:val="B22222"/>
          <w:sz w:val="19"/>
          <w:szCs w:val="19"/>
        </w:rPr>
        <w:t xml:space="preserve">  SEVERITY: CRITICAL for real-time apps  </w:t>
      </w:r>
      <w:r>
        <w:rPr>
          <w:rFonts w:ascii="Arial" w:cs="Arial" w:eastAsia="Arial" w:hAnsi="Arial"/>
          <w:color w:val="333333"/>
          <w:sz w:val="19"/>
          <w:szCs w:val="19"/>
        </w:rPr>
        <w:t xml:space="preserve"> — A sleeping server misses market open data, WebSocket reconnects, and scheduled jobs.</w:t>
      </w:r>
    </w:p>
    <w:p>
      <w:pPr>
        <w:spacing w:before="60" w:after="60"/>
      </w:pPr>
      <w:r>
        <w:t xml:space="preserve"/>
      </w:r>
    </w:p>
    <w:p>
      <w:pPr>
        <w:spacing w:before="80" w:after="80" w:line="280"/>
      </w:pPr>
      <w:r>
        <w:rPr>
          <w:rFonts w:ascii="Arial" w:cs="Arial" w:eastAsia="Arial" w:hAnsi="Arial"/>
          <w:color w:val="333333"/>
          <w:sz w:val="20"/>
          <w:szCs w:val="20"/>
        </w:rPr>
        <w:t xml:space="preserve">Render's free tier spins down the server after 15 minutes without an incoming HTTP request. Cold start on Render takes 30–60 seconds. If the server is asleep at 9:14 AM when NSE pre-open begins, the entire morning session is missed.</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UptimeRobot pinging: </w:t>
      </w:r>
      <w:r>
        <w:rPr>
          <w:rFonts w:ascii="Arial" w:cs="Arial" w:eastAsia="Arial" w:hAnsi="Arial"/>
          <w:color w:val="333333"/>
          <w:sz w:val="20"/>
          <w:szCs w:val="20"/>
        </w:rPr>
        <w:t xml:space="preserve">Register a free UptimeRobot monitor that pings your Render URL every 10 minutes (free tier allows 50 monitors, 5-minute intervals). This prevents sleep during market hours.</w:t>
      </w:r>
    </w:p>
    <w:p>
      <w:pPr>
        <w:pStyle w:val="ListParagraph"/>
        <w:numPr>
          <w:ilvl w:val="0"/>
          <w:numId w:val="2"/>
        </w:numPr>
        <w:spacing w:before="60" w:after="60" w:line="270"/>
      </w:pPr>
      <w:r>
        <w:rPr>
          <w:rFonts w:ascii="Arial" w:cs="Arial" w:eastAsia="Arial" w:hAnsi="Arial"/>
          <w:b/>
          <w:bCs/>
          <w:color w:val="1A3C6E"/>
          <w:sz w:val="20"/>
          <w:szCs w:val="20"/>
        </w:rPr>
        <w:t xml:space="preserve">Market-hours only pinging: </w:t>
      </w:r>
      <w:r>
        <w:rPr>
          <w:rFonts w:ascii="Arial" w:cs="Arial" w:eastAsia="Arial" w:hAnsi="Arial"/>
          <w:color w:val="333333"/>
          <w:sz w:val="20"/>
          <w:szCs w:val="20"/>
        </w:rPr>
        <w:t xml:space="preserve">Schedule the ping only between 8:45 AM and 4:00 PM IST Monday–Friday to respect Render's terms and save ping credits.</w:t>
      </w:r>
    </w:p>
    <w:p>
      <w:pPr>
        <w:pStyle w:val="ListParagraph"/>
        <w:numPr>
          <w:ilvl w:val="0"/>
          <w:numId w:val="2"/>
        </w:numPr>
        <w:spacing w:before="60" w:after="60" w:line="270"/>
      </w:pPr>
      <w:r>
        <w:rPr>
          <w:rFonts w:ascii="Arial" w:cs="Arial" w:eastAsia="Arial" w:hAnsi="Arial"/>
          <w:b/>
          <w:bCs/>
          <w:color w:val="1A3C6E"/>
          <w:sz w:val="20"/>
          <w:szCs w:val="20"/>
        </w:rPr>
        <w:t xml:space="preserve">Oracle Cloud Free VPS: </w:t>
      </w:r>
      <w:r>
        <w:rPr>
          <w:rFonts w:ascii="Arial" w:cs="Arial" w:eastAsia="Arial" w:hAnsi="Arial"/>
          <w:color w:val="333333"/>
          <w:sz w:val="20"/>
          <w:szCs w:val="20"/>
        </w:rPr>
        <w:t xml:space="preserve">The best permanent solution: Oracle Cloud Always Free tier provides 2 AMD VMs with 1 GB RAM each that never sleep, never charge, and have static IPs. Ideal for the production AI agent host.</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B2. Supabase Free Tier — 10 Concurrent Connection Limit</w:t>
      </w:r>
    </w:p>
    <w:p>
      <w:pPr>
        <w:shd w:fill="FDE8E8" w:val="clear"/>
        <w:spacing w:before="120" w:after="120"/>
      </w:pPr>
      <w:r>
        <w:rPr>
          <w:rFonts w:ascii="Arial" w:cs="Arial" w:eastAsia="Arial" w:hAnsi="Arial"/>
          <w:b/>
          <w:bCs/>
          <w:color w:val="B22222"/>
          <w:sz w:val="19"/>
          <w:szCs w:val="19"/>
        </w:rPr>
        <w:t xml:space="preserve">  SEVERITY: HIGH  </w:t>
      </w:r>
      <w:r>
        <w:rPr>
          <w:rFonts w:ascii="Arial" w:cs="Arial" w:eastAsia="Arial" w:hAnsi="Arial"/>
          <w:color w:val="333333"/>
          <w:sz w:val="19"/>
          <w:szCs w:val="19"/>
        </w:rPr>
        <w:t xml:space="preserve"> — Breached easily with an AI agent + multiple users + background jobs running simultaneously.</w:t>
      </w:r>
    </w:p>
    <w:p>
      <w:pPr>
        <w:spacing w:before="60" w:after="60"/>
      </w:pPr>
      <w:r>
        <w:t xml:space="preserve"/>
      </w:r>
    </w:p>
    <w:p>
      <w:pPr>
        <w:spacing w:before="80" w:after="80" w:line="280"/>
      </w:pPr>
      <w:r>
        <w:rPr>
          <w:rFonts w:ascii="Arial" w:cs="Arial" w:eastAsia="Arial" w:hAnsi="Arial"/>
          <w:color w:val="333333"/>
          <w:sz w:val="20"/>
          <w:szCs w:val="20"/>
        </w:rPr>
        <w:t xml:space="preserve">Supabase's free PostgreSQL instance allows only 10 simultaneous database connections. Each FastAPI worker, background job, and WebSocket handler holds a connection. With 5 simultaneous users and 3 background jobs, you hit 8 connections. Adding one AI agent cycle that opens its own connection pool pushes to 12+ — triggering 'too many connections' errors.</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PgBouncer connection pooling: </w:t>
      </w:r>
      <w:r>
        <w:rPr>
          <w:rFonts w:ascii="Arial" w:cs="Arial" w:eastAsia="Arial" w:hAnsi="Arial"/>
          <w:color w:val="333333"/>
          <w:sz w:val="20"/>
          <w:szCs w:val="20"/>
        </w:rPr>
        <w:t xml:space="preserve">Supabase offers a built-in connection pooler (PgBouncer) accessible on port 6543. Route ALL database connections through this pooler in transaction mode. It multiplexes thousands of app-level connections into the 10 physical connections.</w:t>
      </w:r>
    </w:p>
    <w:p>
      <w:pPr>
        <w:pStyle w:val="ListParagraph"/>
        <w:numPr>
          <w:ilvl w:val="0"/>
          <w:numId w:val="2"/>
        </w:numPr>
        <w:spacing w:before="60" w:after="60" w:line="270"/>
      </w:pPr>
      <w:r>
        <w:rPr>
          <w:rFonts w:ascii="Arial" w:cs="Arial" w:eastAsia="Arial" w:hAnsi="Arial"/>
          <w:b/>
          <w:bCs/>
          <w:color w:val="1A3C6E"/>
          <w:sz w:val="20"/>
          <w:szCs w:val="20"/>
        </w:rPr>
        <w:t xml:space="preserve">SQLAlchemy pool sizing: </w:t>
      </w:r>
      <w:r>
        <w:rPr>
          <w:rFonts w:ascii="Arial" w:cs="Arial" w:eastAsia="Arial" w:hAnsi="Arial"/>
          <w:color w:val="333333"/>
          <w:sz w:val="20"/>
          <w:szCs w:val="20"/>
        </w:rPr>
        <w:t xml:space="preserve">Set pool_size=3, max_overflow=2 in SQLAlchemy engine config. Never allow the FastAPI app to hold more than 5 connections.</w:t>
      </w:r>
    </w:p>
    <w:p>
      <w:pPr>
        <w:pStyle w:val="ListParagraph"/>
        <w:numPr>
          <w:ilvl w:val="0"/>
          <w:numId w:val="2"/>
        </w:numPr>
        <w:spacing w:before="60" w:after="60" w:line="270"/>
      </w:pPr>
      <w:r>
        <w:rPr>
          <w:rFonts w:ascii="Arial" w:cs="Arial" w:eastAsia="Arial" w:hAnsi="Arial"/>
          <w:b/>
          <w:bCs/>
          <w:color w:val="1A3C6E"/>
          <w:sz w:val="20"/>
          <w:szCs w:val="20"/>
        </w:rPr>
        <w:t xml:space="preserve">Async DB operations: </w:t>
      </w:r>
      <w:r>
        <w:rPr>
          <w:rFonts w:ascii="Arial" w:cs="Arial" w:eastAsia="Arial" w:hAnsi="Arial"/>
          <w:color w:val="333333"/>
          <w:sz w:val="20"/>
          <w:szCs w:val="20"/>
        </w:rPr>
        <w:t xml:space="preserve">Use asyncpg (async PostgreSQL driver) throughout. Never use synchronous DB calls in request handlers — they hold connections open during I/O waits.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B3. Vercel Serverless Cold Starts for API Routes</w:t>
      </w:r>
    </w:p>
    <w:p>
      <w:pPr>
        <w:shd w:fill="D6E8F7"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If using Next.js API routes on Vercel instead of a separate backend, expect 1–3 second cold starts.</w:t>
      </w:r>
    </w:p>
    <w:p>
      <w:pPr>
        <w:spacing w:before="60" w:after="60"/>
      </w:pPr>
      <w:r>
        <w:t xml:space="preserve"/>
      </w:r>
    </w:p>
    <w:p>
      <w:pPr>
        <w:spacing w:before="80" w:after="80" w:line="280"/>
      </w:pPr>
      <w:r>
        <w:rPr>
          <w:rFonts w:ascii="Arial" w:cs="Arial" w:eastAsia="Arial" w:hAnsi="Arial"/>
          <w:color w:val="333333"/>
          <w:sz w:val="20"/>
          <w:szCs w:val="20"/>
        </w:rPr>
        <w:t xml:space="preserve">If the frontend is React+Vite (static) on Vercel with no API routes, this is not an issue. The problem arises only if someone tries to use Vercel Edge Functions or API routes for backend logic. The architecture separates concerns correctly: Vercel handles ONLY static React build files, Render handles all backend. No cold start issue.</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B4. Upstash Redis — 10,000 Daily Command Limit</w:t>
      </w:r>
    </w:p>
    <w:p>
      <w:pPr>
        <w:shd w:fill="D6E8F7"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Each cache SET, GET, EXPIRE counts as a command. Heavy caching hits the ceiling.</w:t>
      </w:r>
    </w:p>
    <w:p>
      <w:pPr>
        <w:spacing w:before="60" w:after="60"/>
      </w:pPr>
      <w:r>
        <w:t xml:space="preserve"/>
      </w:r>
    </w:p>
    <w:p>
      <w:pPr>
        <w:spacing w:before="80" w:after="80" w:line="280"/>
      </w:pPr>
      <w:r>
        <w:rPr>
          <w:rFonts w:ascii="Arial" w:cs="Arial" w:eastAsia="Arial" w:hAnsi="Arial"/>
          <w:color w:val="333333"/>
          <w:sz w:val="20"/>
          <w:szCs w:val="20"/>
        </w:rPr>
        <w:t xml:space="preserve">At 10,000 commands per day, with 1-minute price caching for 100 stocks = 100 SET + 100 GET per minute = 200 commands/minute = 12,000/hour. This exceeds the daily limit within 1 hour.</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Batch key strategy: </w:t>
      </w:r>
      <w:r>
        <w:rPr>
          <w:rFonts w:ascii="Arial" w:cs="Arial" w:eastAsia="Arial" w:hAnsi="Arial"/>
          <w:color w:val="333333"/>
          <w:sz w:val="20"/>
          <w:szCs w:val="20"/>
        </w:rPr>
        <w:t xml:space="preserve">Instead of one Redis key per stock, store all 100 stock prices in a single JSON blob under one key: prices:snapshot. One SET + one GET per minute = 2 commands/minute = 2,880/day.</w:t>
      </w:r>
    </w:p>
    <w:p>
      <w:pPr>
        <w:pStyle w:val="ListParagraph"/>
        <w:numPr>
          <w:ilvl w:val="0"/>
          <w:numId w:val="2"/>
        </w:numPr>
        <w:spacing w:before="60" w:after="60" w:line="270"/>
      </w:pPr>
      <w:r>
        <w:rPr>
          <w:rFonts w:ascii="Arial" w:cs="Arial" w:eastAsia="Arial" w:hAnsi="Arial"/>
          <w:b/>
          <w:bCs/>
          <w:color w:val="1A3C6E"/>
          <w:sz w:val="20"/>
          <w:szCs w:val="20"/>
        </w:rPr>
        <w:t xml:space="preserve">In-memory L1 cache: </w:t>
      </w:r>
      <w:r>
        <w:rPr>
          <w:rFonts w:ascii="Arial" w:cs="Arial" w:eastAsia="Arial" w:hAnsi="Arial"/>
          <w:color w:val="333333"/>
          <w:sz w:val="20"/>
          <w:szCs w:val="20"/>
        </w:rPr>
        <w:t xml:space="preserve">Use Python's functools.lru_cache or a simple dict as an in-process cache for data that doesn't need to survive process restarts (e.g., 5-second price buffer). Redis is L2 for cross-process and cross-request sharing only.</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B5. NewsAPI Free Tier — 100 Requests/Day, 30-Day Article Age Limit</w:t>
      </w:r>
    </w:p>
    <w:p>
      <w:pPr>
        <w:shd w:fill="D6E8F7"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AI news sentiment analysis is severely rate-limited on free tier.</w:t>
      </w:r>
    </w:p>
    <w:p>
      <w:pPr>
        <w:spacing w:before="60" w:after="60"/>
      </w:pPr>
      <w:r>
        <w:t xml:space="preserve"/>
      </w:r>
    </w:p>
    <w:p>
      <w:pPr>
        <w:spacing w:before="80" w:after="80" w:line="280"/>
      </w:pPr>
      <w:r>
        <w:rPr>
          <w:rFonts w:ascii="Arial" w:cs="Arial" w:eastAsia="Arial" w:hAnsi="Arial"/>
          <w:color w:val="333333"/>
          <w:sz w:val="20"/>
          <w:szCs w:val="20"/>
        </w:rPr>
        <w:t xml:space="preserve">NewsAPI's free tier limits you to 100 requests per day and headlines are delayed by up to 24 hours (not real-time). The developer plan ($449/month) gives real-time data. For a free-tier app, this is a significant constraint for the AI sentiment engine.</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GNews API: </w:t>
      </w:r>
      <w:r>
        <w:rPr>
          <w:rFonts w:ascii="Arial" w:cs="Arial" w:eastAsia="Arial" w:hAnsi="Arial"/>
          <w:color w:val="333333"/>
          <w:sz w:val="20"/>
          <w:szCs w:val="20"/>
        </w:rPr>
        <w:t xml:space="preserve">GNews.io free tier offers 100 requests/day with 10 articles per request and supports filtering by Indian sources. Use as primary source.</w:t>
      </w:r>
    </w:p>
    <w:p>
      <w:pPr>
        <w:pStyle w:val="ListParagraph"/>
        <w:numPr>
          <w:ilvl w:val="0"/>
          <w:numId w:val="2"/>
        </w:numPr>
        <w:spacing w:before="60" w:after="60" w:line="270"/>
      </w:pPr>
      <w:r>
        <w:rPr>
          <w:rFonts w:ascii="Arial" w:cs="Arial" w:eastAsia="Arial" w:hAnsi="Arial"/>
          <w:b/>
          <w:bCs/>
          <w:color w:val="1A3C6E"/>
          <w:sz w:val="20"/>
          <w:szCs w:val="20"/>
        </w:rPr>
        <w:t xml:space="preserve">Google RSS feeds: </w:t>
      </w:r>
      <w:r>
        <w:rPr>
          <w:rFonts w:ascii="Arial" w:cs="Arial" w:eastAsia="Arial" w:hAnsi="Arial"/>
          <w:color w:val="333333"/>
          <w:sz w:val="20"/>
          <w:szCs w:val="20"/>
        </w:rPr>
        <w:t xml:space="preserve">Google News RSS feeds are completely free and real-time for topic searches. Use feedparser Python library to fetch: https://news.google.com/rss/search?q=RELIANCE+stock&amp;hl=en-IN. No API key, no rate limit.</w:t>
      </w:r>
    </w:p>
    <w:p>
      <w:pPr>
        <w:pStyle w:val="ListParagraph"/>
        <w:numPr>
          <w:ilvl w:val="0"/>
          <w:numId w:val="2"/>
        </w:numPr>
        <w:spacing w:before="60" w:after="60" w:line="270"/>
      </w:pPr>
      <w:r>
        <w:rPr>
          <w:rFonts w:ascii="Arial" w:cs="Arial" w:eastAsia="Arial" w:hAnsi="Arial"/>
          <w:b/>
          <w:bCs/>
          <w:color w:val="1A3C6E"/>
          <w:sz w:val="20"/>
          <w:szCs w:val="20"/>
        </w:rPr>
        <w:t xml:space="preserve">NSE direct announcements: </w:t>
      </w:r>
      <w:r>
        <w:rPr>
          <w:rFonts w:ascii="Arial" w:cs="Arial" w:eastAsia="Arial" w:hAnsi="Arial"/>
          <w:color w:val="333333"/>
          <w:sz w:val="20"/>
          <w:szCs w:val="20"/>
        </w:rPr>
        <w:t xml:space="preserve">NSE India publishes corporate announcements directly at https://www.nseindia.com/companies-listing/corporate-filings-announcements. Scrape this for first-party company news — more authoritative than general news sites.</w:t>
      </w:r>
    </w:p>
    <w:p>
      <w:pPr>
        <w:pStyle w:val="ListParagraph"/>
        <w:numPr>
          <w:ilvl w:val="0"/>
          <w:numId w:val="2"/>
        </w:numPr>
        <w:spacing w:before="60" w:after="60" w:line="270"/>
      </w:pPr>
      <w:r>
        <w:rPr>
          <w:rFonts w:ascii="Arial" w:cs="Arial" w:eastAsia="Arial" w:hAnsi="Arial"/>
          <w:b/>
          <w:bCs/>
          <w:color w:val="1A3C6E"/>
          <w:sz w:val="20"/>
          <w:szCs w:val="20"/>
        </w:rPr>
        <w:t xml:space="preserve">Sentiment caching: </w:t>
      </w:r>
      <w:r>
        <w:rPr>
          <w:rFonts w:ascii="Arial" w:cs="Arial" w:eastAsia="Arial" w:hAnsi="Arial"/>
          <w:color w:val="333333"/>
          <w:sz w:val="20"/>
          <w:szCs w:val="20"/>
        </w:rPr>
        <w:t xml:space="preserve">Cache sentiment analysis results for 4 hours per stock. Sentiment doesn't change meaningfully on sub-4-hour intervals unless a major news event occurs.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B6. Claude API — Cost Scaling with Usage</w:t>
      </w:r>
    </w:p>
    <w:p>
      <w:pPr>
        <w:shd w:fill="FDE8E8" w:val="clear"/>
        <w:spacing w:before="120" w:after="120"/>
      </w:pPr>
      <w:r>
        <w:rPr>
          <w:rFonts w:ascii="Arial" w:cs="Arial" w:eastAsia="Arial" w:hAnsi="Arial"/>
          <w:b/>
          <w:bCs/>
          <w:color w:val="B22222"/>
          <w:sz w:val="19"/>
          <w:szCs w:val="19"/>
        </w:rPr>
        <w:t xml:space="preserve">  SEVERITY: HIGH at scale  </w:t>
      </w:r>
      <w:r>
        <w:rPr>
          <w:rFonts w:ascii="Arial" w:cs="Arial" w:eastAsia="Arial" w:hAnsi="Arial"/>
          <w:color w:val="333333"/>
          <w:sz w:val="19"/>
          <w:szCs w:val="19"/>
        </w:rPr>
        <w:t xml:space="preserve"> — At $3/million input tokens, a multi-user AI agent platform can accumulate significant API costs.</w:t>
      </w:r>
    </w:p>
    <w:p>
      <w:pPr>
        <w:spacing w:before="60" w:after="60"/>
      </w:pPr>
      <w:r>
        <w:t xml:space="preserve"/>
      </w:r>
    </w:p>
    <w:p>
      <w:pPr>
        <w:spacing w:before="80" w:after="80" w:line="280"/>
      </w:pPr>
      <w:r>
        <w:rPr>
          <w:rFonts w:ascii="Arial" w:cs="Arial" w:eastAsia="Arial" w:hAnsi="Arial"/>
          <w:color w:val="333333"/>
          <w:sz w:val="20"/>
          <w:szCs w:val="20"/>
        </w:rPr>
        <w:t xml:space="preserve">A pre-market briefing prompt is approximately 2,000 tokens. A news synthesis call is ~3,000 tokens. A post-trade briefing is ~1,500 tokens. At 100 users each receiving 3 AI calls per day = 300 calls x 3,000 avg tokens = 900,000 tokens/day = ~$2.70/day = ~$81/month. At 1,000 users, this is $810/month.</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Prompt caching: </w:t>
      </w:r>
      <w:r>
        <w:rPr>
          <w:rFonts w:ascii="Arial" w:cs="Arial" w:eastAsia="Arial" w:hAnsi="Arial"/>
          <w:color w:val="333333"/>
          <w:sz w:val="20"/>
          <w:szCs w:val="20"/>
        </w:rPr>
        <w:t xml:space="preserve">Use Anthropic's prompt caching feature for the system prompt (the 'persona' of the expert trader bot). The system prompt is identical for all calls — caching saves 90% of system prompt token costs.</w:t>
      </w:r>
    </w:p>
    <w:p>
      <w:pPr>
        <w:pStyle w:val="ListParagraph"/>
        <w:numPr>
          <w:ilvl w:val="0"/>
          <w:numId w:val="2"/>
        </w:numPr>
        <w:spacing w:before="60" w:after="60" w:line="270"/>
      </w:pPr>
      <w:r>
        <w:rPr>
          <w:rFonts w:ascii="Arial" w:cs="Arial" w:eastAsia="Arial" w:hAnsi="Arial"/>
          <w:b/>
          <w:bCs/>
          <w:color w:val="1A3C6E"/>
          <w:sz w:val="20"/>
          <w:szCs w:val="20"/>
        </w:rPr>
        <w:t xml:space="preserve">Shared market briefings: </w:t>
      </w:r>
      <w:r>
        <w:rPr>
          <w:rFonts w:ascii="Arial" w:cs="Arial" w:eastAsia="Arial" w:hAnsi="Arial"/>
          <w:color w:val="333333"/>
          <w:sz w:val="20"/>
          <w:szCs w:val="20"/>
        </w:rPr>
        <w:t xml:space="preserve">The pre-market macro briefing is IDENTICAL for all users on the same day. Generate it once at 8:45 AM, cache the result, serve it to all users. 1 Claude call serves 1,000 users.</w:t>
      </w:r>
    </w:p>
    <w:p>
      <w:pPr>
        <w:pStyle w:val="ListParagraph"/>
        <w:numPr>
          <w:ilvl w:val="0"/>
          <w:numId w:val="2"/>
        </w:numPr>
        <w:spacing w:before="60" w:after="60" w:line="270"/>
      </w:pPr>
      <w:r>
        <w:rPr>
          <w:rFonts w:ascii="Arial" w:cs="Arial" w:eastAsia="Arial" w:hAnsi="Arial"/>
          <w:b/>
          <w:bCs/>
          <w:color w:val="1A3C6E"/>
          <w:sz w:val="20"/>
          <w:szCs w:val="20"/>
        </w:rPr>
        <w:t xml:space="preserve">AI call budget per user: </w:t>
      </w:r>
      <w:r>
        <w:rPr>
          <w:rFonts w:ascii="Arial" w:cs="Arial" w:eastAsia="Arial" w:hAnsi="Arial"/>
          <w:color w:val="333333"/>
          <w:sz w:val="20"/>
          <w:szCs w:val="20"/>
        </w:rPr>
        <w:t xml:space="preserve">Free users: 5 AI agent actions per day. Premium users (₹199/month): unlimited. This creates a natural monetization path.</w:t>
      </w:r>
    </w:p>
    <w:p>
      <w:pPr>
        <w:pStyle w:val="ListParagraph"/>
        <w:numPr>
          <w:ilvl w:val="0"/>
          <w:numId w:val="2"/>
        </w:numPr>
        <w:spacing w:before="60" w:after="60" w:line="270"/>
      </w:pPr>
      <w:r>
        <w:rPr>
          <w:rFonts w:ascii="Arial" w:cs="Arial" w:eastAsia="Arial" w:hAnsi="Arial"/>
          <w:b/>
          <w:bCs/>
          <w:color w:val="1A3C6E"/>
          <w:sz w:val="20"/>
          <w:szCs w:val="20"/>
        </w:rPr>
        <w:t xml:space="preserve">Model routing: </w:t>
      </w:r>
      <w:r>
        <w:rPr>
          <w:rFonts w:ascii="Arial" w:cs="Arial" w:eastAsia="Arial" w:hAnsi="Arial"/>
          <w:color w:val="333333"/>
          <w:sz w:val="20"/>
          <w:szCs w:val="20"/>
        </w:rPr>
        <w:t xml:space="preserve">Use claude-haiku-4-5 for simple tasks (quick news sentiment scoring, short summaries). Reserve claude-sonnet for high-complexity tasks (full strategy reasoning, post-trade briefings). Haiku is 20x cheaper than Sonnet.</w:t>
      </w:r>
    </w:p>
    <w:p>
      <w:pPr>
        <w:spacing w:before="60" w:after="60"/>
      </w:pPr>
      <w:r>
        <w:t xml:space="preserve"/>
      </w:r>
    </w:p>
    <w:p>
      <w:r>
        <w:br w:type="page"/>
      </w:r>
    </w:p>
    <w:p>
      <w:pPr>
        <w:pStyle w:val="Heading1"/>
        <w:pBdr>
          <w:bottom w:val="single" w:color="E8A020" w:sz="8" w:space="6"/>
        </w:pBdr>
        <w:spacing w:before="480" w:after="200"/>
      </w:pPr>
      <w:r>
        <w:rPr>
          <w:rFonts w:ascii="Arial" w:cs="Arial" w:eastAsia="Arial" w:hAnsi="Arial"/>
          <w:b/>
          <w:bCs/>
          <w:color w:val="1A3C6E"/>
          <w:sz w:val="30"/>
          <w:szCs w:val="30"/>
        </w:rPr>
        <w:t xml:space="preserve">C. Real-Time Data &amp; WebSocket Bottlenecks</w:t>
      </w:r>
    </w:p>
    <w:p>
      <w:pPr>
        <w:pStyle w:val="Heading2"/>
        <w:spacing w:before="320" w:after="120"/>
      </w:pPr>
      <w:r>
        <w:rPr>
          <w:rFonts w:ascii="Arial" w:cs="Arial" w:eastAsia="Arial" w:hAnsi="Arial"/>
          <w:b/>
          <w:bCs/>
          <w:color w:val="2E6DA4"/>
          <w:sz w:val="25"/>
          <w:szCs w:val="25"/>
        </w:rPr>
        <w:t xml:space="preserve">C1. WebSocket Reconnection Logic — The Silent Killer</w:t>
      </w:r>
    </w:p>
    <w:p>
      <w:pPr>
        <w:shd w:fill="FDE8E8" w:val="clear"/>
        <w:spacing w:before="120" w:after="120"/>
      </w:pPr>
      <w:r>
        <w:rPr>
          <w:rFonts w:ascii="Arial" w:cs="Arial" w:eastAsia="Arial" w:hAnsi="Arial"/>
          <w:b/>
          <w:bCs/>
          <w:color w:val="B22222"/>
          <w:sz w:val="19"/>
          <w:szCs w:val="19"/>
        </w:rPr>
        <w:t xml:space="preserve">  SEVERITY: CRITICAL  </w:t>
      </w:r>
      <w:r>
        <w:rPr>
          <w:rFonts w:ascii="Arial" w:cs="Arial" w:eastAsia="Arial" w:hAnsi="Arial"/>
          <w:color w:val="333333"/>
          <w:sz w:val="19"/>
          <w:szCs w:val="19"/>
        </w:rPr>
        <w:t xml:space="preserve"> — WebSocket disconnections without proper reconnect logic cause silent data gaps mid-session.</w:t>
      </w:r>
    </w:p>
    <w:p>
      <w:pPr>
        <w:spacing w:before="60" w:after="60"/>
      </w:pPr>
      <w:r>
        <w:t xml:space="preserve"/>
      </w:r>
    </w:p>
    <w:p>
      <w:pPr>
        <w:spacing w:before="80" w:after="80" w:line="280"/>
      </w:pPr>
      <w:r>
        <w:rPr>
          <w:rFonts w:ascii="Arial" w:cs="Arial" w:eastAsia="Arial" w:hAnsi="Arial"/>
          <w:color w:val="333333"/>
          <w:sz w:val="20"/>
          <w:szCs w:val="20"/>
        </w:rPr>
        <w:t xml:space="preserve">Breeze WebSocket connections drop silently on network hiccups, server restarts, or ISP throttling. Without exponential backoff reconnection logic, the system continues running with stale prices — placing trades based on 20-minute-old data without alerting anyone.</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Heartbeat monitor: </w:t>
      </w:r>
      <w:r>
        <w:rPr>
          <w:rFonts w:ascii="Arial" w:cs="Arial" w:eastAsia="Arial" w:hAnsi="Arial"/>
          <w:color w:val="333333"/>
          <w:sz w:val="20"/>
          <w:szCs w:val="20"/>
        </w:rPr>
        <w:t xml:space="preserve">Track the timestamp of the last received tick per subscribed instrument. If any instrument hasn't sent a tick for &gt; 60 seconds during market hours, trigger a WebSocket reconnection.</w:t>
      </w:r>
    </w:p>
    <w:p>
      <w:pPr>
        <w:pStyle w:val="ListParagraph"/>
        <w:numPr>
          <w:ilvl w:val="0"/>
          <w:numId w:val="2"/>
        </w:numPr>
        <w:spacing w:before="60" w:after="60" w:line="270"/>
      </w:pPr>
      <w:r>
        <w:rPr>
          <w:rFonts w:ascii="Arial" w:cs="Arial" w:eastAsia="Arial" w:hAnsi="Arial"/>
          <w:b/>
          <w:bCs/>
          <w:color w:val="1A3C6E"/>
          <w:sz w:val="20"/>
          <w:szCs w:val="20"/>
        </w:rPr>
        <w:t xml:space="preserve">Exponential backoff: </w:t>
      </w:r>
      <w:r>
        <w:rPr>
          <w:rFonts w:ascii="Arial" w:cs="Arial" w:eastAsia="Arial" w:hAnsi="Arial"/>
          <w:color w:val="333333"/>
          <w:sz w:val="20"/>
          <w:szCs w:val="20"/>
        </w:rPr>
        <w:t xml:space="preserve">Reconnect with delays of 1s, 2s, 4s, 8s, 16s, 32s (max). After 5 failed reconnects, switch to REST polling fallback and fire an alert.</w:t>
      </w:r>
    </w:p>
    <w:p>
      <w:pPr>
        <w:pStyle w:val="ListParagraph"/>
        <w:numPr>
          <w:ilvl w:val="0"/>
          <w:numId w:val="2"/>
        </w:numPr>
        <w:spacing w:before="60" w:after="60" w:line="270"/>
      </w:pPr>
      <w:r>
        <w:rPr>
          <w:rFonts w:ascii="Arial" w:cs="Arial" w:eastAsia="Arial" w:hAnsi="Arial"/>
          <w:b/>
          <w:bCs/>
          <w:color w:val="1A3C6E"/>
          <w:sz w:val="20"/>
          <w:szCs w:val="20"/>
        </w:rPr>
        <w:t xml:space="preserve">Data freshness badge: </w:t>
      </w:r>
      <w:r>
        <w:rPr>
          <w:rFonts w:ascii="Arial" w:cs="Arial" w:eastAsia="Arial" w:hAnsi="Arial"/>
          <w:color w:val="333333"/>
          <w:sz w:val="20"/>
          <w:szCs w:val="20"/>
        </w:rPr>
        <w:t xml:space="preserve">Display a live 'Data Freshness' indicator in the UI (green = &lt; 5s old, amber = 5–30s, red = &gt; 30s). Users always know the reliability of the data they're seeing.</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C2. Browser WebSocket Limits — Multi-Tab Problem</w:t>
      </w:r>
    </w:p>
    <w:p>
      <w:pPr>
        <w:shd w:fill="D6E8F7"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Browsers limit WebSocket connections per domain. Multi-tab users create duplicate connections.</w:t>
      </w:r>
    </w:p>
    <w:p>
      <w:pPr>
        <w:spacing w:before="60" w:after="60"/>
      </w:pPr>
      <w:r>
        <w:t xml:space="preserve"/>
      </w:r>
    </w:p>
    <w:p>
      <w:pPr>
        <w:spacing w:before="80" w:after="80" w:line="280"/>
      </w:pPr>
      <w:r>
        <w:rPr>
          <w:rFonts w:ascii="Arial" w:cs="Arial" w:eastAsia="Arial" w:hAnsi="Arial"/>
          <w:color w:val="333333"/>
          <w:sz w:val="20"/>
          <w:szCs w:val="20"/>
        </w:rPr>
        <w:t xml:space="preserve">When a user opens multiple browser tabs of the app, each tab creates its own WebSocket connection to the backend, which in turn creates duplicate Breeze subscriptions. Each duplicate consumes Breeze WebSocket instrument slots.</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BroadcastChannel API: </w:t>
      </w:r>
      <w:r>
        <w:rPr>
          <w:rFonts w:ascii="Arial" w:cs="Arial" w:eastAsia="Arial" w:hAnsi="Arial"/>
          <w:color w:val="333333"/>
          <w:sz w:val="20"/>
          <w:szCs w:val="20"/>
        </w:rPr>
        <w:t xml:space="preserve">Use the browser's BroadcastChannel API to share a single WebSocket connection across all tabs of the same origin. Tab 1 holds the connection; all other tabs receive data via BroadcastChannel relay.</w:t>
      </w:r>
    </w:p>
    <w:p>
      <w:pPr>
        <w:pStyle w:val="ListParagraph"/>
        <w:numPr>
          <w:ilvl w:val="0"/>
          <w:numId w:val="2"/>
        </w:numPr>
        <w:spacing w:before="60" w:after="60" w:line="270"/>
      </w:pPr>
      <w:r>
        <w:rPr>
          <w:rFonts w:ascii="Arial" w:cs="Arial" w:eastAsia="Arial" w:hAnsi="Arial"/>
          <w:b/>
          <w:bCs/>
          <w:color w:val="1A3C6E"/>
          <w:sz w:val="20"/>
          <w:szCs w:val="20"/>
        </w:rPr>
        <w:t xml:space="preserve">Server-Sent Events (SSE) for read-only feeds: </w:t>
      </w:r>
      <w:r>
        <w:rPr>
          <w:rFonts w:ascii="Arial" w:cs="Arial" w:eastAsia="Arial" w:hAnsi="Arial"/>
          <w:color w:val="333333"/>
          <w:sz w:val="20"/>
          <w:szCs w:val="20"/>
        </w:rPr>
        <w:t xml:space="preserve">Replace frontend WebSocket with SSE for one-way price streaming. SSE reconnects automatically, works through proxies, and is simpler to manage. WebSocket is retained only for bidirectional order operations.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C3. India VIX Data Latency</w:t>
      </w:r>
    </w:p>
    <w:p>
      <w:pPr>
        <w:shd w:fill="D6E8F7" w:val="clear"/>
        <w:spacing w:before="120" w:after="120"/>
      </w:pPr>
      <w:r>
        <w:rPr>
          <w:rFonts w:ascii="Arial" w:cs="Arial" w:eastAsia="Arial" w:hAnsi="Arial"/>
          <w:b/>
          <w:bCs/>
          <w:color w:val="FFFFFF"/>
          <w:sz w:val="19"/>
          <w:szCs w:val="19"/>
        </w:rPr>
        <w:t xml:space="preserve">  SEVERITY: LOW  </w:t>
      </w:r>
      <w:r>
        <w:rPr>
          <w:rFonts w:ascii="Arial" w:cs="Arial" w:eastAsia="Arial" w:hAnsi="Arial"/>
          <w:color w:val="333333"/>
          <w:sz w:val="19"/>
          <w:szCs w:val="19"/>
        </w:rPr>
        <w:t xml:space="preserve"> — NSE's public India VIX endpoint has a 5–15 minute data lag on certain market data tools.</w:t>
      </w:r>
    </w:p>
    <w:p>
      <w:pPr>
        <w:spacing w:before="60" w:after="60"/>
      </w:pPr>
      <w:r>
        <w:t xml:space="preserve"/>
      </w:r>
    </w:p>
    <w:p>
      <w:pPr>
        <w:spacing w:before="80" w:after="80" w:line="280"/>
      </w:pPr>
      <w:r>
        <w:rPr>
          <w:rFonts w:ascii="Arial" w:cs="Arial" w:eastAsia="Arial" w:hAnsi="Arial"/>
          <w:color w:val="333333"/>
          <w:sz w:val="20"/>
          <w:szCs w:val="20"/>
        </w:rPr>
        <w:t xml:space="preserve">NSE's public website data can have polling-based delays. For a risk management tool that halts trading when VIX &gt; 22, a 15-minute lag means a VIX spike from 18 to 25 during a flash crash is not detected until 15 minutes later — after positions are already hurt.</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Breeze WebSocket for India VIX: </w:t>
      </w:r>
      <w:r>
        <w:rPr>
          <w:rFonts w:ascii="Arial" w:cs="Arial" w:eastAsia="Arial" w:hAnsi="Arial"/>
          <w:color w:val="333333"/>
          <w:sz w:val="20"/>
          <w:szCs w:val="20"/>
        </w:rPr>
        <w:t xml:space="preserve">Subscribe to the INDIAVIX instrument directly via Breeze WebSocket feed for real-time VIX values with sub-second latency. Use NSE public polling only as a daily summary fallback.</w:t>
      </w:r>
    </w:p>
    <w:p>
      <w:pPr>
        <w:spacing w:before="60" w:after="60"/>
      </w:pPr>
      <w:r>
        <w:t xml:space="preserve"/>
      </w:r>
    </w:p>
    <w:p>
      <w:r>
        <w:br w:type="page"/>
      </w:r>
    </w:p>
    <w:p>
      <w:pPr>
        <w:pStyle w:val="Heading1"/>
        <w:pBdr>
          <w:bottom w:val="single" w:color="E8A020" w:sz="8" w:space="6"/>
        </w:pBdr>
        <w:spacing w:before="480" w:after="200"/>
      </w:pPr>
      <w:r>
        <w:rPr>
          <w:rFonts w:ascii="Arial" w:cs="Arial" w:eastAsia="Arial" w:hAnsi="Arial"/>
          <w:b/>
          <w:bCs/>
          <w:color w:val="1A3C6E"/>
          <w:sz w:val="30"/>
          <w:szCs w:val="30"/>
        </w:rPr>
        <w:t xml:space="preserve">D. Technical Development Bottlenecks</w:t>
      </w:r>
    </w:p>
    <w:p>
      <w:pPr>
        <w:pStyle w:val="Heading2"/>
        <w:spacing w:before="320" w:after="120"/>
      </w:pPr>
      <w:r>
        <w:rPr>
          <w:rFonts w:ascii="Arial" w:cs="Arial" w:eastAsia="Arial" w:hAnsi="Arial"/>
          <w:b/>
          <w:bCs/>
          <w:color w:val="2E6DA4"/>
          <w:sz w:val="25"/>
          <w:szCs w:val="25"/>
        </w:rPr>
        <w:t xml:space="preserve">D1. Options Chain Data Volume — Memory and Processing</w:t>
      </w:r>
    </w:p>
    <w:p>
      <w:pPr>
        <w:shd w:fill="FDE8E8" w:val="clear"/>
        <w:spacing w:before="120" w:after="120"/>
      </w:pPr>
      <w:r>
        <w:rPr>
          <w:rFonts w:ascii="Arial" w:cs="Arial" w:eastAsia="Arial" w:hAnsi="Arial"/>
          <w:b/>
          <w:bCs/>
          <w:color w:val="B22222"/>
          <w:sz w:val="19"/>
          <w:szCs w:val="19"/>
        </w:rPr>
        <w:t xml:space="preserve">  SEVERITY: HIGH  </w:t>
      </w:r>
      <w:r>
        <w:rPr>
          <w:rFonts w:ascii="Arial" w:cs="Arial" w:eastAsia="Arial" w:hAnsi="Arial"/>
          <w:color w:val="333333"/>
          <w:sz w:val="19"/>
          <w:szCs w:val="19"/>
        </w:rPr>
        <w:t xml:space="preserve"> — A full Nifty options chain (all strikes, 4 expiries) = ~500+ rows of data per refresh.</w:t>
      </w:r>
    </w:p>
    <w:p>
      <w:pPr>
        <w:spacing w:before="60" w:after="60"/>
      </w:pPr>
      <w:r>
        <w:t xml:space="preserve"/>
      </w:r>
    </w:p>
    <w:p>
      <w:pPr>
        <w:spacing w:before="80" w:after="80" w:line="280"/>
      </w:pPr>
      <w:r>
        <w:rPr>
          <w:rFonts w:ascii="Arial" w:cs="Arial" w:eastAsia="Arial" w:hAnsi="Arial"/>
          <w:color w:val="333333"/>
          <w:sz w:val="20"/>
          <w:szCs w:val="20"/>
        </w:rPr>
        <w:t xml:space="preserve">Fetching the full Nifty 50 options chain every minute and computing Max Pain, PCR, Gamma Walls, and IV percentile requires loading ~500 strike-expiry combinations, computing 4 metrics per combination = 2,000+ calculations per minute. On a 512 MB Render free instance, this can cause memory pressure and CPU spikes that slow down price feed processing.</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Selective chain fetch: </w:t>
      </w:r>
      <w:r>
        <w:rPr>
          <w:rFonts w:ascii="Arial" w:cs="Arial" w:eastAsia="Arial" w:hAnsi="Arial"/>
          <w:color w:val="333333"/>
          <w:sz w:val="20"/>
          <w:szCs w:val="20"/>
        </w:rPr>
        <w:t xml:space="preserve">Only fetch strikes within ±10% of current spot price. For Nifty at 22,000: fetch strikes from 19,800 to 24,200 only. This reduces data volume by ~60%.</w:t>
      </w:r>
    </w:p>
    <w:p>
      <w:pPr>
        <w:pStyle w:val="ListParagraph"/>
        <w:numPr>
          <w:ilvl w:val="0"/>
          <w:numId w:val="2"/>
        </w:numPr>
        <w:spacing w:before="60" w:after="60" w:line="270"/>
      </w:pPr>
      <w:r>
        <w:rPr>
          <w:rFonts w:ascii="Arial" w:cs="Arial" w:eastAsia="Arial" w:hAnsi="Arial"/>
          <w:b/>
          <w:bCs/>
          <w:color w:val="1A3C6E"/>
          <w:sz w:val="20"/>
          <w:szCs w:val="20"/>
        </w:rPr>
        <w:t xml:space="preserve">Async task queue: </w:t>
      </w:r>
      <w:r>
        <w:rPr>
          <w:rFonts w:ascii="Arial" w:cs="Arial" w:eastAsia="Arial" w:hAnsi="Arial"/>
          <w:color w:val="333333"/>
          <w:sz w:val="20"/>
          <w:szCs w:val="20"/>
        </w:rPr>
        <w:t xml:space="preserve">Options chain processing runs in a background APScheduler job, not in the request cycle. Results are cached in Redis and served to the frontend on demand.</w:t>
      </w:r>
    </w:p>
    <w:p>
      <w:pPr>
        <w:pStyle w:val="ListParagraph"/>
        <w:numPr>
          <w:ilvl w:val="0"/>
          <w:numId w:val="2"/>
        </w:numPr>
        <w:spacing w:before="60" w:after="60" w:line="270"/>
      </w:pPr>
      <w:r>
        <w:rPr>
          <w:rFonts w:ascii="Arial" w:cs="Arial" w:eastAsia="Arial" w:hAnsi="Arial"/>
          <w:b/>
          <w:bCs/>
          <w:color w:val="1A3C6E"/>
          <w:sz w:val="20"/>
          <w:szCs w:val="20"/>
        </w:rPr>
        <w:t xml:space="preserve">NumPy vectorization: </w:t>
      </w:r>
      <w:r>
        <w:rPr>
          <w:rFonts w:ascii="Arial" w:cs="Arial" w:eastAsia="Arial" w:hAnsi="Arial"/>
          <w:color w:val="333333"/>
          <w:sz w:val="20"/>
          <w:szCs w:val="20"/>
        </w:rPr>
        <w:t xml:space="preserve">Use NumPy arrays for Max Pain and PCR calculations instead of Python loops. 10–100x speed improvement on the same data.</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D2. Backtesting Engine — Event-Driven vs Vectorized</w:t>
      </w:r>
    </w:p>
    <w:p>
      <w:pPr>
        <w:shd w:fill="D6E8F7" w:val="clear"/>
        <w:spacing w:before="120" w:after="120"/>
      </w:pPr>
      <w:r>
        <w:rPr>
          <w:rFonts w:ascii="Arial" w:cs="Arial" w:eastAsia="Arial" w:hAnsi="Arial"/>
          <w:b/>
          <w:bCs/>
          <w:color w:val="FFFFFF"/>
          <w:sz w:val="19"/>
          <w:szCs w:val="19"/>
        </w:rPr>
        <w:t xml:space="preserve">  SEVERITY: HIGH for accuracy  </w:t>
      </w:r>
      <w:r>
        <w:rPr>
          <w:rFonts w:ascii="Arial" w:cs="Arial" w:eastAsia="Arial" w:hAnsi="Arial"/>
          <w:color w:val="333333"/>
          <w:sz w:val="19"/>
          <w:szCs w:val="19"/>
        </w:rPr>
        <w:t xml:space="preserve"> — Vectorized backtests are fast but produce overly optimistic results. Event-driven is accurate but 100x slower.</w:t>
      </w:r>
    </w:p>
    <w:p>
      <w:pPr>
        <w:spacing w:before="60" w:after="60"/>
      </w:pPr>
      <w:r>
        <w:t xml:space="preserve"/>
      </w:r>
    </w:p>
    <w:p>
      <w:pPr>
        <w:spacing w:before="80" w:after="80" w:line="280"/>
      </w:pPr>
      <w:r>
        <w:rPr>
          <w:rFonts w:ascii="Arial" w:cs="Arial" w:eastAsia="Arial" w:hAnsi="Arial"/>
          <w:color w:val="333333"/>
          <w:sz w:val="20"/>
          <w:szCs w:val="20"/>
        </w:rPr>
        <w:t xml:space="preserve">Vectorized backtesting (using pandas/NumPy on entire OHLC arrays at once) is fast but ignores intrabar price movement — it assumes trades fill at the close price of the candle where the signal fired. Real trades fill mid-candle. This creates look-ahead bias that inflates backtest returns by 3–8% annually.</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Hybrid approach: </w:t>
      </w:r>
      <w:r>
        <w:rPr>
          <w:rFonts w:ascii="Arial" w:cs="Arial" w:eastAsia="Arial" w:hAnsi="Arial"/>
          <w:color w:val="333333"/>
          <w:sz w:val="20"/>
          <w:szCs w:val="20"/>
        </w:rPr>
        <w:t xml:space="preserve">Use vectorized backtesting for rapid strategy screening (finding viable strategies in seconds) and event-driven simulation (iterating tick-by-tick on historical data) for final validation before deploying a strategy to the AI agent. Show users both results side-by-side with a warning about vectorized inflation bias.</w:t>
      </w:r>
    </w:p>
    <w:p>
      <w:pPr>
        <w:pStyle w:val="ListParagraph"/>
        <w:numPr>
          <w:ilvl w:val="0"/>
          <w:numId w:val="2"/>
        </w:numPr>
        <w:spacing w:before="60" w:after="60" w:line="270"/>
      </w:pPr>
      <w:r>
        <w:rPr>
          <w:rFonts w:ascii="Arial" w:cs="Arial" w:eastAsia="Arial" w:hAnsi="Arial"/>
          <w:b/>
          <w:bCs/>
          <w:color w:val="1A3C6E"/>
          <w:sz w:val="20"/>
          <w:szCs w:val="20"/>
        </w:rPr>
        <w:t xml:space="preserve">Backtrader integration: </w:t>
      </w:r>
      <w:r>
        <w:rPr>
          <w:rFonts w:ascii="Arial" w:cs="Arial" w:eastAsia="Arial" w:hAnsi="Arial"/>
          <w:color w:val="333333"/>
          <w:sz w:val="20"/>
          <w:szCs w:val="20"/>
        </w:rPr>
        <w:t xml:space="preserve">Use the open-source Backtrader library for event-driven simulation. It handles slippage, partial fills, and intrabar price movement correctly.</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D3. Time Zone and Market Hours Complexity</w:t>
      </w:r>
    </w:p>
    <w:p>
      <w:pPr>
        <w:shd w:fill="D6E8F7" w:val="clear"/>
        <w:spacing w:before="120" w:after="120"/>
      </w:pPr>
      <w:r>
        <w:rPr>
          <w:rFonts w:ascii="Arial" w:cs="Arial" w:eastAsia="Arial" w:hAnsi="Arial"/>
          <w:b/>
          <w:bCs/>
          <w:color w:val="FFFFFF"/>
          <w:sz w:val="19"/>
          <w:szCs w:val="19"/>
        </w:rPr>
        <w:t xml:space="preserve">  SEVERITY: MEDIUM  </w:t>
      </w:r>
      <w:r>
        <w:rPr>
          <w:rFonts w:ascii="Arial" w:cs="Arial" w:eastAsia="Arial" w:hAnsi="Arial"/>
          <w:color w:val="333333"/>
          <w:sz w:val="19"/>
          <w:szCs w:val="19"/>
        </w:rPr>
        <w:t xml:space="preserve"> — India's IST timezone and DST differences with US/Europe cause subtle bugs in timestamp comparisons.</w:t>
      </w:r>
    </w:p>
    <w:p>
      <w:pPr>
        <w:spacing w:before="60" w:after="60"/>
      </w:pPr>
      <w:r>
        <w:t xml:space="preserve"/>
      </w:r>
    </w:p>
    <w:p>
      <w:pPr>
        <w:spacing w:before="80" w:after="80" w:line="280"/>
      </w:pPr>
      <w:r>
        <w:rPr>
          <w:rFonts w:ascii="Arial" w:cs="Arial" w:eastAsia="Arial" w:hAnsi="Arial"/>
          <w:color w:val="333333"/>
          <w:sz w:val="20"/>
          <w:szCs w:val="20"/>
        </w:rPr>
        <w:t xml:space="preserve">NSE data is in IST (UTC+5:30). When correlating with S&amp;P 500 data (US Eastern Time, which observes DST), there are two different offset calculations depending on the season. Pre-market SGX Nifty trades in Singapore time (UTC+8). Naive datetime comparisons without explicit timezone handling cause misaligned signals and incorrect 'market closed' detections.</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Timezone-aware datetimes everywhere: </w:t>
      </w:r>
      <w:r>
        <w:rPr>
          <w:rFonts w:ascii="Arial" w:cs="Arial" w:eastAsia="Arial" w:hAnsi="Arial"/>
          <w:color w:val="333333"/>
          <w:sz w:val="20"/>
          <w:szCs w:val="20"/>
        </w:rPr>
        <w:t xml:space="preserve">Use Python's pytz library or zoneinfo (Python 3.9+) for all timestamps. Store all database timestamps in UTC. Convert to IST only at the API response layer. Never store naive datetimes.</w:t>
      </w:r>
    </w:p>
    <w:p>
      <w:pPr>
        <w:pStyle w:val="ListParagraph"/>
        <w:numPr>
          <w:ilvl w:val="0"/>
          <w:numId w:val="2"/>
        </w:numPr>
        <w:spacing w:before="60" w:after="60" w:line="270"/>
      </w:pPr>
      <w:r>
        <w:rPr>
          <w:rFonts w:ascii="Arial" w:cs="Arial" w:eastAsia="Arial" w:hAnsi="Arial"/>
          <w:b/>
          <w:bCs/>
          <w:color w:val="1A3C6E"/>
          <w:sz w:val="20"/>
          <w:szCs w:val="20"/>
        </w:rPr>
        <w:t xml:space="preserve">Market calendar library: </w:t>
      </w:r>
      <w:r>
        <w:rPr>
          <w:rFonts w:ascii="Arial" w:cs="Arial" w:eastAsia="Arial" w:hAnsi="Arial"/>
          <w:color w:val="333333"/>
          <w:sz w:val="20"/>
          <w:szCs w:val="20"/>
        </w:rPr>
        <w:t xml:space="preserve">Use the pandas-market-calendars library, which has a built-in NSE calendar including all Indian holidays, NSE trading hours (9:15 AM – 3:30 PM IST), and pre-open session (9:00 AM – 9:15 AM IST).</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D4. Strategy Overfitting in Backtesting</w:t>
      </w:r>
    </w:p>
    <w:p>
      <w:pPr>
        <w:shd w:fill="FDE8E8" w:val="clear"/>
        <w:spacing w:before="120" w:after="120"/>
      </w:pPr>
      <w:r>
        <w:rPr>
          <w:rFonts w:ascii="Arial" w:cs="Arial" w:eastAsia="Arial" w:hAnsi="Arial"/>
          <w:b/>
          <w:bCs/>
          <w:color w:val="B22222"/>
          <w:sz w:val="19"/>
          <w:szCs w:val="19"/>
        </w:rPr>
        <w:t xml:space="preserve">  SEVERITY: HIGH for user trust  </w:t>
      </w:r>
      <w:r>
        <w:rPr>
          <w:rFonts w:ascii="Arial" w:cs="Arial" w:eastAsia="Arial" w:hAnsi="Arial"/>
          <w:color w:val="333333"/>
          <w:sz w:val="19"/>
          <w:szCs w:val="19"/>
        </w:rPr>
        <w:t xml:space="preserve"> — Users will tune strategy parameters to backtest results, creating false confidence.</w:t>
      </w:r>
    </w:p>
    <w:p>
      <w:pPr>
        <w:spacing w:before="60" w:after="60"/>
      </w:pPr>
      <w:r>
        <w:t xml:space="preserve"/>
      </w:r>
    </w:p>
    <w:p>
      <w:pPr>
        <w:spacing w:before="80" w:after="80" w:line="280"/>
      </w:pPr>
      <w:r>
        <w:rPr>
          <w:rFonts w:ascii="Arial" w:cs="Arial" w:eastAsia="Arial" w:hAnsi="Arial"/>
          <w:color w:val="333333"/>
          <w:sz w:val="20"/>
          <w:szCs w:val="20"/>
        </w:rPr>
        <w:t xml:space="preserve">When users can adjust parameters (EMA periods, ATR multipliers, RSI thresholds) and immediately see backtest results, they will consciously or unconsciously tune parameters to maximize backtest performance. This is data snooping bias — the strategy appears excellent historically but performs poorly on new data.</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Mitigation Strategy</w:t>
      </w:r>
    </w:p>
    <w:p>
      <w:pPr>
        <w:pStyle w:val="ListParagraph"/>
        <w:numPr>
          <w:ilvl w:val="0"/>
          <w:numId w:val="2"/>
        </w:numPr>
        <w:spacing w:before="60" w:after="60" w:line="270"/>
      </w:pPr>
      <w:r>
        <w:rPr>
          <w:rFonts w:ascii="Arial" w:cs="Arial" w:eastAsia="Arial" w:hAnsi="Arial"/>
          <w:b/>
          <w:bCs/>
          <w:color w:val="1A3C6E"/>
          <w:sz w:val="20"/>
          <w:szCs w:val="20"/>
        </w:rPr>
        <w:t xml:space="preserve">Mandatory train/test split: </w:t>
      </w:r>
      <w:r>
        <w:rPr>
          <w:rFonts w:ascii="Arial" w:cs="Arial" w:eastAsia="Arial" w:hAnsi="Arial"/>
          <w:color w:val="333333"/>
          <w:sz w:val="20"/>
          <w:szCs w:val="20"/>
        </w:rPr>
        <w:t xml:space="preserve">Divide historical data into in-sample (training, used for optimization, 70%) and out-of-sample (testing, shown only after optimization is complete, 30%). The system enforces this split — parameters optimized on training data cannot be re-optimized after seeing test data.</w:t>
      </w:r>
    </w:p>
    <w:p>
      <w:pPr>
        <w:pStyle w:val="ListParagraph"/>
        <w:numPr>
          <w:ilvl w:val="0"/>
          <w:numId w:val="2"/>
        </w:numPr>
        <w:spacing w:before="60" w:after="60" w:line="270"/>
      </w:pPr>
      <w:r>
        <w:rPr>
          <w:rFonts w:ascii="Arial" w:cs="Arial" w:eastAsia="Arial" w:hAnsi="Arial"/>
          <w:b/>
          <w:bCs/>
          <w:color w:val="1A3C6E"/>
          <w:sz w:val="20"/>
          <w:szCs w:val="20"/>
        </w:rPr>
        <w:t xml:space="preserve">Walk-forward analysis display: </w:t>
      </w:r>
      <w:r>
        <w:rPr>
          <w:rFonts w:ascii="Arial" w:cs="Arial" w:eastAsia="Arial" w:hAnsi="Arial"/>
          <w:color w:val="333333"/>
          <w:sz w:val="20"/>
          <w:szCs w:val="20"/>
        </w:rPr>
        <w:t xml:space="preserve">Show the walk-forward optimization grid prominently on backtest results, with a clear overfitting risk score (low/medium/high) based on how much performance degrades from in-sample to out-of-sample.</w:t>
      </w:r>
    </w:p>
    <w:p>
      <w:pPr>
        <w:pStyle w:val="ListParagraph"/>
        <w:numPr>
          <w:ilvl w:val="0"/>
          <w:numId w:val="2"/>
        </w:numPr>
        <w:spacing w:before="60" w:after="60" w:line="270"/>
      </w:pPr>
      <w:r>
        <w:rPr>
          <w:rFonts w:ascii="Arial" w:cs="Arial" w:eastAsia="Arial" w:hAnsi="Arial"/>
          <w:b/>
          <w:bCs/>
          <w:color w:val="1A3C6E"/>
          <w:sz w:val="20"/>
          <w:szCs w:val="20"/>
        </w:rPr>
        <w:t xml:space="preserve">Robustness test: </w:t>
      </w:r>
      <w:r>
        <w:rPr>
          <w:rFonts w:ascii="Arial" w:cs="Arial" w:eastAsia="Arial" w:hAnsi="Arial"/>
          <w:color w:val="333333"/>
          <w:sz w:val="20"/>
          <w:szCs w:val="20"/>
        </w:rPr>
        <w:t xml:space="preserve">Automatically run the strategy on ±20% parameter variations. If performance collapses with small parameter changes, flag as 'fragile — probable overfit.'</w:t>
      </w:r>
    </w:p>
    <w:p>
      <w:pPr>
        <w:spacing w:before="60" w:after="60"/>
      </w:pPr>
      <w:r>
        <w:t xml:space="preserve"/>
      </w:r>
    </w:p>
    <w:p>
      <w:r>
        <w:br w:type="page"/>
      </w:r>
    </w:p>
    <w:p>
      <w:pPr>
        <w:shd w:fill="1A6B3A" w:val="clear"/>
        <w:spacing w:before="160" w:after="160"/>
        <w:jc w:val="center"/>
      </w:pPr>
      <w:r>
        <w:rPr>
          <w:rFonts w:ascii="Arial" w:cs="Arial" w:eastAsia="Arial" w:hAnsi="Arial"/>
          <w:b/>
          <w:bCs/>
          <w:color w:val="FFFFFF"/>
          <w:sz w:val="22"/>
          <w:szCs w:val="22"/>
        </w:rPr>
        <w:t xml:space="preserve">PART 2 — 30 WORLD-CLASS FEATURES: THE FEATURES NO EXISTING APP HAS</w:t>
      </w:r>
    </w:p>
    <w:p>
      <w:pPr>
        <w:spacing w:before="60" w:after="60"/>
      </w:pPr>
      <w:r>
        <w:t xml:space="preserve"/>
      </w:r>
    </w:p>
    <w:p>
      <w:pPr>
        <w:spacing w:before="80" w:after="80" w:line="280"/>
      </w:pPr>
      <w:r>
        <w:rPr>
          <w:rFonts w:ascii="Arial" w:cs="Arial" w:eastAsia="Arial" w:hAnsi="Arial"/>
          <w:color w:val="333333"/>
          <w:sz w:val="20"/>
          <w:szCs w:val="20"/>
        </w:rPr>
        <w:t xml:space="preserve">These features are drawn from institutional trading desks, prop firm practices, Renaissance Technologies-inspired systematic methods, and behavioral finance research. None of them exist together in any single retail trading platform today.</w:t>
      </w:r>
    </w:p>
    <w:p>
      <w:pPr>
        <w:spacing w:before="60" w:after="60"/>
      </w:pPr>
      <w:r>
        <w:t xml:space="preserve"/>
      </w:r>
    </w:p>
    <w:p>
      <w:pPr>
        <w:pStyle w:val="Heading1"/>
        <w:pBdr>
          <w:bottom w:val="single" w:color="E8A020" w:sz="8" w:space="6"/>
        </w:pBdr>
        <w:spacing w:before="480" w:after="200"/>
      </w:pPr>
      <w:r>
        <w:rPr>
          <w:rFonts w:ascii="Arial" w:cs="Arial" w:eastAsia="Arial" w:hAnsi="Arial"/>
          <w:b/>
          <w:bCs/>
          <w:color w:val="1A3C6E"/>
          <w:sz w:val="30"/>
          <w:szCs w:val="30"/>
        </w:rPr>
        <w:t xml:space="preserve">E. Elite AI Strategist Bot — 20-Year Veteran Persona</w:t>
      </w:r>
    </w:p>
    <w:p>
      <w:pPr>
        <w:pStyle w:val="Heading2"/>
        <w:spacing w:before="320" w:after="120"/>
      </w:pPr>
      <w:r>
        <w:rPr>
          <w:rFonts w:ascii="Arial" w:cs="Arial" w:eastAsia="Arial" w:hAnsi="Arial"/>
          <w:b/>
          <w:bCs/>
          <w:color w:val="2E6DA4"/>
          <w:sz w:val="25"/>
          <w:szCs w:val="25"/>
        </w:rPr>
        <w:t xml:space="preserve">E1. The Persona: What '20 Years of Experience' Actually Means</w:t>
      </w:r>
    </w:p>
    <w:p>
      <w:pPr>
        <w:spacing w:before="60" w:after="60"/>
      </w:pPr>
      <w:r>
        <w:t xml:space="preserve"/>
      </w:r>
    </w:p>
    <w:p>
      <w:pPr>
        <w:spacing w:before="80" w:after="80" w:line="280"/>
      </w:pPr>
      <w:r>
        <w:rPr>
          <w:rFonts w:ascii="Arial" w:cs="Arial" w:eastAsia="Arial" w:hAnsi="Arial"/>
          <w:color w:val="333333"/>
          <w:sz w:val="20"/>
          <w:szCs w:val="20"/>
        </w:rPr>
        <w:t xml:space="preserve">A 20-year trading veteran who started in 2005 has lived through: the 2008 Global Financial Crisis (Nifty fell 65%), the 2009 recovery (Nifty tripled in 9 months), the 2013 INR crisis (Rupee fell to 68/USD), demonetization shock (November 2016), the IL&amp;FS credit crisis (2018), COVID crash (March 2020, Nifty -40% in 40 days), and the post-COVID recovery. Each of these events taught different, non-repeating lessons that fundamentally shape how a seasoned trader thinks.</w:t>
      </w:r>
    </w:p>
    <w:p>
      <w:pPr>
        <w:spacing w:before="60" w:after="60"/>
      </w:pPr>
      <w:r>
        <w:t xml:space="preserve"/>
      </w:r>
    </w:p>
    <w:p>
      <w:pPr>
        <w:spacing w:before="80" w:after="80" w:line="280"/>
      </w:pPr>
      <w:r>
        <w:rPr>
          <w:rFonts w:ascii="Arial" w:cs="Arial" w:eastAsia="Arial" w:hAnsi="Arial"/>
          <w:color w:val="333333"/>
          <w:sz w:val="20"/>
          <w:szCs w:val="20"/>
        </w:rPr>
        <w:t xml:space="preserve">The bot does not just run indicators. It reasons the way a human expert reasons — combining pattern recognition from vast experience, awareness of macro context, understanding of crowd psychology, and deeply internalized loss aversion.</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The Five Pillars of the 20-Year Veteran Mindset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Pillar</w:t>
            </w:r>
          </w:p>
        </w:tc>
        <w:tc>
          <w:tcPr>
            <w:tcW w:type="dxa" w:w="30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What a Novice Does</w:t>
            </w:r>
          </w:p>
        </w:tc>
        <w:tc>
          <w:tcPr>
            <w:tcW w:type="dxa" w:w="47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What the 20-Year Veteran Does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1. Signal Quality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Trades every indicator signal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Waits for multi-timeframe confluence — only acts when 3+ independent signals agree</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2. Loss Handling</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Panics, holds losses hoping for recovery</w:t>
            </w:r>
          </w:p>
        </w:tc>
        <w:tc>
          <w:tcPr>
            <w:tcW w:type="dxa" w:w="4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Predefined stop rules, no hope trades; cuts losers in first 15 minutes if thesis is wrong</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3. Market Context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Ignores macro; trades the chart only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Checks FII flows, global cues, VIX, RBI stance, USD/INR before any trade; context overrides technicals</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4. Sizing Discipline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Goes full position when excited</w:t>
            </w:r>
          </w:p>
        </w:tc>
        <w:tc>
          <w:tcPr>
            <w:tcW w:type="dxa" w:w="4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Position sizes are a function of conviction AND market volatility — smaller in chaos, larger in high-probability setups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5. Time Horizon Matching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Mixes intraday logic with swing targets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Explicitly matches trade strategy to timeframe; never lets intraday position become accidental swing trade</w:t>
            </w:r>
          </w:p>
        </w:tc>
      </w:tr>
    </w:tbl>
    <w:p>
      <w:pPr>
        <w:spacing w:before="60" w:after="60"/>
      </w:pPr>
      <w:r>
        <w:t xml:space="preserve"/>
      </w:r>
    </w:p>
    <w:p>
      <w:pPr>
        <w:pStyle w:val="Heading2"/>
        <w:spacing w:before="320" w:after="120"/>
      </w:pPr>
      <w:r>
        <w:rPr>
          <w:rFonts w:ascii="Arial" w:cs="Arial" w:eastAsia="Arial" w:hAnsi="Arial"/>
          <w:b/>
          <w:bCs/>
          <w:color w:val="2E6DA4"/>
          <w:sz w:val="25"/>
          <w:szCs w:val="25"/>
        </w:rPr>
        <w:t xml:space="preserve">E2. Multi-Framework Decision Engine (MFD Engine)</w:t>
      </w:r>
    </w:p>
    <w:p>
      <w:pPr>
        <w:spacing w:before="80" w:after="80" w:line="280"/>
      </w:pPr>
      <w:r>
        <w:rPr>
          <w:rFonts w:ascii="Arial" w:cs="Arial" w:eastAsia="Arial" w:hAnsi="Arial"/>
          <w:color w:val="333333"/>
          <w:sz w:val="20"/>
          <w:szCs w:val="20"/>
        </w:rPr>
        <w:t xml:space="preserve">The bot simultaneously applies FIVE independent analytical frameworks to every trade candidate. A trade is only approved if at least 4 of 5 frameworks agree. This is how portfolio managers at Motilal Oswal AMC, DSP Mutual Fund, and similar institutions approach stock selection.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Framework</w:t>
            </w:r>
          </w:p>
        </w:tc>
        <w:tc>
          <w:tcPr>
            <w:tcW w:type="dxa" w:w="34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Methodology</w:t>
            </w:r>
          </w:p>
        </w:tc>
        <w:tc>
          <w:tcPr>
            <w:tcW w:type="dxa" w:w="4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Unique Contribution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 Price Action Structure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Identify market structure: Higher Highs/Higher Lows (uptrend), Lower Highs/Lower Lows (downtrend), or consolidation. No indicators — pure price.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Tells you WHAT the market is doing without indicator lag</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 Institutional Volume Analysis</w:t>
            </w:r>
          </w:p>
        </w:tc>
        <w:tc>
          <w:tcPr>
            <w:tcW w:type="dxa" w:w="3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Volume Profile (TPO charts): identify Value Area High (VAH), Value Area Low (VAL), and Point of Control (POC) for the last 20 sessions. Trade towards POC in ranging markets, away from it in breakouts.</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Reveals where institutions have been accumulating/distributing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F3: Options Market Microstructure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Delta-adjusted OI analysis: if call OI &gt; put OI at strikes above current price with high gamma, the market faces a 'ceiling' effect. If put OI dominates below price, there is a 'floor.'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Decodes the hidden hand of options market makers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F4: Fundamental Momentum Filter</w:t>
            </w:r>
          </w:p>
        </w:tc>
        <w:tc>
          <w:tcPr>
            <w:tcW w:type="dxa" w:w="3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Rank the NIFTY 500 universe by: EPS growth (QoQ), Revenue growth, Return on Equity, Promoter holding change. Only trade stocks in the top quintile (top 20%).</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Ensures you are in fundamentally strong stocks that institutions want to hold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F5: Intermarket Confirmation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Check the stock's sector index, Nifty 50, SGX Nifty trend, and USD/INR direction. If the stock setup is bullish but its sector is in a downtrend, the trade is blocked.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Prevents fighting the tide — stock moves rarely sustain against sector or market headwinds</w:t>
            </w:r>
          </w:p>
        </w:tc>
      </w:tr>
    </w:tbl>
    <w:p>
      <w:pPr>
        <w:spacing w:before="60" w:after="60"/>
      </w:pPr>
      <w:r>
        <w:t xml:space="preserve"/>
      </w:r>
    </w:p>
    <w:p>
      <w:r>
        <w:br w:type="page"/>
      </w:r>
    </w:p>
    <w:p>
      <w:pPr>
        <w:pStyle w:val="Heading2"/>
        <w:spacing w:before="320" w:after="120"/>
      </w:pPr>
      <w:r>
        <w:rPr>
          <w:rFonts w:ascii="Arial" w:cs="Arial" w:eastAsia="Arial" w:hAnsi="Arial"/>
          <w:b/>
          <w:bCs/>
          <w:color w:val="2E6DA4"/>
          <w:sz w:val="25"/>
          <w:szCs w:val="25"/>
        </w:rPr>
        <w:t xml:space="preserve">E3. Wyckoff Accumulation/Distribution Detection</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No retail platform in India implements this. Used by every major institutional trading desk.</w:t>
      </w:r>
    </w:p>
    <w:p>
      <w:pPr>
        <w:spacing w:before="60" w:after="60"/>
      </w:pPr>
      <w:r>
        <w:t xml:space="preserve"/>
      </w:r>
    </w:p>
    <w:p>
      <w:pPr>
        <w:spacing w:before="80" w:after="80" w:line="280"/>
      </w:pPr>
      <w:r>
        <w:rPr>
          <w:rFonts w:ascii="Arial" w:cs="Arial" w:eastAsia="Arial" w:hAnsi="Arial"/>
          <w:color w:val="333333"/>
          <w:sz w:val="20"/>
          <w:szCs w:val="20"/>
        </w:rPr>
        <w:t xml:space="preserve">Richard Wyckoff's method (developed in 1910, still used by institutions) identifies when large operators are secretly accumulating (buying) or distributing (selling) shares before major price moves. The signals are invisible to most retail traders because they require reading volume and price together across weeks of data.</w:t>
      </w:r>
    </w:p>
    <w:p>
      <w:pPr>
        <w:spacing w:before="60" w:after="60"/>
      </w:pPr>
      <w:r>
        <w:t xml:space="preserve"/>
      </w:r>
    </w:p>
    <w:p>
      <w:pPr>
        <w:pStyle w:val="Heading3"/>
        <w:spacing w:before="220" w:after="80"/>
      </w:pPr>
      <w:r>
        <w:rPr>
          <w:rFonts w:ascii="Arial" w:cs="Arial" w:eastAsia="Arial" w:hAnsi="Arial"/>
          <w:b/>
          <w:bCs/>
          <w:color w:val="1A3C6E"/>
          <w:sz w:val="22"/>
          <w:szCs w:val="22"/>
        </w:rPr>
        <w:t xml:space="preserve">Wyckoff Phases the Bot Detects</w:t>
      </w:r>
    </w:p>
    <w:p>
      <w:pPr>
        <w:pStyle w:val="ListParagraph"/>
        <w:numPr>
          <w:ilvl w:val="0"/>
          <w:numId w:val="2"/>
        </w:numPr>
        <w:spacing w:before="60" w:after="60" w:line="270"/>
      </w:pPr>
      <w:r>
        <w:rPr>
          <w:rFonts w:ascii="Arial" w:cs="Arial" w:eastAsia="Arial" w:hAnsi="Arial"/>
          <w:b/>
          <w:bCs/>
          <w:color w:val="1A3C6E"/>
          <w:sz w:val="20"/>
          <w:szCs w:val="20"/>
        </w:rPr>
        <w:t xml:space="preserve">Phase A — Stopping the Prior Trend: </w:t>
      </w:r>
      <w:r>
        <w:rPr>
          <w:rFonts w:ascii="Arial" w:cs="Arial" w:eastAsia="Arial" w:hAnsi="Arial"/>
          <w:color w:val="333333"/>
          <w:sz w:val="20"/>
          <w:szCs w:val="20"/>
        </w:rPr>
        <w:t xml:space="preserve">Identifies Preliminary Support (PS), Selling Climax (SC), Automatic Rally (AR), and Secondary Test (ST) that signal the end of a downtrend</w:t>
      </w:r>
    </w:p>
    <w:p>
      <w:pPr>
        <w:pStyle w:val="ListParagraph"/>
        <w:numPr>
          <w:ilvl w:val="0"/>
          <w:numId w:val="2"/>
        </w:numPr>
        <w:spacing w:before="60" w:after="60" w:line="270"/>
      </w:pPr>
      <w:r>
        <w:rPr>
          <w:rFonts w:ascii="Arial" w:cs="Arial" w:eastAsia="Arial" w:hAnsi="Arial"/>
          <w:b/>
          <w:bCs/>
          <w:color w:val="1A3C6E"/>
          <w:sz w:val="20"/>
          <w:szCs w:val="20"/>
        </w:rPr>
        <w:t xml:space="preserve">Phase B — Building the Cause: </w:t>
      </w:r>
      <w:r>
        <w:rPr>
          <w:rFonts w:ascii="Arial" w:cs="Arial" w:eastAsia="Arial" w:hAnsi="Arial"/>
          <w:color w:val="333333"/>
          <w:sz w:val="20"/>
          <w:szCs w:val="20"/>
        </w:rPr>
        <w:t xml:space="preserve">Identifies the trading range where big money quietly buys; characterized by low-volume pullbacks and high-volume advances</w:t>
      </w:r>
    </w:p>
    <w:p>
      <w:pPr>
        <w:pStyle w:val="ListParagraph"/>
        <w:numPr>
          <w:ilvl w:val="0"/>
          <w:numId w:val="2"/>
        </w:numPr>
        <w:spacing w:before="60" w:after="60" w:line="270"/>
      </w:pPr>
      <w:r>
        <w:rPr>
          <w:rFonts w:ascii="Arial" w:cs="Arial" w:eastAsia="Arial" w:hAnsi="Arial"/>
          <w:b/>
          <w:bCs/>
          <w:color w:val="1A3C6E"/>
          <w:sz w:val="20"/>
          <w:szCs w:val="20"/>
        </w:rPr>
        <w:t xml:space="preserve">Phase C — The Spring/Shakeout: </w:t>
      </w:r>
      <w:r>
        <w:rPr>
          <w:rFonts w:ascii="Arial" w:cs="Arial" w:eastAsia="Arial" w:hAnsi="Arial"/>
          <w:color w:val="333333"/>
          <w:sz w:val="20"/>
          <w:szCs w:val="20"/>
        </w:rPr>
        <w:t xml:space="preserve">The final trap for retail traders — price breaks below support, triggering retail stop-losses, then immediately reverses upward. The bot identifies Springs as high-probability entries with tight stops</w:t>
      </w:r>
    </w:p>
    <w:p>
      <w:pPr>
        <w:pStyle w:val="ListParagraph"/>
        <w:numPr>
          <w:ilvl w:val="0"/>
          <w:numId w:val="2"/>
        </w:numPr>
        <w:spacing w:before="60" w:after="60" w:line="270"/>
      </w:pPr>
      <w:r>
        <w:rPr>
          <w:rFonts w:ascii="Arial" w:cs="Arial" w:eastAsia="Arial" w:hAnsi="Arial"/>
          <w:b/>
          <w:bCs/>
          <w:color w:val="1A3C6E"/>
          <w:sz w:val="20"/>
          <w:szCs w:val="20"/>
        </w:rPr>
        <w:t xml:space="preserve">Phase D — SOS and LPS: </w:t>
      </w:r>
      <w:r>
        <w:rPr>
          <w:rFonts w:ascii="Arial" w:cs="Arial" w:eastAsia="Arial" w:hAnsi="Arial"/>
          <w:color w:val="333333"/>
          <w:sz w:val="20"/>
          <w:szCs w:val="20"/>
        </w:rPr>
        <w:t xml:space="preserve">Sign of Strength (SOS) bar: high-volume breakout above the trading range. Last Point of Support (LPS): the pullback after the SOS that provides the optimal entry point</w:t>
      </w:r>
    </w:p>
    <w:p>
      <w:pPr>
        <w:pStyle w:val="ListParagraph"/>
        <w:numPr>
          <w:ilvl w:val="0"/>
          <w:numId w:val="2"/>
        </w:numPr>
        <w:spacing w:before="60" w:after="60" w:line="270"/>
      </w:pPr>
      <w:r>
        <w:rPr>
          <w:rFonts w:ascii="Arial" w:cs="Arial" w:eastAsia="Arial" w:hAnsi="Arial"/>
          <w:b/>
          <w:bCs/>
          <w:color w:val="1A3C6E"/>
          <w:sz w:val="20"/>
          <w:szCs w:val="20"/>
        </w:rPr>
        <w:t xml:space="preserve">Phase E — The Markup: </w:t>
      </w:r>
      <w:r>
        <w:rPr>
          <w:rFonts w:ascii="Arial" w:cs="Arial" w:eastAsia="Arial" w:hAnsi="Arial"/>
          <w:color w:val="333333"/>
          <w:sz w:val="20"/>
          <w:szCs w:val="20"/>
        </w:rPr>
        <w:t xml:space="preserve">Trend acceleration phase — bot increases position size and trails stop-loss aggressively</w:t>
      </w:r>
    </w:p>
    <w:p>
      <w:pPr>
        <w:spacing w:before="60" w:after="60"/>
      </w:pPr>
      <w:r>
        <w:t xml:space="preserve"/>
      </w:r>
    </w:p>
    <w:p>
      <w:pPr>
        <w:spacing w:before="80" w:after="80" w:line="280"/>
      </w:pPr>
      <w:r>
        <w:rPr>
          <w:rFonts w:ascii="Arial" w:cs="Arial" w:eastAsia="Arial" w:hAnsi="Arial"/>
          <w:color w:val="333333"/>
          <w:sz w:val="20"/>
          <w:szCs w:val="20"/>
        </w:rPr>
        <w:t xml:space="preserve">Implementation: The bot analyzes 20-day, 5-minute OHLCV data for Nifty 500 stocks, applies volume spread analysis (VSA) algorithms to tag each candle with a Wyckoff label, and flags stocks entering Phase C (Spring) as highest priority trade setups.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E4. Order Flow Imbalance (OFI) Analysis</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Used by HFT firms and prop desks. Unavailable in any Indian retail app.</w:t>
      </w:r>
    </w:p>
    <w:p>
      <w:pPr>
        <w:spacing w:before="60" w:after="60"/>
      </w:pPr>
      <w:r>
        <w:t xml:space="preserve"/>
      </w:r>
    </w:p>
    <w:p>
      <w:pPr>
        <w:spacing w:before="80" w:after="80" w:line="280"/>
      </w:pPr>
      <w:r>
        <w:rPr>
          <w:rFonts w:ascii="Arial" w:cs="Arial" w:eastAsia="Arial" w:hAnsi="Arial"/>
          <w:color w:val="333333"/>
          <w:sz w:val="20"/>
          <w:szCs w:val="20"/>
        </w:rPr>
        <w:t xml:space="preserve">Order Flow Imbalance measures the net buying vs selling pressure in real time using Level 2 bid/ask data. Unlike volume (which is symmetrical — a buy and a sell always happen together), OFI tracks whether the market is being lifted (buyers are aggressive, hitting the ask) or hit (sellers are aggressive, hitting the bid). Sustained positive OFI = institutional buying; negative OFI = institutional selling.</w:t>
      </w:r>
    </w:p>
    <w:p>
      <w:pPr>
        <w:spacing w:before="60" w:after="60"/>
      </w:pPr>
      <w:r>
        <w:t xml:space="preserve"/>
      </w:r>
    </w:p>
    <w:p>
      <w:pPr>
        <w:pStyle w:val="ListParagraph"/>
        <w:numPr>
          <w:ilvl w:val="0"/>
          <w:numId w:val="2"/>
        </w:numPr>
        <w:spacing w:before="60" w:after="60" w:line="270"/>
      </w:pPr>
      <w:r>
        <w:rPr>
          <w:rFonts w:ascii="Arial" w:cs="Arial" w:eastAsia="Arial" w:hAnsi="Arial"/>
          <w:b/>
          <w:bCs/>
          <w:color w:val="1A3C6E"/>
          <w:sz w:val="20"/>
          <w:szCs w:val="20"/>
        </w:rPr>
        <w:t xml:space="preserve">OFI Calculation: </w:t>
      </w:r>
      <w:r>
        <w:rPr>
          <w:rFonts w:ascii="Arial" w:cs="Arial" w:eastAsia="Arial" w:hAnsi="Arial"/>
          <w:color w:val="333333"/>
          <w:sz w:val="20"/>
          <w:szCs w:val="20"/>
        </w:rPr>
        <w:t xml:space="preserve">OFI = sum(bid size change if negative) - sum(ask size change if negative) over a rolling 5-minute window, normalized by total volume</w:t>
      </w:r>
    </w:p>
    <w:p>
      <w:pPr>
        <w:pStyle w:val="ListParagraph"/>
        <w:numPr>
          <w:ilvl w:val="0"/>
          <w:numId w:val="2"/>
        </w:numPr>
        <w:spacing w:before="60" w:after="60" w:line="270"/>
      </w:pPr>
      <w:r>
        <w:rPr>
          <w:rFonts w:ascii="Arial" w:cs="Arial" w:eastAsia="Arial" w:hAnsi="Arial"/>
          <w:b/>
          <w:bCs/>
          <w:color w:val="1A3C6E"/>
          <w:sz w:val="20"/>
          <w:szCs w:val="20"/>
        </w:rPr>
        <w:t xml:space="preserve">OFI Divergence Alert: </w:t>
      </w:r>
      <w:r>
        <w:rPr>
          <w:rFonts w:ascii="Arial" w:cs="Arial" w:eastAsia="Arial" w:hAnsi="Arial"/>
          <w:color w:val="333333"/>
          <w:sz w:val="20"/>
          <w:szCs w:val="20"/>
        </w:rPr>
        <w:t xml:space="preserve">When price is falling but OFI is rising (hidden buying), this is a powerful reversal signal. When price is rising but OFI is falling (hidden selling), this signals a top.</w:t>
      </w:r>
    </w:p>
    <w:p>
      <w:pPr>
        <w:pStyle w:val="ListParagraph"/>
        <w:numPr>
          <w:ilvl w:val="0"/>
          <w:numId w:val="2"/>
        </w:numPr>
        <w:spacing w:before="60" w:after="60" w:line="270"/>
      </w:pPr>
      <w:r>
        <w:rPr>
          <w:rFonts w:ascii="Arial" w:cs="Arial" w:eastAsia="Arial" w:hAnsi="Arial"/>
          <w:b/>
          <w:bCs/>
          <w:color w:val="1A3C6E"/>
          <w:sz w:val="20"/>
          <w:szCs w:val="20"/>
        </w:rPr>
        <w:t xml:space="preserve">Cumulative Delta Chart: </w:t>
      </w:r>
      <w:r>
        <w:rPr>
          <w:rFonts w:ascii="Arial" w:cs="Arial" w:eastAsia="Arial" w:hAnsi="Arial"/>
          <w:color w:val="333333"/>
          <w:sz w:val="20"/>
          <w:szCs w:val="20"/>
        </w:rPr>
        <w:t xml:space="preserve">Displays running total of buy volume minus sell volume throughout the session. Useful for confirming whether a price trend is supported by real buying pressure or being artificially driven.</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E5. Earnings Quality Scoring — Fundamental Pre-Filter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Most apps show earnings numbers. This app tells you whether to trust them.</w:t>
      </w:r>
    </w:p>
    <w:p>
      <w:pPr>
        <w:spacing w:before="60" w:after="60"/>
      </w:pPr>
      <w:r>
        <w:t xml:space="preserve"/>
      </w:r>
    </w:p>
    <w:p>
      <w:pPr>
        <w:spacing w:before="80" w:after="80" w:line="280"/>
      </w:pPr>
      <w:r>
        <w:rPr>
          <w:rFonts w:ascii="Arial" w:cs="Arial" w:eastAsia="Arial" w:hAnsi="Arial"/>
          <w:color w:val="333333"/>
          <w:sz w:val="20"/>
          <w:szCs w:val="20"/>
        </w:rPr>
        <w:t xml:space="preserve">Before the bot considers any fundamental momentum trade in a stock, it runs an Earnings Quality Score that separates real earnings growth from accounting manipulations. Inspired by the Beneish M-Score model (used to detect earnings manipulation, famously used to flag Enron and Satyam before they collapsed).</w:t>
      </w:r>
    </w:p>
    <w:p>
      <w:pPr>
        <w:spacing w:before="60" w:after="60"/>
      </w:pPr>
      <w:r>
        <w:t xml:space="preserve"/>
      </w:r>
    </w:p>
    <w:p>
      <w:pPr>
        <w:pStyle w:val="ListParagraph"/>
        <w:numPr>
          <w:ilvl w:val="0"/>
          <w:numId w:val="2"/>
        </w:numPr>
        <w:spacing w:before="60" w:after="60" w:line="270"/>
      </w:pPr>
      <w:r>
        <w:rPr>
          <w:rFonts w:ascii="Arial" w:cs="Arial" w:eastAsia="Arial" w:hAnsi="Arial"/>
          <w:b/>
          <w:bCs/>
          <w:color w:val="1A3C6E"/>
          <w:sz w:val="20"/>
          <w:szCs w:val="20"/>
        </w:rPr>
        <w:t xml:space="preserve">Cash Conversion Ratio: </w:t>
      </w:r>
      <w:r>
        <w:rPr>
          <w:rFonts w:ascii="Arial" w:cs="Arial" w:eastAsia="Arial" w:hAnsi="Arial"/>
          <w:color w:val="333333"/>
          <w:sz w:val="20"/>
          <w:szCs w:val="20"/>
        </w:rPr>
        <w:t xml:space="preserve">Net income vs operating cash flow. If operating cash flow &lt; 70% of net income for 3 consecutive quarters, earnings quality is poor — profits may be accrual-based and not real.</w:t>
      </w:r>
    </w:p>
    <w:p>
      <w:pPr>
        <w:pStyle w:val="ListParagraph"/>
        <w:numPr>
          <w:ilvl w:val="0"/>
          <w:numId w:val="2"/>
        </w:numPr>
        <w:spacing w:before="60" w:after="60" w:line="270"/>
      </w:pPr>
      <w:r>
        <w:rPr>
          <w:rFonts w:ascii="Arial" w:cs="Arial" w:eastAsia="Arial" w:hAnsi="Arial"/>
          <w:b/>
          <w:bCs/>
          <w:color w:val="1A3C6E"/>
          <w:sz w:val="20"/>
          <w:szCs w:val="20"/>
        </w:rPr>
        <w:t xml:space="preserve">Days Sales Outstanding (DSO) trend: </w:t>
      </w:r>
      <w:r>
        <w:rPr>
          <w:rFonts w:ascii="Arial" w:cs="Arial" w:eastAsia="Arial" w:hAnsi="Arial"/>
          <w:color w:val="333333"/>
          <w:sz w:val="20"/>
          <w:szCs w:val="20"/>
        </w:rPr>
        <w:t xml:space="preserve">If DSO is increasing (receivables growing faster than revenue), the company may be booking revenue prematurely.</w:t>
      </w:r>
    </w:p>
    <w:p>
      <w:pPr>
        <w:pStyle w:val="ListParagraph"/>
        <w:numPr>
          <w:ilvl w:val="0"/>
          <w:numId w:val="2"/>
        </w:numPr>
        <w:spacing w:before="60" w:after="60" w:line="270"/>
      </w:pPr>
      <w:r>
        <w:rPr>
          <w:rFonts w:ascii="Arial" w:cs="Arial" w:eastAsia="Arial" w:hAnsi="Arial"/>
          <w:b/>
          <w:bCs/>
          <w:color w:val="1A3C6E"/>
          <w:sz w:val="20"/>
          <w:szCs w:val="20"/>
        </w:rPr>
        <w:t xml:space="preserve">Gross Margin Stability: </w:t>
      </w:r>
      <w:r>
        <w:rPr>
          <w:rFonts w:ascii="Arial" w:cs="Arial" w:eastAsia="Arial" w:hAnsi="Arial"/>
          <w:color w:val="333333"/>
          <w:sz w:val="20"/>
          <w:szCs w:val="20"/>
        </w:rPr>
        <w:t xml:space="preserve">Sudden gross margin improvements without revenue explanation may signal cost manipulation.</w:t>
      </w:r>
    </w:p>
    <w:p>
      <w:pPr>
        <w:pStyle w:val="ListParagraph"/>
        <w:numPr>
          <w:ilvl w:val="0"/>
          <w:numId w:val="2"/>
        </w:numPr>
        <w:spacing w:before="60" w:after="60" w:line="270"/>
      </w:pPr>
      <w:r>
        <w:rPr>
          <w:rFonts w:ascii="Arial" w:cs="Arial" w:eastAsia="Arial" w:hAnsi="Arial"/>
          <w:b/>
          <w:bCs/>
          <w:color w:val="1A3C6E"/>
          <w:sz w:val="20"/>
          <w:szCs w:val="20"/>
        </w:rPr>
        <w:t xml:space="preserve">Promoter Pledge percentage: </w:t>
      </w:r>
      <w:r>
        <w:rPr>
          <w:rFonts w:ascii="Arial" w:cs="Arial" w:eastAsia="Arial" w:hAnsi="Arial"/>
          <w:color w:val="333333"/>
          <w:sz w:val="20"/>
          <w:szCs w:val="20"/>
        </w:rPr>
        <w:t xml:space="preserve">High promoter pledge (&gt;30% of holding pledged as collateral) is a red flag. If promoters are pledging more over time, they are under financial stress.</w:t>
      </w:r>
    </w:p>
    <w:p>
      <w:pPr>
        <w:pStyle w:val="ListParagraph"/>
        <w:numPr>
          <w:ilvl w:val="0"/>
          <w:numId w:val="2"/>
        </w:numPr>
        <w:spacing w:before="60" w:after="60" w:line="270"/>
      </w:pPr>
      <w:r>
        <w:rPr>
          <w:rFonts w:ascii="Arial" w:cs="Arial" w:eastAsia="Arial" w:hAnsi="Arial"/>
          <w:b/>
          <w:bCs/>
          <w:color w:val="1A3C6E"/>
          <w:sz w:val="20"/>
          <w:szCs w:val="20"/>
        </w:rPr>
        <w:t xml:space="preserve">Earnings Quality Gate: </w:t>
      </w:r>
      <w:r>
        <w:rPr>
          <w:rFonts w:ascii="Arial" w:cs="Arial" w:eastAsia="Arial" w:hAnsi="Arial"/>
          <w:color w:val="333333"/>
          <w:sz w:val="20"/>
          <w:szCs w:val="20"/>
        </w:rPr>
        <w:t xml:space="preserve">Any stock with Earnings Quality Score &lt; 60/100 is blocked from the AI agent's fundamental long list regardless of technical setup.</w:t>
      </w:r>
    </w:p>
    <w:p>
      <w:pPr>
        <w:spacing w:before="60" w:after="60"/>
      </w:pPr>
      <w:r>
        <w:t xml:space="preserve"/>
      </w:r>
    </w:p>
    <w:p>
      <w:r>
        <w:br w:type="page"/>
      </w:r>
    </w:p>
    <w:p>
      <w:pPr>
        <w:pStyle w:val="Heading2"/>
        <w:spacing w:before="320" w:after="120"/>
      </w:pPr>
      <w:r>
        <w:rPr>
          <w:rFonts w:ascii="Arial" w:cs="Arial" w:eastAsia="Arial" w:hAnsi="Arial"/>
          <w:b/>
          <w:bCs/>
          <w:color w:val="2E6DA4"/>
          <w:sz w:val="25"/>
          <w:szCs w:val="25"/>
        </w:rPr>
        <w:t xml:space="preserve">E6. 20 Professional Trading Strategies — Full Specification</w:t>
      </w:r>
    </w:p>
    <w:p>
      <w:pPr>
        <w:spacing w:before="60" w:after="60"/>
      </w:pPr>
      <w:r>
        <w:t xml:space="preserve"/>
      </w:r>
    </w:p>
    <w:p>
      <w:pPr>
        <w:spacing w:before="80" w:after="80" w:line="280"/>
      </w:pPr>
      <w:r>
        <w:rPr>
          <w:rFonts w:ascii="Arial" w:cs="Arial" w:eastAsia="Arial" w:hAnsi="Arial"/>
          <w:color w:val="333333"/>
          <w:sz w:val="20"/>
          <w:szCs w:val="20"/>
        </w:rPr>
        <w:t xml:space="preserve">The bot implements 20 distinct professional strategies, each calibrated for specific market regimes and timeframes. Strategies are tagged and the bot's regime detector selects the appropriate subset to run on any given 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700"/>
        <w:gridCol w:w="2450"/>
        <w:gridCol w:w="2560"/>
      </w:tblGrid>
      <w:tr>
        <w:tc>
          <w:tcPr>
            <w:tcW w:type="dxa" w:w="45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Strategy Name</w:t>
            </w:r>
          </w:p>
        </w:tc>
        <w:tc>
          <w:tcPr>
            <w:tcW w:type="dxa" w:w="17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Regime</w:t>
            </w:r>
          </w:p>
        </w:tc>
        <w:tc>
          <w:tcPr>
            <w:tcW w:type="dxa" w:w="245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Edge Source</w:t>
            </w:r>
          </w:p>
        </w:tc>
        <w:tc>
          <w:tcPr>
            <w:tcW w:type="dxa" w:w="25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Typical Hold Time</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S01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Wyckoff Spring Reversal</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Accumulation zone</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Smart money trap identification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3–10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S02</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Volume Profile Breakout</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All regimes</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Institutional level confirmation</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1–3 days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S03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Opening Range Breakout (ORB)</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Trending</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Morning momentum continuation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Intraday</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S04</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VWAP Mean Reversion</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Ranging/low VIX</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Statistical reversion to mean</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Intraday (minutes)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S05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EMA 9/21/50 Crossover + ADX</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Trending</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Trend momentum confirmation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2–5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S06</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Supertrend Trailing Stop</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Trending</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Trend capture with dynamic exit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1–20 days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S07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52-Week Breakout Momentum</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Bull market</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Institutional accumulation breakout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5–30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S08</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RSI Divergence + MACD Cross</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All regimes</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Momentum divergence reversal</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2–7 days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S09</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Sector Rotation Entry</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Regime change</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Early entry in emerging sector leader</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10–30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S10</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Iron Condor (Weekly Nifty/BankNifty)</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Sideways/low VIX</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Theta decay in range-bound index</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7 days (expiry)</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S11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Bull Put Spread (Index)</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Mild bull/sideways</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Limited risk premium collection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7–14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S12</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Bear Call Spread (Index)</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Mild bear/sideways</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Limited risk premium collection</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7–14 days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S13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Long Strangle Pre-Event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Pre-earnings/RBI</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IV expansion on news event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1–3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S14</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Short Straddle (High IV)</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IV &gt; 90th percentile</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IV crush after event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1–7 days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S15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Statistical Arbitrage — Pairs Trading</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All regimes</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Mean reversion of correlated pairs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1–5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S16</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Momentum Factor — Nifty 500 Top Decile</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Bull market</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Factor premium capture</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Monthly rebalance</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S17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Volatility Factor Portfolio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Bear/uncertain</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Defensive factor premium</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Monthly rebalance</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S18</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Earnings Surprise Momentum</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Post-results</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PEAD (Post-Earnings Announcement Drift)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3–10 days</w:t>
            </w:r>
          </w:p>
        </w:tc>
      </w:tr>
      <w:tr>
        <w:tc>
          <w:tcPr>
            <w:tcW w:type="dxa" w:w="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S19</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FII Flow Following</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FII net buyer &gt; 3 days</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Smart money flow alignment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3–10 days</w:t>
            </w:r>
          </w:p>
        </w:tc>
      </w:tr>
      <w:tr>
        <w:tc>
          <w:tcPr>
            <w:tcW w:type="dxa" w:w="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S20</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Gap Fill Strategy (Opening Gaps)</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All regimes</w:t>
            </w:r>
          </w:p>
        </w:tc>
        <w:tc>
          <w:tcPr>
            <w:tcW w:type="dxa" w:w="245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Statistical gap fill tendency (64%)</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Intraday to 2 days</w:t>
            </w:r>
          </w:p>
        </w:tc>
      </w:tr>
    </w:tbl>
    <w:p>
      <w:pPr>
        <w:spacing w:before="60" w:after="60"/>
      </w:pPr>
      <w:r>
        <w:t xml:space="preserve"/>
      </w:r>
    </w:p>
    <w:p>
      <w:r>
        <w:br w:type="page"/>
      </w:r>
    </w:p>
    <w:p>
      <w:pPr>
        <w:pStyle w:val="Heading1"/>
        <w:pBdr>
          <w:bottom w:val="single" w:color="E8A020" w:sz="8" w:space="6"/>
        </w:pBdr>
        <w:spacing w:before="480" w:after="200"/>
      </w:pPr>
      <w:r>
        <w:rPr>
          <w:rFonts w:ascii="Arial" w:cs="Arial" w:eastAsia="Arial" w:hAnsi="Arial"/>
          <w:b/>
          <w:bCs/>
          <w:color w:val="1A3C6E"/>
          <w:sz w:val="30"/>
          <w:szCs w:val="30"/>
        </w:rPr>
        <w:t xml:space="preserve">F. 30 World-Class Features That Make This the Best Platform</w:t>
      </w:r>
    </w:p>
    <w:p>
      <w:pPr>
        <w:shd w:fill="2E6DA4" w:val="clear"/>
        <w:spacing w:before="160" w:after="160"/>
        <w:jc w:val="center"/>
      </w:pPr>
      <w:r>
        <w:rPr>
          <w:rFonts w:ascii="Arial" w:cs="Arial" w:eastAsia="Arial" w:hAnsi="Arial"/>
          <w:b/>
          <w:bCs/>
          <w:color w:val="FFFFFF"/>
          <w:sz w:val="22"/>
          <w:szCs w:val="22"/>
        </w:rPr>
        <w:t xml:space="preserve">CATEGORY 1 — MARKET INTELLIGENCE FEATURES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 Dark Pool Proxy Indicator (NSE Block Deal Scanner)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Institutional dark pool activity in Indian markets, visible in block deal data.</w:t>
      </w:r>
    </w:p>
    <w:p>
      <w:pPr>
        <w:spacing w:before="60" w:after="60"/>
      </w:pPr>
      <w:r>
        <w:t xml:space="preserve"/>
      </w:r>
    </w:p>
    <w:p>
      <w:pPr>
        <w:spacing w:before="80" w:after="80" w:line="280"/>
      </w:pPr>
      <w:r>
        <w:rPr>
          <w:rFonts w:ascii="Arial" w:cs="Arial" w:eastAsia="Arial" w:hAnsi="Arial"/>
          <w:color w:val="333333"/>
          <w:sz w:val="20"/>
          <w:szCs w:val="20"/>
        </w:rPr>
        <w:t xml:space="preserve">Institutional investors in India use NSE's block deal window (between 8:45 AM and 9:00 AM, and 2:05 PM to 2:20 PM) to execute large trades off the regular order book. These block deals are publicly disclosed by NSE and are a direct window into where institutions are buying or selling in size.</w:t>
      </w:r>
    </w:p>
    <w:p>
      <w:pPr>
        <w:pStyle w:val="ListParagraph"/>
        <w:numPr>
          <w:ilvl w:val="0"/>
          <w:numId w:val="2"/>
        </w:numPr>
        <w:spacing w:before="60" w:after="60" w:line="270"/>
      </w:pPr>
      <w:r>
        <w:rPr>
          <w:rFonts w:ascii="Arial" w:cs="Arial" w:eastAsia="Arial" w:hAnsi="Arial"/>
          <w:b/>
          <w:bCs/>
          <w:color w:val="1A3C6E"/>
          <w:sz w:val="20"/>
          <w:szCs w:val="20"/>
        </w:rPr>
        <w:t xml:space="preserve">Block Deal Feed: </w:t>
      </w:r>
      <w:r>
        <w:rPr>
          <w:rFonts w:ascii="Arial" w:cs="Arial" w:eastAsia="Arial" w:hAnsi="Arial"/>
          <w:color w:val="333333"/>
          <w:sz w:val="20"/>
          <w:szCs w:val="20"/>
        </w:rPr>
        <w:t xml:space="preserve">Fetch and display today's block deals in real time from NSE's public block deal CSV. Show buyer and seller broker names, quantities, and prices.</w:t>
      </w:r>
    </w:p>
    <w:p>
      <w:pPr>
        <w:pStyle w:val="ListParagraph"/>
        <w:numPr>
          <w:ilvl w:val="0"/>
          <w:numId w:val="2"/>
        </w:numPr>
        <w:spacing w:before="60" w:after="60" w:line="270"/>
      </w:pPr>
      <w:r>
        <w:rPr>
          <w:rFonts w:ascii="Arial" w:cs="Arial" w:eastAsia="Arial" w:hAnsi="Arial"/>
          <w:b/>
          <w:bCs/>
          <w:color w:val="1A3C6E"/>
          <w:sz w:val="20"/>
          <w:szCs w:val="20"/>
        </w:rPr>
        <w:t xml:space="preserve">Smart Money Direction Signal: </w:t>
      </w:r>
      <w:r>
        <w:rPr>
          <w:rFonts w:ascii="Arial" w:cs="Arial" w:eastAsia="Arial" w:hAnsi="Arial"/>
          <w:color w:val="333333"/>
          <w:sz w:val="20"/>
          <w:szCs w:val="20"/>
        </w:rPr>
        <w:t xml:space="preserve">If the same stock has had net block deal buying &gt; ₹100 crore over the past 5 sessions, tag it as 'Institutional Accumulation' on the watchlist.</w:t>
      </w:r>
    </w:p>
    <w:p>
      <w:pPr>
        <w:pStyle w:val="ListParagraph"/>
        <w:numPr>
          <w:ilvl w:val="0"/>
          <w:numId w:val="2"/>
        </w:numPr>
        <w:spacing w:before="60" w:after="60" w:line="270"/>
      </w:pPr>
      <w:r>
        <w:rPr>
          <w:rFonts w:ascii="Arial" w:cs="Arial" w:eastAsia="Arial" w:hAnsi="Arial"/>
          <w:b/>
          <w:bCs/>
          <w:color w:val="1A3C6E"/>
          <w:sz w:val="20"/>
          <w:szCs w:val="20"/>
        </w:rPr>
        <w:t xml:space="preserve">Bulk Deal vs Block Deal Distinction: </w:t>
      </w:r>
      <w:r>
        <w:rPr>
          <w:rFonts w:ascii="Arial" w:cs="Arial" w:eastAsia="Arial" w:hAnsi="Arial"/>
          <w:color w:val="333333"/>
          <w:sz w:val="20"/>
          <w:szCs w:val="20"/>
        </w:rPr>
        <w:t xml:space="preserve">Bulk deals (&gt;0.5% of total shares) must be reported to exchanges by end of day. Block deals are pre-arranged large trades in a special window. The app distinguishes and displays both.</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 Promoter Pledge Unwinding Detector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A unique India-specific signal that precedes major stock moves.</w:t>
      </w:r>
    </w:p>
    <w:p>
      <w:pPr>
        <w:spacing w:before="60" w:after="60"/>
      </w:pPr>
      <w:r>
        <w:t xml:space="preserve"/>
      </w:r>
    </w:p>
    <w:p>
      <w:pPr>
        <w:spacing w:before="80" w:after="80" w:line="280"/>
      </w:pPr>
      <w:r>
        <w:rPr>
          <w:rFonts w:ascii="Arial" w:cs="Arial" w:eastAsia="Arial" w:hAnsi="Arial"/>
          <w:color w:val="333333"/>
          <w:sz w:val="20"/>
          <w:szCs w:val="20"/>
        </w:rPr>
        <w:t xml:space="preserve">When promoters pledge their shares as collateral for loans and the stock falls, lenders force sell the pledged shares — creating cascading price declines. Conversely, when promoters actively reduce pledges, it signals financial health improvement and often precedes stock price appreciation. This data is filed with exchanges quarterly but is ignored by virtually all retail platforms.</w:t>
      </w:r>
    </w:p>
    <w:p>
      <w:pPr>
        <w:pStyle w:val="ListParagraph"/>
        <w:numPr>
          <w:ilvl w:val="0"/>
          <w:numId w:val="2"/>
        </w:numPr>
        <w:spacing w:before="60" w:after="60" w:line="270"/>
      </w:pPr>
      <w:r>
        <w:rPr>
          <w:rFonts w:ascii="Arial" w:cs="Arial" w:eastAsia="Arial" w:hAnsi="Arial"/>
          <w:b/>
          <w:bCs/>
          <w:color w:val="1A3C6E"/>
          <w:sz w:val="20"/>
          <w:szCs w:val="20"/>
        </w:rPr>
        <w:t xml:space="preserve">Pledge Change Tracker: </w:t>
      </w:r>
      <w:r>
        <w:rPr>
          <w:rFonts w:ascii="Arial" w:cs="Arial" w:eastAsia="Arial" w:hAnsi="Arial"/>
          <w:color w:val="333333"/>
          <w:sz w:val="20"/>
          <w:szCs w:val="20"/>
        </w:rPr>
        <w:t xml:space="preserve">Track quarterly changes in promoter pledge percentage for the Nifty 500 universe. Flag stocks where pledge % dropped by &gt; 5 percentage points in the latest quarter.</w:t>
      </w:r>
    </w:p>
    <w:p>
      <w:pPr>
        <w:pStyle w:val="ListParagraph"/>
        <w:numPr>
          <w:ilvl w:val="0"/>
          <w:numId w:val="2"/>
        </w:numPr>
        <w:spacing w:before="60" w:after="60" w:line="270"/>
      </w:pPr>
      <w:r>
        <w:rPr>
          <w:rFonts w:ascii="Arial" w:cs="Arial" w:eastAsia="Arial" w:hAnsi="Arial"/>
          <w:b/>
          <w:bCs/>
          <w:color w:val="1A3C6E"/>
          <w:sz w:val="20"/>
          <w:szCs w:val="20"/>
        </w:rPr>
        <w:t xml:space="preserve">Pledge Risk Alert: </w:t>
      </w:r>
      <w:r>
        <w:rPr>
          <w:rFonts w:ascii="Arial" w:cs="Arial" w:eastAsia="Arial" w:hAnsi="Arial"/>
          <w:color w:val="333333"/>
          <w:sz w:val="20"/>
          <w:szCs w:val="20"/>
        </w:rPr>
        <w:t xml:space="preserve">Flag stocks where pledge &gt; 40% of promoter holding as a risk warning. Block the AI agent from taking long positions in such stocks.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F3. Anchor Investor Expiry Calendar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IPO anchor lock-in expiry creates predictable selling pressure. Retail traders are unaware.</w:t>
      </w:r>
    </w:p>
    <w:p>
      <w:pPr>
        <w:spacing w:before="60" w:after="60"/>
      </w:pPr>
      <w:r>
        <w:t xml:space="preserve"/>
      </w:r>
    </w:p>
    <w:p>
      <w:pPr>
        <w:spacing w:before="80" w:after="80" w:line="280"/>
      </w:pPr>
      <w:r>
        <w:rPr>
          <w:rFonts w:ascii="Arial" w:cs="Arial" w:eastAsia="Arial" w:hAnsi="Arial"/>
          <w:color w:val="333333"/>
          <w:sz w:val="20"/>
          <w:szCs w:val="20"/>
        </w:rPr>
        <w:t xml:space="preserve">In Indian IPOs, anchor investors (large institutional investors) receive shares at IPO price but face a 30-day lock-in period after listing. When this lock-in expires, anchors often sell — creating predictable selling pressure. A savvy trader avoids holding these stocks through anchor expiry and can even position short.</w:t>
      </w:r>
    </w:p>
    <w:p>
      <w:pPr>
        <w:pStyle w:val="ListParagraph"/>
        <w:numPr>
          <w:ilvl w:val="0"/>
          <w:numId w:val="2"/>
        </w:numPr>
        <w:spacing w:before="60" w:after="60" w:line="270"/>
      </w:pPr>
      <w:r>
        <w:rPr>
          <w:rFonts w:ascii="Arial" w:cs="Arial" w:eastAsia="Arial" w:hAnsi="Arial"/>
          <w:b/>
          <w:bCs/>
          <w:color w:val="1A3C6E"/>
          <w:sz w:val="20"/>
          <w:szCs w:val="20"/>
        </w:rPr>
        <w:t xml:space="preserve">IPO Anchor Expiry Calendar: </w:t>
      </w:r>
      <w:r>
        <w:rPr>
          <w:rFonts w:ascii="Arial" w:cs="Arial" w:eastAsia="Arial" w:hAnsi="Arial"/>
          <w:color w:val="333333"/>
          <w:sz w:val="20"/>
          <w:szCs w:val="20"/>
        </w:rPr>
        <w:t xml:space="preserve">Track all recent IPO listing dates and calculate 30-day lock-in expiry dates. Display as a warning on relevant stock pages.</w:t>
      </w:r>
    </w:p>
    <w:p>
      <w:pPr>
        <w:pStyle w:val="ListParagraph"/>
        <w:numPr>
          <w:ilvl w:val="0"/>
          <w:numId w:val="2"/>
        </w:numPr>
        <w:spacing w:before="60" w:after="60" w:line="270"/>
      </w:pPr>
      <w:r>
        <w:rPr>
          <w:rFonts w:ascii="Arial" w:cs="Arial" w:eastAsia="Arial" w:hAnsi="Arial"/>
          <w:b/>
          <w:bCs/>
          <w:color w:val="1A3C6E"/>
          <w:sz w:val="20"/>
          <w:szCs w:val="20"/>
        </w:rPr>
        <w:t xml:space="preserve">Post-Expiry Pattern Analysis: </w:t>
      </w:r>
      <w:r>
        <w:rPr>
          <w:rFonts w:ascii="Arial" w:cs="Arial" w:eastAsia="Arial" w:hAnsi="Arial"/>
          <w:color w:val="333333"/>
          <w:sz w:val="20"/>
          <w:szCs w:val="20"/>
        </w:rPr>
        <w:t xml:space="preserve">Historical data shows that ~62% of mid-cap IPOs fall 5–15% in the week after anchor expiry. The bot avoids long entries in stocks within 5 days of their anchor expiry.</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F4. Mutual Fund Portfolio Overlap Analyzer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Shows how correlated user portfolio is with the 'crowd' of mutual fund holders.</w:t>
      </w:r>
    </w:p>
    <w:p>
      <w:pPr>
        <w:spacing w:before="60" w:after="60"/>
      </w:pPr>
      <w:r>
        <w:t xml:space="preserve"/>
      </w:r>
    </w:p>
    <w:p>
      <w:pPr>
        <w:spacing w:before="80" w:after="80" w:line="280"/>
      </w:pPr>
      <w:r>
        <w:rPr>
          <w:rFonts w:ascii="Arial" w:cs="Arial" w:eastAsia="Arial" w:hAnsi="Arial"/>
          <w:color w:val="333333"/>
          <w:sz w:val="20"/>
          <w:szCs w:val="20"/>
        </w:rPr>
        <w:t xml:space="preserve">SEBI mandates that mutual funds disclose their complete portfolio holdings every month. The AI platform ingests the top 20 mutual fund equity portfolios (published on AMFI) and calculates: (a) how much of the user's portfolio overlaps with MF holdings, (b) which stocks are held by the highest number of funds (crowded trades), and (c) which stocks large MFs have been consistently adding.</w:t>
      </w:r>
    </w:p>
    <w:p>
      <w:pPr>
        <w:pStyle w:val="ListParagraph"/>
        <w:numPr>
          <w:ilvl w:val="0"/>
          <w:numId w:val="2"/>
        </w:numPr>
        <w:spacing w:before="60" w:after="60" w:line="270"/>
      </w:pPr>
      <w:r>
        <w:rPr>
          <w:rFonts w:ascii="Arial" w:cs="Arial" w:eastAsia="Arial" w:hAnsi="Arial"/>
          <w:b/>
          <w:bCs/>
          <w:color w:val="1A3C6E"/>
          <w:sz w:val="20"/>
          <w:szCs w:val="20"/>
        </w:rPr>
        <w:t xml:space="preserve">Crowded Trade Warning: </w:t>
      </w:r>
      <w:r>
        <w:rPr>
          <w:rFonts w:ascii="Arial" w:cs="Arial" w:eastAsia="Arial" w:hAnsi="Arial"/>
          <w:color w:val="333333"/>
          <w:sz w:val="20"/>
          <w:szCs w:val="20"/>
        </w:rPr>
        <w:t xml:space="preserve">A stock held in the top-10 of more than 15 large mutual funds is 'crowded.' When MFs need to redeem units and sell, crowded stocks fall much faster than less-held peers.</w:t>
      </w:r>
    </w:p>
    <w:p>
      <w:pPr>
        <w:pStyle w:val="ListParagraph"/>
        <w:numPr>
          <w:ilvl w:val="0"/>
          <w:numId w:val="2"/>
        </w:numPr>
        <w:spacing w:before="60" w:after="60" w:line="270"/>
      </w:pPr>
      <w:r>
        <w:rPr>
          <w:rFonts w:ascii="Arial" w:cs="Arial" w:eastAsia="Arial" w:hAnsi="Arial"/>
          <w:b/>
          <w:bCs/>
          <w:color w:val="1A3C6E"/>
          <w:sz w:val="20"/>
          <w:szCs w:val="20"/>
        </w:rPr>
        <w:t xml:space="preserve">MF Accumulation Signal: </w:t>
      </w:r>
      <w:r>
        <w:rPr>
          <w:rFonts w:ascii="Arial" w:cs="Arial" w:eastAsia="Arial" w:hAnsi="Arial"/>
          <w:color w:val="333333"/>
          <w:sz w:val="20"/>
          <w:szCs w:val="20"/>
        </w:rPr>
        <w:t xml:space="preserve">A stock where the average MF holding percentage increased by &gt; 0.5% across 5+ funds in the last quarter is under active institutional accumulation.</w:t>
      </w:r>
    </w:p>
    <w:p>
      <w:pPr>
        <w:spacing w:before="60" w:after="60"/>
      </w:pPr>
      <w:r>
        <w:t xml:space="preserve"/>
      </w:r>
    </w:p>
    <w:p>
      <w:r>
        <w:br w:type="page"/>
      </w:r>
    </w:p>
    <w:p>
      <w:pPr>
        <w:shd w:fill="B22222" w:val="clear"/>
        <w:spacing w:before="160" w:after="160"/>
        <w:jc w:val="center"/>
      </w:pPr>
      <w:r>
        <w:rPr>
          <w:rFonts w:ascii="Arial" w:cs="Arial" w:eastAsia="Arial" w:hAnsi="Arial"/>
          <w:b/>
          <w:bCs/>
          <w:color w:val="FFFFFF"/>
          <w:sz w:val="22"/>
          <w:szCs w:val="22"/>
        </w:rPr>
        <w:t xml:space="preserve">CATEGORY 2 — RISK MANAGEMENT FEATURES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F5. Black Swan Stress Test Simulator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Applies historical crash scenarios to current portfolio and quantifies survivability.</w:t>
      </w:r>
    </w:p>
    <w:p>
      <w:pPr>
        <w:spacing w:before="60" w:after="60"/>
      </w:pPr>
      <w:r>
        <w:t xml:space="preserve"/>
      </w:r>
    </w:p>
    <w:p>
      <w:pPr>
        <w:spacing w:before="80" w:after="80" w:line="280"/>
      </w:pPr>
      <w:r>
        <w:rPr>
          <w:rFonts w:ascii="Arial" w:cs="Arial" w:eastAsia="Arial" w:hAnsi="Arial"/>
          <w:color w:val="333333"/>
          <w:sz w:val="20"/>
          <w:szCs w:val="20"/>
        </w:rPr>
        <w:t xml:space="preserve">Before the AI agent adds any new position, it runs the current portfolio through six historical shock scenarios and measures the theoretical P&amp;L impact. A portfolio that survives all six with &lt; 8% drawdown is approved for the new position.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160"/>
        <w:gridCol w:w="3400"/>
      </w:tblGrid>
      <w:tr>
        <w:tc>
          <w:tcPr>
            <w:tcW w:type="dxa" w:w="14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Scenario</w:t>
            </w:r>
          </w:p>
        </w:tc>
        <w:tc>
          <w:tcPr>
            <w:tcW w:type="dxa" w:w="24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Historical Event</w:t>
            </w:r>
          </w:p>
        </w:tc>
        <w:tc>
          <w:tcPr>
            <w:tcW w:type="dxa" w:w="2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Nifty Impact</w:t>
            </w:r>
          </w:p>
        </w:tc>
        <w:tc>
          <w:tcPr>
            <w:tcW w:type="dxa" w:w="34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Your Portfolio's Estimated P&amp;L</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Scenario 1</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COVID Crash (March 2020)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Nifty -38% in 40 days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[Computed live based on portfolio betas]</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Scenario 2</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2008 Global Financial Crisis</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Nifty -65% over 11 months</w:t>
            </w:r>
          </w:p>
        </w:tc>
        <w:tc>
          <w:tcPr>
            <w:tcW w:type="dxa" w:w="3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[Computed live based on portfolio betas]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Scenario 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Demonetization Shock (Nov 2016)</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Nifty -12% in 3 weeks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[Computed live based on portfolio betas]</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Scenario 4</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US Fed Rate Shock (June 2022)</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Nifty -17%, IT sector -35%</w:t>
            </w:r>
          </w:p>
        </w:tc>
        <w:tc>
          <w:tcPr>
            <w:tcW w:type="dxa" w:w="3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[Computed live based on portfolio betas]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Scenario 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INR Currency Crisis (2013)</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Nifty -11%, INR 68/USD</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[Computed live based on portfolio betas]</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Scenario 6</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Flash Crash — 10% single day drop</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Hypothetical tail risk event</w:t>
            </w:r>
          </w:p>
        </w:tc>
        <w:tc>
          <w:tcPr>
            <w:tcW w:type="dxa" w:w="3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[Computed live based on portfolio betas]</w:t>
            </w:r>
          </w:p>
        </w:tc>
      </w:tr>
    </w:tbl>
    <w:p>
      <w:pPr>
        <w:spacing w:before="60" w:after="60"/>
      </w:pPr>
      <w:r>
        <w:t xml:space="preserve"/>
      </w:r>
    </w:p>
    <w:p>
      <w:pPr>
        <w:pStyle w:val="Heading2"/>
        <w:spacing w:before="320" w:after="120"/>
      </w:pPr>
      <w:r>
        <w:rPr>
          <w:rFonts w:ascii="Arial" w:cs="Arial" w:eastAsia="Arial" w:hAnsi="Arial"/>
          <w:b/>
          <w:bCs/>
          <w:color w:val="2E6DA4"/>
          <w:sz w:val="25"/>
          <w:szCs w:val="25"/>
        </w:rPr>
        <w:t xml:space="preserve">F6. Correlation Risk Monitor — The Hidden Diversification Killer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Many 'diversified' portfolios collapse together in a crisis because holdings are correlated.</w:t>
      </w:r>
    </w:p>
    <w:p>
      <w:pPr>
        <w:spacing w:before="60" w:after="60"/>
      </w:pPr>
      <w:r>
        <w:t xml:space="preserve"/>
      </w:r>
    </w:p>
    <w:p>
      <w:pPr>
        <w:spacing w:before="80" w:after="80" w:line="280"/>
      </w:pPr>
      <w:r>
        <w:rPr>
          <w:rFonts w:ascii="Arial" w:cs="Arial" w:eastAsia="Arial" w:hAnsi="Arial"/>
          <w:color w:val="333333"/>
          <w:sz w:val="20"/>
          <w:szCs w:val="20"/>
        </w:rPr>
        <w:t xml:space="preserve">A portfolio of 10 stocks across 5 sectors looks diversified but may have a correlation matrix where 8 of 10 stocks have correlation &gt; 0.75 with each other (they all fall together when the market falls). True diversification requires uncorrelated assets.</w:t>
      </w:r>
    </w:p>
    <w:p>
      <w:pPr>
        <w:pStyle w:val="ListParagraph"/>
        <w:numPr>
          <w:ilvl w:val="0"/>
          <w:numId w:val="2"/>
        </w:numPr>
        <w:spacing w:before="60" w:after="60" w:line="270"/>
      </w:pPr>
      <w:r>
        <w:rPr>
          <w:rFonts w:ascii="Arial" w:cs="Arial" w:eastAsia="Arial" w:hAnsi="Arial"/>
          <w:b/>
          <w:bCs/>
          <w:color w:val="1A3C6E"/>
          <w:sz w:val="20"/>
          <w:szCs w:val="20"/>
        </w:rPr>
        <w:t xml:space="preserve">Rolling 60-Day Correlation Matrix: </w:t>
      </w:r>
      <w:r>
        <w:rPr>
          <w:rFonts w:ascii="Arial" w:cs="Arial" w:eastAsia="Arial" w:hAnsi="Arial"/>
          <w:color w:val="333333"/>
          <w:sz w:val="20"/>
          <w:szCs w:val="20"/>
        </w:rPr>
        <w:t xml:space="preserve">Display a color-coded correlation heat map of all open positions updated daily. Green = low correlation (&lt; 0.3), yellow = moderate (0.3–0.6), red = high (&gt; 0.6).</w:t>
      </w:r>
    </w:p>
    <w:p>
      <w:pPr>
        <w:pStyle w:val="ListParagraph"/>
        <w:numPr>
          <w:ilvl w:val="0"/>
          <w:numId w:val="2"/>
        </w:numPr>
        <w:spacing w:before="60" w:after="60" w:line="270"/>
      </w:pPr>
      <w:r>
        <w:rPr>
          <w:rFonts w:ascii="Arial" w:cs="Arial" w:eastAsia="Arial" w:hAnsi="Arial"/>
          <w:b/>
          <w:bCs/>
          <w:color w:val="1A3C6E"/>
          <w:sz w:val="20"/>
          <w:szCs w:val="20"/>
        </w:rPr>
        <w:t xml:space="preserve">Portfolio Diversification Score: </w:t>
      </w:r>
      <w:r>
        <w:rPr>
          <w:rFonts w:ascii="Arial" w:cs="Arial" w:eastAsia="Arial" w:hAnsi="Arial"/>
          <w:color w:val="333333"/>
          <w:sz w:val="20"/>
          <w:szCs w:val="20"/>
        </w:rPr>
        <w:t xml:space="preserve">Compute average pairwise correlation of all positions. Score 0–100 (100 = perfectly uncorrelated, 0 = all positions move identically).</w:t>
      </w:r>
    </w:p>
    <w:p>
      <w:pPr>
        <w:pStyle w:val="ListParagraph"/>
        <w:numPr>
          <w:ilvl w:val="0"/>
          <w:numId w:val="2"/>
        </w:numPr>
        <w:spacing w:before="60" w:after="60" w:line="270"/>
      </w:pPr>
      <w:r>
        <w:rPr>
          <w:rFonts w:ascii="Arial" w:cs="Arial" w:eastAsia="Arial" w:hAnsi="Arial"/>
          <w:b/>
          <w:bCs/>
          <w:color w:val="1A3C6E"/>
          <w:sz w:val="20"/>
          <w:szCs w:val="20"/>
        </w:rPr>
        <w:t xml:space="preserve">New Trade Correlation Check: </w:t>
      </w:r>
      <w:r>
        <w:rPr>
          <w:rFonts w:ascii="Arial" w:cs="Arial" w:eastAsia="Arial" w:hAnsi="Arial"/>
          <w:color w:val="333333"/>
          <w:sz w:val="20"/>
          <w:szCs w:val="20"/>
        </w:rPr>
        <w:t xml:space="preserve">Before any new position, the bot calculates its rolling 60-day correlation with ALL existing open positions. If it adds a high-correlated position, a warning is displayed with an explanation.</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F7. Drawdown DNA Analysis</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Classifies what TYPE of drawdown you're in. Different drawdown types require different responses.</w:t>
      </w:r>
    </w:p>
    <w:p>
      <w:pPr>
        <w:spacing w:before="60" w:after="60"/>
      </w:pPr>
      <w:r>
        <w:t xml:space="preserve"/>
      </w:r>
    </w:p>
    <w:p>
      <w:pPr>
        <w:spacing w:before="80" w:after="80" w:line="280"/>
      </w:pPr>
      <w:r>
        <w:rPr>
          <w:rFonts w:ascii="Arial" w:cs="Arial" w:eastAsia="Arial" w:hAnsi="Arial"/>
          <w:color w:val="333333"/>
          <w:sz w:val="20"/>
          <w:szCs w:val="20"/>
        </w:rPr>
        <w:t xml:space="preserve">Not all drawdowns are the same. A 5% drawdown caused by temporary market-wide selling (where your thesis is intact) demands a different response than a 5% drawdown caused by a fundamental change in the company you hold. The bot automatically classifies every drawdown into one of four types and suggests the appropriate 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FFF8E1" w:val="clear"/>
            <w:tcMar>
              <w:top w:type="dxa" w:w="90"/>
              <w:left w:type="dxa" w:w="130"/>
              <w:bottom w:type="dxa" w:w="90"/>
              <w:right w:type="dxa" w:w="130"/>
            </w:tcMar>
          </w:tcPr>
          <w:p>
            <w:r>
              <w:rPr>
                <w:rFonts w:ascii="Arial" w:cs="Arial" w:eastAsia="Arial" w:hAnsi="Arial"/>
                <w:b/>
                <w:bCs/>
                <w:color w:val="333333"/>
                <w:sz w:val="19"/>
                <w:szCs w:val="19"/>
              </w:rPr>
              <w:t xml:space="preserve">Drawdown Type</w:t>
            </w:r>
          </w:p>
        </w:tc>
        <w:tc>
          <w:tcPr>
            <w:tcW w:type="dxa" w:w="3760"/>
            <w:tcBorders>
              <w:top w:val="single" w:color="CCCCCC" w:sz="1"/>
              <w:left w:val="single" w:color="CCCCCC" w:sz="1"/>
              <w:bottom w:val="single" w:color="CCCCCC" w:sz="1"/>
              <w:right w:val="single" w:color="CCCCCC" w:sz="1"/>
            </w:tcBorders>
            <w:shd w:fill="FFF8E1" w:val="clear"/>
            <w:tcMar>
              <w:top w:type="dxa" w:w="90"/>
              <w:left w:type="dxa" w:w="130"/>
              <w:bottom w:type="dxa" w:w="90"/>
              <w:right w:type="dxa" w:w="130"/>
            </w:tcMar>
          </w:tcPr>
          <w:p>
            <w:r>
              <w:rPr>
                <w:rFonts w:ascii="Arial" w:cs="Arial" w:eastAsia="Arial" w:hAnsi="Arial"/>
                <w:b w:val="false"/>
                <w:bCs w:val="false"/>
                <w:color w:val="333333"/>
                <w:sz w:val="19"/>
                <w:szCs w:val="19"/>
              </w:rPr>
              <w:t xml:space="preserve">Indicators</w:t>
            </w:r>
          </w:p>
        </w:tc>
        <w:tc>
          <w:tcPr>
            <w:tcW w:type="dxa" w:w="3400"/>
            <w:tcBorders>
              <w:top w:val="single" w:color="CCCCCC" w:sz="1"/>
              <w:left w:val="single" w:color="CCCCCC" w:sz="1"/>
              <w:bottom w:val="single" w:color="CCCCCC" w:sz="1"/>
              <w:right w:val="single" w:color="CCCCCC" w:sz="1"/>
            </w:tcBorders>
            <w:shd w:fill="FFF8E1" w:val="clear"/>
            <w:tcMar>
              <w:top w:type="dxa" w:w="90"/>
              <w:left w:type="dxa" w:w="130"/>
              <w:bottom w:type="dxa" w:w="90"/>
              <w:right w:type="dxa" w:w="130"/>
            </w:tcMar>
          </w:tcPr>
          <w:p>
            <w:r>
              <w:rPr>
                <w:rFonts w:ascii="Arial" w:cs="Arial" w:eastAsia="Arial" w:hAnsi="Arial"/>
                <w:b w:val="false"/>
                <w:bCs w:val="false"/>
                <w:color w:val="333333"/>
                <w:sz w:val="19"/>
                <w:szCs w:val="19"/>
              </w:rPr>
              <w:t xml:space="preserve">Bot Recommendation</w:t>
            </w:r>
          </w:p>
        </w:tc>
      </w:tr>
      <w:tr>
        <w:tc>
          <w:tcPr>
            <w:tcW w:type="dxa" w:w="2200"/>
            <w:tcBorders>
              <w:top w:val="single" w:color="CCCCCC" w:sz="1"/>
              <w:left w:val="single" w:color="CCCCCC" w:sz="1"/>
              <w:bottom w:val="single" w:color="CCCCCC" w:sz="1"/>
              <w:right w:val="single" w:color="CCCCCC" w:sz="1"/>
            </w:tcBorders>
            <w:shd w:fill="E8F5E9" w:val="clear"/>
            <w:tcMar>
              <w:top w:type="dxa" w:w="90"/>
              <w:left w:type="dxa" w:w="130"/>
              <w:bottom w:type="dxa" w:w="90"/>
              <w:right w:type="dxa" w:w="130"/>
            </w:tcMar>
          </w:tcPr>
          <w:p>
            <w:r>
              <w:rPr>
                <w:rFonts w:ascii="Arial" w:cs="Arial" w:eastAsia="Arial" w:hAnsi="Arial"/>
                <w:b/>
                <w:bCs/>
                <w:color w:val="333333"/>
                <w:sz w:val="19"/>
                <w:szCs w:val="19"/>
              </w:rPr>
              <w:t xml:space="preserve">Market Noise (Low Risk)</w:t>
            </w:r>
          </w:p>
        </w:tc>
        <w:tc>
          <w:tcPr>
            <w:tcW w:type="dxa" w:w="3760"/>
            <w:tcBorders>
              <w:top w:val="single" w:color="CCCCCC" w:sz="1"/>
              <w:left w:val="single" w:color="CCCCCC" w:sz="1"/>
              <w:bottom w:val="single" w:color="CCCCCC" w:sz="1"/>
              <w:right w:val="single" w:color="CCCCCC" w:sz="1"/>
            </w:tcBorders>
            <w:shd w:fill="E8F5E9" w:val="clear"/>
            <w:tcMar>
              <w:top w:type="dxa" w:w="90"/>
              <w:left w:type="dxa" w:w="130"/>
              <w:bottom w:type="dxa" w:w="90"/>
              <w:right w:type="dxa" w:w="130"/>
            </w:tcMar>
          </w:tcPr>
          <w:p>
            <w:r>
              <w:rPr>
                <w:rFonts w:ascii="Arial" w:cs="Arial" w:eastAsia="Arial" w:hAnsi="Arial"/>
                <w:b w:val="false"/>
                <w:bCs w:val="false"/>
                <w:color w:val="333333"/>
                <w:sz w:val="19"/>
                <w:szCs w:val="19"/>
              </w:rPr>
              <w:t xml:space="preserve">VIX spike, broad market decline, FII selling, but company fundamentals unchanged</w:t>
            </w:r>
          </w:p>
        </w:tc>
        <w:tc>
          <w:tcPr>
            <w:tcW w:type="dxa" w:w="3400"/>
            <w:tcBorders>
              <w:top w:val="single" w:color="CCCCCC" w:sz="1"/>
              <w:left w:val="single" w:color="CCCCCC" w:sz="1"/>
              <w:bottom w:val="single" w:color="CCCCCC" w:sz="1"/>
              <w:right w:val="single" w:color="CCCCCC" w:sz="1"/>
            </w:tcBorders>
            <w:shd w:fill="E8F5E9" w:val="clear"/>
            <w:tcMar>
              <w:top w:type="dxa" w:w="90"/>
              <w:left w:type="dxa" w:w="130"/>
              <w:bottom w:type="dxa" w:w="90"/>
              <w:right w:type="dxa" w:w="130"/>
            </w:tcMar>
          </w:tcPr>
          <w:p>
            <w:r>
              <w:rPr>
                <w:rFonts w:ascii="Arial" w:cs="Arial" w:eastAsia="Arial" w:hAnsi="Arial"/>
                <w:b w:val="false"/>
                <w:bCs w:val="false"/>
                <w:color w:val="333333"/>
                <w:sz w:val="19"/>
                <w:szCs w:val="19"/>
              </w:rPr>
              <w:t xml:space="preserve">Hold. This is systemic, not stock-specific. Consider adding to position.</w:t>
            </w:r>
          </w:p>
        </w:tc>
      </w:tr>
      <w:tr>
        <w:tc>
          <w:tcPr>
            <w:tcW w:type="dxa" w:w="2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333333"/>
                <w:sz w:val="19"/>
                <w:szCs w:val="19"/>
              </w:rPr>
              <w:t xml:space="preserve">Sector Rotation (Medium Risk)</w:t>
            </w:r>
          </w:p>
        </w:tc>
        <w:tc>
          <w:tcPr>
            <w:tcW w:type="dxa" w:w="3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val="false"/>
                <w:bCs w:val="false"/>
                <w:color w:val="333333"/>
                <w:sz w:val="19"/>
                <w:szCs w:val="19"/>
              </w:rPr>
              <w:t xml:space="preserve">Sector index declining, peer stocks also declining, but not a company-specific issue</w:t>
            </w:r>
          </w:p>
        </w:tc>
        <w:tc>
          <w:tcPr>
            <w:tcW w:type="dxa" w:w="3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val="false"/>
                <w:bCs w:val="false"/>
                <w:color w:val="333333"/>
                <w:sz w:val="19"/>
                <w:szCs w:val="19"/>
              </w:rPr>
              <w:t xml:space="preserve">Reduce position by 50%, wait for sector rotation to complete.</w:t>
            </w:r>
          </w:p>
        </w:tc>
      </w:tr>
      <w:tr>
        <w:tc>
          <w:tcPr>
            <w:tcW w:type="dxa" w:w="2200"/>
            <w:tcBorders>
              <w:top w:val="single" w:color="CCCCCC" w:sz="1"/>
              <w:left w:val="single" w:color="CCCCCC" w:sz="1"/>
              <w:bottom w:val="single" w:color="CCCCCC" w:sz="1"/>
              <w:right w:val="single" w:color="CCCCCC" w:sz="1"/>
            </w:tcBorders>
            <w:shd w:fill="FDE8E8" w:val="clear"/>
            <w:tcMar>
              <w:top w:type="dxa" w:w="90"/>
              <w:left w:type="dxa" w:w="130"/>
              <w:bottom w:type="dxa" w:w="90"/>
              <w:right w:type="dxa" w:w="130"/>
            </w:tcMar>
          </w:tcPr>
          <w:p>
            <w:r>
              <w:rPr>
                <w:rFonts w:ascii="Arial" w:cs="Arial" w:eastAsia="Arial" w:hAnsi="Arial"/>
                <w:b/>
                <w:bCs/>
                <w:color w:val="333333"/>
                <w:sz w:val="19"/>
                <w:szCs w:val="19"/>
              </w:rPr>
              <w:t xml:space="preserve">Thesis Invalidation (High Risk)</w:t>
            </w:r>
          </w:p>
        </w:tc>
        <w:tc>
          <w:tcPr>
            <w:tcW w:type="dxa" w:w="3760"/>
            <w:tcBorders>
              <w:top w:val="single" w:color="CCCCCC" w:sz="1"/>
              <w:left w:val="single" w:color="CCCCCC" w:sz="1"/>
              <w:bottom w:val="single" w:color="CCCCCC" w:sz="1"/>
              <w:right w:val="single" w:color="CCCCCC" w:sz="1"/>
            </w:tcBorders>
            <w:shd w:fill="FDE8E8" w:val="clear"/>
            <w:tcMar>
              <w:top w:type="dxa" w:w="90"/>
              <w:left w:type="dxa" w:w="130"/>
              <w:bottom w:type="dxa" w:w="90"/>
              <w:right w:type="dxa" w:w="130"/>
            </w:tcMar>
          </w:tcPr>
          <w:p>
            <w:r>
              <w:rPr>
                <w:rFonts w:ascii="Arial" w:cs="Arial" w:eastAsia="Arial" w:hAnsi="Arial"/>
                <w:b w:val="false"/>
                <w:bCs w:val="false"/>
                <w:color w:val="333333"/>
                <w:sz w:val="19"/>
                <w:szCs w:val="19"/>
              </w:rPr>
              <w:t xml:space="preserve">Price breaks key support with high volume, earnings miss, management change, or news event that changes the investment case</w:t>
            </w:r>
          </w:p>
        </w:tc>
        <w:tc>
          <w:tcPr>
            <w:tcW w:type="dxa" w:w="3400"/>
            <w:tcBorders>
              <w:top w:val="single" w:color="CCCCCC" w:sz="1"/>
              <w:left w:val="single" w:color="CCCCCC" w:sz="1"/>
              <w:bottom w:val="single" w:color="CCCCCC" w:sz="1"/>
              <w:right w:val="single" w:color="CCCCCC" w:sz="1"/>
            </w:tcBorders>
            <w:shd w:fill="FDE8E8" w:val="clear"/>
            <w:tcMar>
              <w:top w:type="dxa" w:w="90"/>
              <w:left w:type="dxa" w:w="130"/>
              <w:bottom w:type="dxa" w:w="90"/>
              <w:right w:type="dxa" w:w="130"/>
            </w:tcMar>
          </w:tcPr>
          <w:p>
            <w:r>
              <w:rPr>
                <w:rFonts w:ascii="Arial" w:cs="Arial" w:eastAsia="Arial" w:hAnsi="Arial"/>
                <w:b w:val="false"/>
                <w:bCs w:val="false"/>
                <w:color w:val="333333"/>
                <w:sz w:val="19"/>
                <w:szCs w:val="19"/>
              </w:rPr>
              <w:t xml:space="preserve">Exit immediately. The original trade thesis no longer holds.</w:t>
            </w:r>
          </w:p>
        </w:tc>
      </w:tr>
      <w:tr>
        <w:tc>
          <w:tcPr>
            <w:tcW w:type="dxa" w:w="2200"/>
            <w:tcBorders>
              <w:top w:val="single" w:color="CCCCCC" w:sz="1"/>
              <w:left w:val="single" w:color="CCCCCC" w:sz="1"/>
              <w:bottom w:val="single" w:color="CCCCCC" w:sz="1"/>
              <w:right w:val="single" w:color="CCCCCC" w:sz="1"/>
            </w:tcBorders>
            <w:shd w:fill="FDE8E8" w:val="clear"/>
            <w:tcMar>
              <w:top w:type="dxa" w:w="90"/>
              <w:left w:type="dxa" w:w="130"/>
              <w:bottom w:type="dxa" w:w="90"/>
              <w:right w:type="dxa" w:w="130"/>
            </w:tcMar>
          </w:tcPr>
          <w:p>
            <w:r>
              <w:rPr>
                <w:rFonts w:ascii="Arial" w:cs="Arial" w:eastAsia="Arial" w:hAnsi="Arial"/>
                <w:b/>
                <w:bCs/>
                <w:color w:val="333333"/>
                <w:sz w:val="19"/>
                <w:szCs w:val="19"/>
              </w:rPr>
              <w:t xml:space="preserve">Black Swan (Critical)</w:t>
            </w:r>
          </w:p>
        </w:tc>
        <w:tc>
          <w:tcPr>
            <w:tcW w:type="dxa" w:w="3760"/>
            <w:tcBorders>
              <w:top w:val="single" w:color="CCCCCC" w:sz="1"/>
              <w:left w:val="single" w:color="CCCCCC" w:sz="1"/>
              <w:bottom w:val="single" w:color="CCCCCC" w:sz="1"/>
              <w:right w:val="single" w:color="CCCCCC" w:sz="1"/>
            </w:tcBorders>
            <w:shd w:fill="FDE8E8" w:val="clear"/>
            <w:tcMar>
              <w:top w:type="dxa" w:w="90"/>
              <w:left w:type="dxa" w:w="130"/>
              <w:bottom w:type="dxa" w:w="90"/>
              <w:right w:type="dxa" w:w="130"/>
            </w:tcMar>
          </w:tcPr>
          <w:p>
            <w:r>
              <w:rPr>
                <w:rFonts w:ascii="Arial" w:cs="Arial" w:eastAsia="Arial" w:hAnsi="Arial"/>
                <w:b w:val="false"/>
                <w:bCs w:val="false"/>
                <w:color w:val="333333"/>
                <w:sz w:val="19"/>
                <w:szCs w:val="19"/>
              </w:rPr>
              <w:t xml:space="preserve">VIX &gt; 35, global correlation spike, circuit breakers triggered on multiple markets</w:t>
            </w:r>
          </w:p>
        </w:tc>
        <w:tc>
          <w:tcPr>
            <w:tcW w:type="dxa" w:w="3400"/>
            <w:tcBorders>
              <w:top w:val="single" w:color="CCCCCC" w:sz="1"/>
              <w:left w:val="single" w:color="CCCCCC" w:sz="1"/>
              <w:bottom w:val="single" w:color="CCCCCC" w:sz="1"/>
              <w:right w:val="single" w:color="CCCCCC" w:sz="1"/>
            </w:tcBorders>
            <w:shd w:fill="FDE8E8" w:val="clear"/>
            <w:tcMar>
              <w:top w:type="dxa" w:w="90"/>
              <w:left w:type="dxa" w:w="130"/>
              <w:bottom w:type="dxa" w:w="90"/>
              <w:right w:type="dxa" w:w="130"/>
            </w:tcMar>
          </w:tcPr>
          <w:p>
            <w:r>
              <w:rPr>
                <w:rFonts w:ascii="Arial" w:cs="Arial" w:eastAsia="Arial" w:hAnsi="Arial"/>
                <w:b w:val="false"/>
                <w:bCs w:val="false"/>
                <w:color w:val="333333"/>
                <w:sz w:val="19"/>
                <w:szCs w:val="19"/>
              </w:rPr>
              <w:t xml:space="preserve">Liquidate all open positions immediately. Capital preservation mode.</w:t>
            </w:r>
          </w:p>
        </w:tc>
      </w:tr>
    </w:tbl>
    <w:p>
      <w:pPr>
        <w:spacing w:before="60" w:after="60"/>
      </w:pPr>
      <w:r>
        <w:t xml:space="preserve"/>
      </w:r>
    </w:p>
    <w:p>
      <w:r>
        <w:br w:type="page"/>
      </w:r>
    </w:p>
    <w:p>
      <w:pPr>
        <w:pStyle w:val="Heading2"/>
        <w:spacing w:before="320" w:after="120"/>
      </w:pPr>
      <w:r>
        <w:rPr>
          <w:rFonts w:ascii="Arial" w:cs="Arial" w:eastAsia="Arial" w:hAnsi="Arial"/>
          <w:b/>
          <w:bCs/>
          <w:color w:val="2E6DA4"/>
          <w:sz w:val="25"/>
          <w:szCs w:val="25"/>
        </w:rPr>
        <w:t xml:space="preserve">F8. Dynamic Hedge Engine</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Automatically calculates and suggests portfolio-level hedges using options.</w:t>
      </w:r>
    </w:p>
    <w:p>
      <w:pPr>
        <w:spacing w:before="60" w:after="60"/>
      </w:pPr>
      <w:r>
        <w:t xml:space="preserve"/>
      </w:r>
    </w:p>
    <w:p>
      <w:pPr>
        <w:spacing w:before="80" w:after="80" w:line="280"/>
      </w:pPr>
      <w:r>
        <w:rPr>
          <w:rFonts w:ascii="Arial" w:cs="Arial" w:eastAsia="Arial" w:hAnsi="Arial"/>
          <w:color w:val="333333"/>
          <w:sz w:val="20"/>
          <w:szCs w:val="20"/>
        </w:rPr>
        <w:t xml:space="preserve">When the portfolio Beta exceeds 1.2 (significantly more volatile than the market) or when India VIX crosses 18, the bot automatically computes and suggests a hedging strategy using Nifty put options to neutralize the excess market risk, preserving gains without liquidating positions.</w:t>
      </w:r>
    </w:p>
    <w:p>
      <w:pPr>
        <w:pStyle w:val="ListParagraph"/>
        <w:numPr>
          <w:ilvl w:val="0"/>
          <w:numId w:val="2"/>
        </w:numPr>
        <w:spacing w:before="60" w:after="60" w:line="270"/>
      </w:pPr>
      <w:r>
        <w:rPr>
          <w:rFonts w:ascii="Arial" w:cs="Arial" w:eastAsia="Arial" w:hAnsi="Arial"/>
          <w:b/>
          <w:bCs/>
          <w:color w:val="1A3C6E"/>
          <w:sz w:val="20"/>
          <w:szCs w:val="20"/>
        </w:rPr>
        <w:t xml:space="preserve">Beta-Weighted Delta Hedge: </w:t>
      </w:r>
      <w:r>
        <w:rPr>
          <w:rFonts w:ascii="Arial" w:cs="Arial" w:eastAsia="Arial" w:hAnsi="Arial"/>
          <w:color w:val="333333"/>
          <w:sz w:val="20"/>
          <w:szCs w:val="20"/>
        </w:rPr>
        <w:t xml:space="preserve">Calculate the portfolio's total beta-weighted delta. Suggest buying Nifty put options to bring net portfolio delta to near-zero (market neutral) on high-volatility days.</w:t>
      </w:r>
    </w:p>
    <w:p>
      <w:pPr>
        <w:pStyle w:val="ListParagraph"/>
        <w:numPr>
          <w:ilvl w:val="0"/>
          <w:numId w:val="2"/>
        </w:numPr>
        <w:spacing w:before="60" w:after="60" w:line="270"/>
      </w:pPr>
      <w:r>
        <w:rPr>
          <w:rFonts w:ascii="Arial" w:cs="Arial" w:eastAsia="Arial" w:hAnsi="Arial"/>
          <w:b/>
          <w:bCs/>
          <w:color w:val="1A3C6E"/>
          <w:sz w:val="20"/>
          <w:szCs w:val="20"/>
        </w:rPr>
        <w:t xml:space="preserve">Protective Put Cost Estimator: </w:t>
      </w:r>
      <w:r>
        <w:rPr>
          <w:rFonts w:ascii="Arial" w:cs="Arial" w:eastAsia="Arial" w:hAnsi="Arial"/>
          <w:color w:val="333333"/>
          <w:sz w:val="20"/>
          <w:szCs w:val="20"/>
        </w:rPr>
        <w:t xml:space="preserve">Show the monthly cost of maintaining a portfolio hedge (e.g., 'Buying a 5% OTM Nifty put each month costs ₹4,200 per ₹10 lakh portfolio = 0.42% per month insurance premium').</w:t>
      </w:r>
    </w:p>
    <w:p>
      <w:pPr>
        <w:pStyle w:val="ListParagraph"/>
        <w:numPr>
          <w:ilvl w:val="0"/>
          <w:numId w:val="2"/>
        </w:numPr>
        <w:spacing w:before="60" w:after="60" w:line="270"/>
      </w:pPr>
      <w:r>
        <w:rPr>
          <w:rFonts w:ascii="Arial" w:cs="Arial" w:eastAsia="Arial" w:hAnsi="Arial"/>
          <w:b/>
          <w:bCs/>
          <w:color w:val="1A3C6E"/>
          <w:sz w:val="20"/>
          <w:szCs w:val="20"/>
        </w:rPr>
        <w:t xml:space="preserve">Event-Based Hedge: </w:t>
      </w:r>
      <w:r>
        <w:rPr>
          <w:rFonts w:ascii="Arial" w:cs="Arial" w:eastAsia="Arial" w:hAnsi="Arial"/>
          <w:color w:val="333333"/>
          <w:sz w:val="20"/>
          <w:szCs w:val="20"/>
        </w:rPr>
        <w:t xml:space="preserve">Before RBI MPC announcements, Union Budget, and election results, the bot automatically suggests a pre-event strangle hedge with a defined cost and potential gain profile.</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F9. Real-Time Slippage Simulator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Most paper trading apps assume perfect fills. This app simulates real market impact.</w:t>
      </w:r>
    </w:p>
    <w:p>
      <w:pPr>
        <w:spacing w:before="60" w:after="60"/>
      </w:pPr>
      <w:r>
        <w:t xml:space="preserve"/>
      </w:r>
    </w:p>
    <w:p>
      <w:pPr>
        <w:spacing w:before="80" w:after="80" w:line="280"/>
      </w:pPr>
      <w:r>
        <w:rPr>
          <w:rFonts w:ascii="Arial" w:cs="Arial" w:eastAsia="Arial" w:hAnsi="Arial"/>
          <w:color w:val="333333"/>
          <w:sz w:val="20"/>
          <w:szCs w:val="20"/>
        </w:rPr>
        <w:t xml:space="preserve">In real trading, large orders move the market. A buy order for 10,000 shares of a stock that trades 50,000 shares per day will fill at prices progressively worse than the quoted price. Paper trading apps that use LTP for all fills significantly overstate returns for mid-cap and small-cap strategies.</w:t>
      </w:r>
    </w:p>
    <w:p>
      <w:pPr>
        <w:pStyle w:val="ListParagraph"/>
        <w:numPr>
          <w:ilvl w:val="0"/>
          <w:numId w:val="2"/>
        </w:numPr>
        <w:spacing w:before="60" w:after="60" w:line="270"/>
      </w:pPr>
      <w:r>
        <w:rPr>
          <w:rFonts w:ascii="Arial" w:cs="Arial" w:eastAsia="Arial" w:hAnsi="Arial"/>
          <w:b/>
          <w:bCs/>
          <w:color w:val="1A3C6E"/>
          <w:sz w:val="20"/>
          <w:szCs w:val="20"/>
        </w:rPr>
        <w:t xml:space="preserve">Volume Impact Model: </w:t>
      </w:r>
      <w:r>
        <w:rPr>
          <w:rFonts w:ascii="Arial" w:cs="Arial" w:eastAsia="Arial" w:hAnsi="Arial"/>
          <w:color w:val="333333"/>
          <w:sz w:val="20"/>
          <w:szCs w:val="20"/>
        </w:rPr>
        <w:t xml:space="preserve">Apply the Almgren-Chriss market impact model: estimated slippage = k * (order size / average daily volume)^0.6. For orders &gt; 10% of ADV, the estimated slippage is factored into the paper trade fill price.</w:t>
      </w:r>
    </w:p>
    <w:p>
      <w:pPr>
        <w:pStyle w:val="ListParagraph"/>
        <w:numPr>
          <w:ilvl w:val="0"/>
          <w:numId w:val="2"/>
        </w:numPr>
        <w:spacing w:before="60" w:after="60" w:line="270"/>
      </w:pPr>
      <w:r>
        <w:rPr>
          <w:rFonts w:ascii="Arial" w:cs="Arial" w:eastAsia="Arial" w:hAnsi="Arial"/>
          <w:b/>
          <w:bCs/>
          <w:color w:val="1A3C6E"/>
          <w:sz w:val="20"/>
          <w:szCs w:val="20"/>
        </w:rPr>
        <w:t xml:space="preserve">Bid-Ask Spread Simulation: </w:t>
      </w:r>
      <w:r>
        <w:rPr>
          <w:rFonts w:ascii="Arial" w:cs="Arial" w:eastAsia="Arial" w:hAnsi="Arial"/>
          <w:color w:val="333333"/>
          <w:sz w:val="20"/>
          <w:szCs w:val="20"/>
        </w:rPr>
        <w:t xml:space="preserve">For stocks outside the Nifty 100 (which have wider spreads), apply the average bid-ask spread as a realistic transaction cost. Nifty 100 stocks: 0.02% spread. Mid-cap: 0.08%. Small-cap: 0.2%.</w:t>
      </w:r>
    </w:p>
    <w:p>
      <w:pPr>
        <w:pStyle w:val="ListParagraph"/>
        <w:numPr>
          <w:ilvl w:val="0"/>
          <w:numId w:val="2"/>
        </w:numPr>
        <w:spacing w:before="60" w:after="60" w:line="270"/>
      </w:pPr>
      <w:r>
        <w:rPr>
          <w:rFonts w:ascii="Arial" w:cs="Arial" w:eastAsia="Arial" w:hAnsi="Arial"/>
          <w:b/>
          <w:bCs/>
          <w:color w:val="1A3C6E"/>
          <w:sz w:val="20"/>
          <w:szCs w:val="20"/>
        </w:rPr>
        <w:t xml:space="preserve">Liquidity Warning: </w:t>
      </w:r>
      <w:r>
        <w:rPr>
          <w:rFonts w:ascii="Arial" w:cs="Arial" w:eastAsia="Arial" w:hAnsi="Arial"/>
          <w:color w:val="333333"/>
          <w:sz w:val="20"/>
          <w:szCs w:val="20"/>
        </w:rPr>
        <w:t xml:space="preserve">If the order size &gt; 5% of the stock's 20-day average daily volume, display a liquidity warning and estimate actual fill price vs. ideal fill price.</w:t>
      </w:r>
    </w:p>
    <w:p>
      <w:pPr>
        <w:spacing w:before="60" w:after="60"/>
      </w:pPr>
      <w:r>
        <w:t xml:space="preserve"/>
      </w:r>
    </w:p>
    <w:p>
      <w:pPr>
        <w:shd w:fill="2E6DA4" w:val="clear"/>
        <w:spacing w:before="160" w:after="160"/>
        <w:jc w:val="center"/>
      </w:pPr>
      <w:r>
        <w:rPr>
          <w:rFonts w:ascii="Arial" w:cs="Arial" w:eastAsia="Arial" w:hAnsi="Arial"/>
          <w:b/>
          <w:bCs/>
          <w:color w:val="FFFFFF"/>
          <w:sz w:val="22"/>
          <w:szCs w:val="22"/>
        </w:rPr>
        <w:t xml:space="preserve">CATEGORY 3 — ADVANCED ANALYTICS &amp; LEARNING FEATURES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F10. Trade Autopsy Module</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The most powerful learning tool in any trading platform, modeled on fighter pilot debrief methodology.</w:t>
      </w:r>
    </w:p>
    <w:p>
      <w:pPr>
        <w:spacing w:before="60" w:after="60"/>
      </w:pPr>
      <w:r>
        <w:t xml:space="preserve"/>
      </w:r>
    </w:p>
    <w:p>
      <w:pPr>
        <w:spacing w:before="80" w:after="80" w:line="280"/>
      </w:pPr>
      <w:r>
        <w:rPr>
          <w:rFonts w:ascii="Arial" w:cs="Arial" w:eastAsia="Arial" w:hAnsi="Arial"/>
          <w:color w:val="333333"/>
          <w:sz w:val="20"/>
          <w:szCs w:val="20"/>
        </w:rPr>
        <w:t xml:space="preserve">After every completed trade (win OR loss), the system runs a structured autopsy using the 5 Whys methodology — drilling down to the root cause of the outcome. This is modeled on the aviation industry's accident investigation process, which reduced airline fatalities by 90% over 50 years.</w:t>
      </w:r>
    </w:p>
    <w:p>
      <w:pPr>
        <w:spacing w:before="60" w:after="60"/>
      </w:pPr>
      <w:r>
        <w:t xml:space="preserve"/>
      </w:r>
    </w:p>
    <w:p>
      <w:pPr>
        <w:pStyle w:val="ListParagraph"/>
        <w:numPr>
          <w:ilvl w:val="0"/>
          <w:numId w:val="2"/>
        </w:numPr>
        <w:spacing w:before="60" w:after="60" w:line="270"/>
      </w:pPr>
      <w:r>
        <w:rPr>
          <w:rFonts w:ascii="Arial" w:cs="Arial" w:eastAsia="Arial" w:hAnsi="Arial"/>
          <w:b/>
          <w:bCs/>
          <w:color w:val="1A3C6E"/>
          <w:sz w:val="20"/>
          <w:szCs w:val="20"/>
        </w:rPr>
        <w:t xml:space="preserve">Signal Quality Review: </w:t>
      </w:r>
      <w:r>
        <w:rPr>
          <w:rFonts w:ascii="Arial" w:cs="Arial" w:eastAsia="Arial" w:hAnsi="Arial"/>
          <w:color w:val="333333"/>
          <w:sz w:val="20"/>
          <w:szCs w:val="20"/>
        </w:rPr>
        <w:t xml:space="preserve">Were all the entry gate signals aligned? Which gates were marginal? Would the trade have been taken with stricter criteria?</w:t>
      </w:r>
    </w:p>
    <w:p>
      <w:pPr>
        <w:pStyle w:val="ListParagraph"/>
        <w:numPr>
          <w:ilvl w:val="0"/>
          <w:numId w:val="2"/>
        </w:numPr>
        <w:spacing w:before="60" w:after="60" w:line="270"/>
      </w:pPr>
      <w:r>
        <w:rPr>
          <w:rFonts w:ascii="Arial" w:cs="Arial" w:eastAsia="Arial" w:hAnsi="Arial"/>
          <w:b/>
          <w:bCs/>
          <w:color w:val="1A3C6E"/>
          <w:sz w:val="20"/>
          <w:szCs w:val="20"/>
        </w:rPr>
        <w:t xml:space="preserve">Market Context Review: </w:t>
      </w:r>
      <w:r>
        <w:rPr>
          <w:rFonts w:ascii="Arial" w:cs="Arial" w:eastAsia="Arial" w:hAnsi="Arial"/>
          <w:color w:val="333333"/>
          <w:sz w:val="20"/>
          <w:szCs w:val="20"/>
        </w:rPr>
        <w:t xml:space="preserve">What was the India VIX, FII flow, and sector trend at entry? What was the pre-market global context? Did any of these factors contradict the trade signal?</w:t>
      </w:r>
    </w:p>
    <w:p>
      <w:pPr>
        <w:pStyle w:val="ListParagraph"/>
        <w:numPr>
          <w:ilvl w:val="0"/>
          <w:numId w:val="2"/>
        </w:numPr>
        <w:spacing w:before="60" w:after="60" w:line="270"/>
      </w:pPr>
      <w:r>
        <w:rPr>
          <w:rFonts w:ascii="Arial" w:cs="Arial" w:eastAsia="Arial" w:hAnsi="Arial"/>
          <w:b/>
          <w:bCs/>
          <w:color w:val="1A3C6E"/>
          <w:sz w:val="20"/>
          <w:szCs w:val="20"/>
        </w:rPr>
        <w:t xml:space="preserve">Exit Quality Analysis: </w:t>
      </w:r>
      <w:r>
        <w:rPr>
          <w:rFonts w:ascii="Arial" w:cs="Arial" w:eastAsia="Arial" w:hAnsi="Arial"/>
          <w:color w:val="333333"/>
          <w:sz w:val="20"/>
          <w:szCs w:val="20"/>
        </w:rPr>
        <w:t xml:space="preserve">Did the trade exit at the pre-planned stop/target or was it modified mid-trade? If modified: why, and was the modification emotionally driven?</w:t>
      </w:r>
    </w:p>
    <w:p>
      <w:pPr>
        <w:pStyle w:val="ListParagraph"/>
        <w:numPr>
          <w:ilvl w:val="0"/>
          <w:numId w:val="2"/>
        </w:numPr>
        <w:spacing w:before="60" w:after="60" w:line="270"/>
      </w:pPr>
      <w:r>
        <w:rPr>
          <w:rFonts w:ascii="Arial" w:cs="Arial" w:eastAsia="Arial" w:hAnsi="Arial"/>
          <w:b/>
          <w:bCs/>
          <w:color w:val="1A3C6E"/>
          <w:sz w:val="20"/>
          <w:szCs w:val="20"/>
        </w:rPr>
        <w:t xml:space="preserve">Counterfactual Simulation: </w:t>
      </w:r>
      <w:r>
        <w:rPr>
          <w:rFonts w:ascii="Arial" w:cs="Arial" w:eastAsia="Arial" w:hAnsi="Arial"/>
          <w:color w:val="333333"/>
          <w:sz w:val="20"/>
          <w:szCs w:val="20"/>
        </w:rPr>
        <w:t xml:space="preserve">The system reruns the same trade setup through 50 similar historical periods and shows what the outcome distribution would have been. This prevents judging a good process by a bad outcome.</w:t>
      </w:r>
    </w:p>
    <w:p>
      <w:pPr>
        <w:pStyle w:val="ListParagraph"/>
        <w:numPr>
          <w:ilvl w:val="0"/>
          <w:numId w:val="2"/>
        </w:numPr>
        <w:spacing w:before="60" w:after="60" w:line="270"/>
      </w:pPr>
      <w:r>
        <w:rPr>
          <w:rFonts w:ascii="Arial" w:cs="Arial" w:eastAsia="Arial" w:hAnsi="Arial"/>
          <w:b/>
          <w:bCs/>
          <w:color w:val="1A3C6E"/>
          <w:sz w:val="20"/>
          <w:szCs w:val="20"/>
        </w:rPr>
        <w:t xml:space="preserve">Improvement Suggestion: </w:t>
      </w:r>
      <w:r>
        <w:rPr>
          <w:rFonts w:ascii="Arial" w:cs="Arial" w:eastAsia="Arial" w:hAnsi="Arial"/>
          <w:color w:val="333333"/>
          <w:sz w:val="20"/>
          <w:szCs w:val="20"/>
        </w:rPr>
        <w:t xml:space="preserve">Based on the autopsy, the AI generates one specific, actionable improvement: e.g., 'This trade would have been avoided entirely if you had checked that the sector index (BankNifty) was in a downtrend before entering a long on ICICIBANK.'</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F11. Options Education Simulator — Greeks Come Alive</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95% of retail F&amp;O traders don't understand Greeks. This teaches them interactively.</w:t>
      </w:r>
    </w:p>
    <w:p>
      <w:pPr>
        <w:spacing w:before="60" w:after="60"/>
      </w:pPr>
      <w:r>
        <w:t xml:space="preserve"/>
      </w:r>
    </w:p>
    <w:p>
      <w:pPr>
        <w:spacing w:before="80" w:after="80" w:line="280"/>
      </w:pPr>
      <w:r>
        <w:rPr>
          <w:rFonts w:ascii="Arial" w:cs="Arial" w:eastAsia="Arial" w:hAnsi="Arial"/>
          <w:color w:val="333333"/>
          <w:sz w:val="20"/>
          <w:szCs w:val="20"/>
        </w:rPr>
        <w:t xml:space="preserve">Instead of showing static numbers, the Greeks Simulator allows users to drag a slider and watch in real time how their options P&amp;L changes as time passes (Theta decay), as the underlying moves (Delta and Gamma), and as volatility changes (Vega). This visual, interactive approach teaches options pricing intuitively in minutes.</w:t>
      </w:r>
    </w:p>
    <w:p>
      <w:pPr>
        <w:pStyle w:val="ListParagraph"/>
        <w:numPr>
          <w:ilvl w:val="0"/>
          <w:numId w:val="2"/>
        </w:numPr>
        <w:spacing w:before="60" w:after="60" w:line="270"/>
      </w:pPr>
      <w:r>
        <w:rPr>
          <w:rFonts w:ascii="Arial" w:cs="Arial" w:eastAsia="Arial" w:hAnsi="Arial"/>
          <w:b/>
          <w:bCs/>
          <w:color w:val="1A3C6E"/>
          <w:sz w:val="20"/>
          <w:szCs w:val="20"/>
        </w:rPr>
        <w:t xml:space="preserve">P&amp;L Surface Visualization: </w:t>
      </w:r>
      <w:r>
        <w:rPr>
          <w:rFonts w:ascii="Arial" w:cs="Arial" w:eastAsia="Arial" w:hAnsi="Arial"/>
          <w:color w:val="333333"/>
          <w:sz w:val="20"/>
          <w:szCs w:val="20"/>
        </w:rPr>
        <w:t xml:space="preserve">3D heatmap showing P&amp;L at every combination of underlying price and days-to-expiry for the current position. The user immediately grasps whether they want the market to move fast or stay still.</w:t>
      </w:r>
    </w:p>
    <w:p>
      <w:pPr>
        <w:pStyle w:val="ListParagraph"/>
        <w:numPr>
          <w:ilvl w:val="0"/>
          <w:numId w:val="2"/>
        </w:numPr>
        <w:spacing w:before="60" w:after="60" w:line="270"/>
      </w:pPr>
      <w:r>
        <w:rPr>
          <w:rFonts w:ascii="Arial" w:cs="Arial" w:eastAsia="Arial" w:hAnsi="Arial"/>
          <w:b/>
          <w:bCs/>
          <w:color w:val="1A3C6E"/>
          <w:sz w:val="20"/>
          <w:szCs w:val="20"/>
        </w:rPr>
        <w:t xml:space="preserve">Theta Decay Animation: </w:t>
      </w:r>
      <w:r>
        <w:rPr>
          <w:rFonts w:ascii="Arial" w:cs="Arial" w:eastAsia="Arial" w:hAnsi="Arial"/>
          <w:color w:val="333333"/>
          <w:sz w:val="20"/>
          <w:szCs w:val="20"/>
        </w:rPr>
        <w:t xml:space="preserve">A 30-second animation showing exactly how the options position's P&amp;L erodes over time if the underlying stays flat. Makes Theta visceral and memorable.</w:t>
      </w:r>
    </w:p>
    <w:p>
      <w:pPr>
        <w:pStyle w:val="ListParagraph"/>
        <w:numPr>
          <w:ilvl w:val="0"/>
          <w:numId w:val="2"/>
        </w:numPr>
        <w:spacing w:before="60" w:after="60" w:line="270"/>
      </w:pPr>
      <w:r>
        <w:rPr>
          <w:rFonts w:ascii="Arial" w:cs="Arial" w:eastAsia="Arial" w:hAnsi="Arial"/>
          <w:b/>
          <w:bCs/>
          <w:color w:val="1A3C6E"/>
          <w:sz w:val="20"/>
          <w:szCs w:val="20"/>
        </w:rPr>
        <w:t xml:space="preserve">IV Shock Simulator: </w:t>
      </w:r>
      <w:r>
        <w:rPr>
          <w:rFonts w:ascii="Arial" w:cs="Arial" w:eastAsia="Arial" w:hAnsi="Arial"/>
          <w:color w:val="333333"/>
          <w:sz w:val="20"/>
          <w:szCs w:val="20"/>
        </w:rPr>
        <w:t xml:space="preserve">Simulate what happens to the portfolio if India VIX doubles overnight (as it did in March 2020). Essential for understanding tail risk in short options positions.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F12. Behavioral Finance Self-Assessment Dashboard</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Diagnoses the user's specific trading biases quantitatively, with personalized debiasing exercises.</w:t>
      </w:r>
    </w:p>
    <w:p>
      <w:pPr>
        <w:spacing w:before="60" w:after="60"/>
      </w:pPr>
      <w:r>
        <w:t xml:space="preserve"/>
      </w:r>
    </w:p>
    <w:p>
      <w:pPr>
        <w:spacing w:before="80" w:after="80" w:line="280"/>
      </w:pPr>
      <w:r>
        <w:rPr>
          <w:rFonts w:ascii="Arial" w:cs="Arial" w:eastAsia="Arial" w:hAnsi="Arial"/>
          <w:color w:val="333333"/>
          <w:sz w:val="20"/>
          <w:szCs w:val="20"/>
        </w:rPr>
        <w:t xml:space="preserve">Behavioral economists (Kahneman, Tversky, Thaler) have documented 12 systematic cognitive biases that cause traders to lose money. This dashboard measures each bias using the user's actual paper trading data and provides a personalized bias profile.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Bias</w:t>
            </w:r>
          </w:p>
        </w:tc>
        <w:tc>
          <w:tcPr>
            <w:tcW w:type="dxa" w:w="32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How It's Measured</w:t>
            </w:r>
          </w:p>
        </w:tc>
        <w:tc>
          <w:tcPr>
            <w:tcW w:type="dxa" w:w="41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Typical Retail Impact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Loss Aversion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Average holding time for losing vs winning trades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Letting losers run 3x longer than winners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Overconfidence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Frequency of trades with &lt; 3 confirming signals</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Trading too often with insufficient edge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Recency Bias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Correlation between last 5 trade outcomes and next trade size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Betting bigger after wins, shrinking after losses (both wrong)</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Disposition Effect</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 of profits taken early vs % of losses cut early</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Selling winners too soon, holding losers too long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Anchoring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Frequency of holding a position until it returns to entry price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Refusing to accept that entry price is irrelevant to future direction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Availability Heuristic</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Trading the same stocks repeatedly despite better setups elsewhere</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Trading what's familiar, not what's optimal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FOMO Trading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Entries placed within 30 min of seeing large moves already happened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Chasing trades after the easy money is gone</w:t>
            </w:r>
          </w:p>
        </w:tc>
      </w:tr>
    </w:tbl>
    <w:p>
      <w:pPr>
        <w:spacing w:before="60" w:after="60"/>
      </w:pPr>
      <w:r>
        <w:t xml:space="preserve"/>
      </w:r>
    </w:p>
    <w:p>
      <w:r>
        <w:br w:type="page"/>
      </w:r>
    </w:p>
    <w:p>
      <w:pPr>
        <w:pStyle w:val="Heading2"/>
        <w:spacing w:before="320" w:after="120"/>
      </w:pPr>
      <w:r>
        <w:rPr>
          <w:rFonts w:ascii="Arial" w:cs="Arial" w:eastAsia="Arial" w:hAnsi="Arial"/>
          <w:b/>
          <w:bCs/>
          <w:color w:val="2E6DA4"/>
          <w:sz w:val="25"/>
          <w:szCs w:val="25"/>
        </w:rPr>
        <w:t xml:space="preserve">F13. Competition Simulation Mode — Trading Championships</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Simulates the pressure of competitive trading environments, preparing users for real conditions.</w:t>
      </w:r>
    </w:p>
    <w:p>
      <w:pPr>
        <w:spacing w:before="60" w:after="60"/>
      </w:pPr>
      <w:r>
        <w:t xml:space="preserve"/>
      </w:r>
    </w:p>
    <w:p>
      <w:pPr>
        <w:spacing w:before="80" w:after="80" w:line="280"/>
      </w:pPr>
      <w:r>
        <w:rPr>
          <w:rFonts w:ascii="Arial" w:cs="Arial" w:eastAsia="Arial" w:hAnsi="Arial"/>
          <w:color w:val="333333"/>
          <w:sz w:val="20"/>
          <w:szCs w:val="20"/>
        </w:rPr>
        <w:t xml:space="preserve">Top prop trading firms (Jane Street, Optiver) run internal trading competitions to identify talent. This mode simulates a 5-day trading championship with specific rules, scoring criteria, and a live leaderboard — creating competitive pressure that reveals how traders behave under stress.</w:t>
      </w:r>
    </w:p>
    <w:p>
      <w:pPr>
        <w:pStyle w:val="ListParagraph"/>
        <w:numPr>
          <w:ilvl w:val="0"/>
          <w:numId w:val="2"/>
        </w:numPr>
        <w:spacing w:before="60" w:after="60" w:line="270"/>
      </w:pPr>
      <w:r>
        <w:rPr>
          <w:rFonts w:ascii="Arial" w:cs="Arial" w:eastAsia="Arial" w:hAnsi="Arial"/>
          <w:b/>
          <w:bCs/>
          <w:color w:val="1A3C6E"/>
          <w:sz w:val="20"/>
          <w:szCs w:val="20"/>
        </w:rPr>
        <w:t xml:space="preserve">Championship Format: </w:t>
      </w:r>
      <w:r>
        <w:rPr>
          <w:rFonts w:ascii="Arial" w:cs="Arial" w:eastAsia="Arial" w:hAnsi="Arial"/>
          <w:color w:val="333333"/>
          <w:sz w:val="20"/>
          <w:szCs w:val="20"/>
        </w:rPr>
        <w:t xml:space="preserve">5-day virtual trading period, starting capital ₹10 lakhs, maximum 3 open positions at any time, no leverage beyond 2x, scoring on RISK-ADJUSTED returns (Sharpe Ratio), not raw P&amp;L.</w:t>
      </w:r>
    </w:p>
    <w:p>
      <w:pPr>
        <w:pStyle w:val="ListParagraph"/>
        <w:numPr>
          <w:ilvl w:val="0"/>
          <w:numId w:val="2"/>
        </w:numPr>
        <w:spacing w:before="60" w:after="60" w:line="270"/>
      </w:pPr>
      <w:r>
        <w:rPr>
          <w:rFonts w:ascii="Arial" w:cs="Arial" w:eastAsia="Arial" w:hAnsi="Arial"/>
          <w:b/>
          <w:bCs/>
          <w:color w:val="1A3C6E"/>
          <w:sz w:val="20"/>
          <w:szCs w:val="20"/>
        </w:rPr>
        <w:t xml:space="preserve">Stress Scenarios: </w:t>
      </w:r>
      <w:r>
        <w:rPr>
          <w:rFonts w:ascii="Arial" w:cs="Arial" w:eastAsia="Arial" w:hAnsi="Arial"/>
          <w:color w:val="333333"/>
          <w:sz w:val="20"/>
          <w:szCs w:val="20"/>
        </w:rPr>
        <w:t xml:space="preserve">On day 3, the simulation inserts a flash crash at 11:30 AM — a 4% sudden Nifty drop lasting 45 minutes before recovery. This tests how users manage sudden adverse moves.</w:t>
      </w:r>
    </w:p>
    <w:p>
      <w:pPr>
        <w:pStyle w:val="ListParagraph"/>
        <w:numPr>
          <w:ilvl w:val="0"/>
          <w:numId w:val="2"/>
        </w:numPr>
        <w:spacing w:before="60" w:after="60" w:line="270"/>
      </w:pPr>
      <w:r>
        <w:rPr>
          <w:rFonts w:ascii="Arial" w:cs="Arial" w:eastAsia="Arial" w:hAnsi="Arial"/>
          <w:b/>
          <w:bCs/>
          <w:color w:val="1A3C6E"/>
          <w:sz w:val="20"/>
          <w:szCs w:val="20"/>
        </w:rPr>
        <w:t xml:space="preserve">Post-Championship Debrief: </w:t>
      </w:r>
      <w:r>
        <w:rPr>
          <w:rFonts w:ascii="Arial" w:cs="Arial" w:eastAsia="Arial" w:hAnsi="Arial"/>
          <w:color w:val="333333"/>
          <w:sz w:val="20"/>
          <w:szCs w:val="20"/>
        </w:rPr>
        <w:t xml:space="preserve">After the championship, users see a side-by-side comparison of their decisions vs the AI agent's decisions in the same market conditions.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F14. Voice-Activated Trade Briefing</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Busy professionals can hear their portfolio status while commuting, using voice synthesis.</w:t>
      </w:r>
    </w:p>
    <w:p>
      <w:pPr>
        <w:spacing w:before="60" w:after="60"/>
      </w:pPr>
      <w:r>
        <w:t xml:space="preserve"/>
      </w:r>
    </w:p>
    <w:p>
      <w:pPr>
        <w:spacing w:before="80" w:after="80" w:line="280"/>
      </w:pPr>
      <w:r>
        <w:rPr>
          <w:rFonts w:ascii="Arial" w:cs="Arial" w:eastAsia="Arial" w:hAnsi="Arial"/>
          <w:color w:val="333333"/>
          <w:sz w:val="20"/>
          <w:szCs w:val="20"/>
        </w:rPr>
        <w:t xml:space="preserve">At market open (9:15 AM) and market close (3:30 PM), the AI generates a 2-minute audio briefing using text-to-speech synthesis (Web Speech API — free, browser-native). Users can listen to their portfolio P&amp;L, any AI agent trades executed, and the day's key market developments without looking at a screen.</w:t>
      </w:r>
    </w:p>
    <w:p>
      <w:pPr>
        <w:spacing w:before="60" w:after="60"/>
      </w:pPr>
      <w:r>
        <w:t xml:space="preserve"/>
      </w:r>
    </w:p>
    <w:p>
      <w:pPr>
        <w:shd w:fill="2E6DA4" w:val="clear"/>
        <w:spacing w:before="160" w:after="160"/>
        <w:jc w:val="center"/>
      </w:pPr>
      <w:r>
        <w:rPr>
          <w:rFonts w:ascii="Arial" w:cs="Arial" w:eastAsia="Arial" w:hAnsi="Arial"/>
          <w:b/>
          <w:bCs/>
          <w:color w:val="FFFFFF"/>
          <w:sz w:val="22"/>
          <w:szCs w:val="22"/>
        </w:rPr>
        <w:t xml:space="preserve">CATEGORY 4 — INSTITUTIONAL DATA FEATURES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F15. Insider Trading Activity Monitor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SEBI Insider Trading disclosure data is publicly available but no retail app surfaces it.</w:t>
      </w:r>
    </w:p>
    <w:p>
      <w:pPr>
        <w:spacing w:before="60" w:after="60"/>
      </w:pPr>
      <w:r>
        <w:t xml:space="preserve"/>
      </w:r>
    </w:p>
    <w:p>
      <w:pPr>
        <w:spacing w:before="80" w:after="80" w:line="280"/>
      </w:pPr>
      <w:r>
        <w:rPr>
          <w:rFonts w:ascii="Arial" w:cs="Arial" w:eastAsia="Arial" w:hAnsi="Arial"/>
          <w:color w:val="333333"/>
          <w:sz w:val="20"/>
          <w:szCs w:val="20"/>
        </w:rPr>
        <w:t xml:space="preserve">SEBI requires company directors, key managerial personnel, and 'designated persons' to disclose any purchase or sale of their own company's shares within 2 business days. This data is filed with NSE and publicly available. When multiple insiders buy, it signals management confidence. When they sell heavily, it warrants caution.</w:t>
      </w:r>
    </w:p>
    <w:p>
      <w:pPr>
        <w:pStyle w:val="ListParagraph"/>
        <w:numPr>
          <w:ilvl w:val="0"/>
          <w:numId w:val="2"/>
        </w:numPr>
        <w:spacing w:before="60" w:after="60" w:line="270"/>
      </w:pPr>
      <w:r>
        <w:rPr>
          <w:rFonts w:ascii="Arial" w:cs="Arial" w:eastAsia="Arial" w:hAnsi="Arial"/>
          <w:b/>
          <w:bCs/>
          <w:color w:val="1A3C6E"/>
          <w:sz w:val="20"/>
          <w:szCs w:val="20"/>
        </w:rPr>
        <w:t xml:space="preserve">Insider Transaction Feed: </w:t>
      </w:r>
      <w:r>
        <w:rPr>
          <w:rFonts w:ascii="Arial" w:cs="Arial" w:eastAsia="Arial" w:hAnsi="Arial"/>
          <w:color w:val="333333"/>
          <w:sz w:val="20"/>
          <w:szCs w:val="20"/>
        </w:rPr>
        <w:t xml:space="preserve">Daily feed of all NSE-filed insider disclosures, filtered for buy transactions. Cluster buy events (5+ insiders buying in the same week) are highlighted.</w:t>
      </w:r>
    </w:p>
    <w:p>
      <w:pPr>
        <w:pStyle w:val="ListParagraph"/>
        <w:numPr>
          <w:ilvl w:val="0"/>
          <w:numId w:val="2"/>
        </w:numPr>
        <w:spacing w:before="60" w:after="60" w:line="270"/>
      </w:pPr>
      <w:r>
        <w:rPr>
          <w:rFonts w:ascii="Arial" w:cs="Arial" w:eastAsia="Arial" w:hAnsi="Arial"/>
          <w:b/>
          <w:bCs/>
          <w:color w:val="1A3C6E"/>
          <w:sz w:val="20"/>
          <w:szCs w:val="20"/>
        </w:rPr>
        <w:t xml:space="preserve">Insider Selling Alert: </w:t>
      </w:r>
      <w:r>
        <w:rPr>
          <w:rFonts w:ascii="Arial" w:cs="Arial" w:eastAsia="Arial" w:hAnsi="Arial"/>
          <w:color w:val="333333"/>
          <w:sz w:val="20"/>
          <w:szCs w:val="20"/>
        </w:rPr>
        <w:t xml:space="preserve">If the CEO, CFO, or promoter of a company in the user's portfolio has sold &gt; ₹5 crore of stock in the last 30 days, send an alert. This is not necessarily bearish, but warrants investigation.</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F16. Foreign Exchange Sensitivity Map</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INR volatility is systematically ignored by retail traders despite being a major P&amp;L driver.</w:t>
      </w:r>
    </w:p>
    <w:p>
      <w:pPr>
        <w:spacing w:before="60" w:after="60"/>
      </w:pPr>
      <w:r>
        <w:t xml:space="preserve"/>
      </w:r>
    </w:p>
    <w:p>
      <w:pPr>
        <w:spacing w:before="80" w:after="80" w:line="280"/>
      </w:pPr>
      <w:r>
        <w:rPr>
          <w:rFonts w:ascii="Arial" w:cs="Arial" w:eastAsia="Arial" w:hAnsi="Arial"/>
          <w:color w:val="333333"/>
          <w:sz w:val="20"/>
          <w:szCs w:val="20"/>
        </w:rPr>
        <w:t xml:space="preserve">USD/INR moves affect different sectors very differently. IT companies are USD earners (benefit from INR weakening). Import-heavy sectors (crude oil, gold, electronics) are hurt by INR weakening. This map provides sector-by-sector FX sensitivity and informs the AI agent's sector bias based on daily FX movements.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INR Weakens (USD/INR rises)</w:t>
            </w:r>
          </w:p>
        </w:tc>
        <w:tc>
          <w:tcPr>
            <w:tcW w:type="dxa" w:w="33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Beneficiaries (Long bias)</w:t>
            </w:r>
          </w:p>
        </w:tc>
        <w:tc>
          <w:tcPr>
            <w:tcW w:type="dxa" w:w="35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Losers (Short bias)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INR/USD +1%</w:t>
            </w:r>
          </w:p>
        </w:tc>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IT Services, Pharma (exporters), Textiles, Gems/Jewelry</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Oil &amp; Gas (importers), Aviation, Paint, Chemicals</w:t>
            </w:r>
          </w:p>
        </w:tc>
      </w:tr>
      <w:tr>
        <w:tc>
          <w:tcPr>
            <w:tcW w:type="dxa" w:w="2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INR/USD +3% (crisis mode)</w:t>
            </w:r>
          </w:p>
        </w:tc>
        <w:tc>
          <w:tcPr>
            <w:tcW w:type="dxa" w:w="3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Commodity exporters, IT, Offshore Services</w:t>
            </w:r>
          </w:p>
        </w:tc>
        <w:tc>
          <w:tcPr>
            <w:tcW w:type="dxa" w:w="3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All import-dependent sectors, Banks (NRI deposit outflows)</w:t>
            </w:r>
          </w:p>
        </w:tc>
      </w:tr>
    </w:tbl>
    <w:p>
      <w:pPr>
        <w:spacing w:before="60" w:after="60"/>
      </w:pPr>
      <w:r>
        <w:t xml:space="preserve"/>
      </w:r>
    </w:p>
    <w:p>
      <w:pPr>
        <w:pStyle w:val="Heading2"/>
        <w:spacing w:before="320" w:after="120"/>
      </w:pPr>
      <w:r>
        <w:rPr>
          <w:rFonts w:ascii="Arial" w:cs="Arial" w:eastAsia="Arial" w:hAnsi="Arial"/>
          <w:b/>
          <w:bCs/>
          <w:color w:val="2E6DA4"/>
          <w:sz w:val="25"/>
          <w:szCs w:val="25"/>
        </w:rPr>
        <w:t xml:space="preserve">F17. Nifty 50 Rebalance Event Predictor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NSE's bi-annual Nifty 50 rebalancing creates predictable price moves.</w:t>
      </w:r>
    </w:p>
    <w:p>
      <w:pPr>
        <w:spacing w:before="60" w:after="60"/>
      </w:pPr>
      <w:r>
        <w:t xml:space="preserve"/>
      </w:r>
    </w:p>
    <w:p>
      <w:pPr>
        <w:spacing w:before="80" w:after="80" w:line="280"/>
      </w:pPr>
      <w:r>
        <w:rPr>
          <w:rFonts w:ascii="Arial" w:cs="Arial" w:eastAsia="Arial" w:hAnsi="Arial"/>
          <w:color w:val="333333"/>
          <w:sz w:val="20"/>
          <w:szCs w:val="20"/>
        </w:rPr>
        <w:t xml:space="preserve">NSE rebalances the Nifty 50 index twice a year (March and September). When a new stock is added to Nifty 50, index funds MUST buy it — creating mechanical buying pressure. When a stock is removed, index funds MUST sell — creating selling pressure. The price moves are statistically predictable and often begin before the official announcement.</w:t>
      </w:r>
    </w:p>
    <w:p>
      <w:pPr>
        <w:pStyle w:val="ListParagraph"/>
        <w:numPr>
          <w:ilvl w:val="0"/>
          <w:numId w:val="2"/>
        </w:numPr>
        <w:spacing w:before="60" w:after="60" w:line="270"/>
      </w:pPr>
      <w:r>
        <w:rPr>
          <w:rFonts w:ascii="Arial" w:cs="Arial" w:eastAsia="Arial" w:hAnsi="Arial"/>
          <w:b/>
          <w:bCs/>
          <w:color w:val="1A3C6E"/>
          <w:sz w:val="20"/>
          <w:szCs w:val="20"/>
        </w:rPr>
        <w:t xml:space="preserve">Inclusion Candidate Screener: </w:t>
      </w:r>
      <w:r>
        <w:rPr>
          <w:rFonts w:ascii="Arial" w:cs="Arial" w:eastAsia="Arial" w:hAnsi="Arial"/>
          <w:color w:val="333333"/>
          <w:sz w:val="20"/>
          <w:szCs w:val="20"/>
        </w:rPr>
        <w:t xml:space="preserve">Based on market cap ranking, liquidity filters, and trading frequency requirements, the AI screens and ranks likely Nifty 50 inclusion candidates 6–8 weeks before rebalance dates.</w:t>
      </w:r>
    </w:p>
    <w:p>
      <w:pPr>
        <w:pStyle w:val="ListParagraph"/>
        <w:numPr>
          <w:ilvl w:val="0"/>
          <w:numId w:val="2"/>
        </w:numPr>
        <w:spacing w:before="60" w:after="60" w:line="270"/>
      </w:pPr>
      <w:r>
        <w:rPr>
          <w:rFonts w:ascii="Arial" w:cs="Arial" w:eastAsia="Arial" w:hAnsi="Arial"/>
          <w:b/>
          <w:bCs/>
          <w:color w:val="1A3C6E"/>
          <w:sz w:val="20"/>
          <w:szCs w:val="20"/>
        </w:rPr>
        <w:t xml:space="preserve">Exclusion Risk Screener: </w:t>
      </w:r>
      <w:r>
        <w:rPr>
          <w:rFonts w:ascii="Arial" w:cs="Arial" w:eastAsia="Arial" w:hAnsi="Arial"/>
          <w:color w:val="333333"/>
          <w:sz w:val="20"/>
          <w:szCs w:val="20"/>
        </w:rPr>
        <w:t xml:space="preserve">Similarly flags existing Nifty 50 members at risk of exclusion based on declining market cap rank.</w:t>
      </w:r>
    </w:p>
    <w:p>
      <w:pPr>
        <w:pStyle w:val="ListParagraph"/>
        <w:numPr>
          <w:ilvl w:val="0"/>
          <w:numId w:val="2"/>
        </w:numPr>
        <w:spacing w:before="60" w:after="60" w:line="270"/>
      </w:pPr>
      <w:r>
        <w:rPr>
          <w:rFonts w:ascii="Arial" w:cs="Arial" w:eastAsia="Arial" w:hAnsi="Arial"/>
          <w:b/>
          <w:bCs/>
          <w:color w:val="1A3C6E"/>
          <w:sz w:val="20"/>
          <w:szCs w:val="20"/>
        </w:rPr>
        <w:t xml:space="preserve">Historical Pattern: </w:t>
      </w:r>
      <w:r>
        <w:rPr>
          <w:rFonts w:ascii="Arial" w:cs="Arial" w:eastAsia="Arial" w:hAnsi="Arial"/>
          <w:color w:val="333333"/>
          <w:sz w:val="20"/>
          <w:szCs w:val="20"/>
        </w:rPr>
        <w:t xml:space="preserve">Historically, Nifty 50 inclusion candidates outperform by 3–8% in the 2 weeks post-announcement. The bot monitors announcement dates and triggers position suggestions.</w:t>
      </w:r>
    </w:p>
    <w:p>
      <w:pPr>
        <w:spacing w:before="60" w:after="60"/>
      </w:pPr>
      <w:r>
        <w:t xml:space="preserve"/>
      </w:r>
    </w:p>
    <w:p>
      <w:r>
        <w:br w:type="page"/>
      </w:r>
    </w:p>
    <w:p>
      <w:pPr>
        <w:pStyle w:val="Heading2"/>
        <w:spacing w:before="320" w:after="120"/>
      </w:pPr>
      <w:r>
        <w:rPr>
          <w:rFonts w:ascii="Arial" w:cs="Arial" w:eastAsia="Arial" w:hAnsi="Arial"/>
          <w:b/>
          <w:bCs/>
          <w:color w:val="2E6DA4"/>
          <w:sz w:val="25"/>
          <w:szCs w:val="25"/>
        </w:rPr>
        <w:t xml:space="preserve">F18. F&amp;O Ban List Monitor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Stocks in F&amp;O ban period behave differently. This is unknown to most retail traders.</w:t>
      </w:r>
    </w:p>
    <w:p>
      <w:pPr>
        <w:spacing w:before="60" w:after="60"/>
      </w:pPr>
      <w:r>
        <w:t xml:space="preserve"/>
      </w:r>
    </w:p>
    <w:p>
      <w:pPr>
        <w:spacing w:before="80" w:after="80" w:line="280"/>
      </w:pPr>
      <w:r>
        <w:rPr>
          <w:rFonts w:ascii="Arial" w:cs="Arial" w:eastAsia="Arial" w:hAnsi="Arial"/>
          <w:color w:val="333333"/>
          <w:sz w:val="20"/>
          <w:szCs w:val="20"/>
        </w:rPr>
        <w:t xml:space="preserve">NSE bans trading in the futures and options of stocks where open interest exceeds 95% of the market-wide position limit (MWPL). During the ban period, no new F&amp;O positions can be opened. Stocks in the ban list often become more volatile, and existing F&amp;O positions face forced closure risk. The AI agent avoids initiating F&amp;O positions in banned stocks.</w:t>
      </w:r>
    </w:p>
    <w:p>
      <w:pPr>
        <w:pStyle w:val="ListParagraph"/>
        <w:numPr>
          <w:ilvl w:val="0"/>
          <w:numId w:val="2"/>
        </w:numPr>
        <w:spacing w:before="60" w:after="60" w:line="270"/>
      </w:pPr>
      <w:r>
        <w:rPr>
          <w:rFonts w:ascii="Arial" w:cs="Arial" w:eastAsia="Arial" w:hAnsi="Arial"/>
          <w:b/>
          <w:bCs/>
          <w:color w:val="1A3C6E"/>
          <w:sz w:val="20"/>
          <w:szCs w:val="20"/>
        </w:rPr>
        <w:t xml:space="preserve">Daily Ban List Feed: </w:t>
      </w:r>
      <w:r>
        <w:rPr>
          <w:rFonts w:ascii="Arial" w:cs="Arial" w:eastAsia="Arial" w:hAnsi="Arial"/>
          <w:color w:val="333333"/>
          <w:sz w:val="20"/>
          <w:szCs w:val="20"/>
        </w:rPr>
        <w:t xml:space="preserve">Fetch NSE's daily F&amp;O ban list at 7:30 AM and display prominently in the trading terminal.</w:t>
      </w:r>
    </w:p>
    <w:p>
      <w:pPr>
        <w:pStyle w:val="ListParagraph"/>
        <w:numPr>
          <w:ilvl w:val="0"/>
          <w:numId w:val="2"/>
        </w:numPr>
        <w:spacing w:before="60" w:after="60" w:line="270"/>
      </w:pPr>
      <w:r>
        <w:rPr>
          <w:rFonts w:ascii="Arial" w:cs="Arial" w:eastAsia="Arial" w:hAnsi="Arial"/>
          <w:b/>
          <w:bCs/>
          <w:color w:val="1A3C6E"/>
          <w:sz w:val="20"/>
          <w:szCs w:val="20"/>
        </w:rPr>
        <w:t xml:space="preserve">Pre-Ban Warning: </w:t>
      </w:r>
      <w:r>
        <w:rPr>
          <w:rFonts w:ascii="Arial" w:cs="Arial" w:eastAsia="Arial" w:hAnsi="Arial"/>
          <w:color w:val="333333"/>
          <w:sz w:val="20"/>
          <w:szCs w:val="20"/>
        </w:rPr>
        <w:t xml:space="preserve">Alert when a stock's OI reaches 85% of MWPL — warning that a ban is imminent. The AI agent begins reducing F&amp;O exposure before the ban triggers.</w:t>
      </w:r>
    </w:p>
    <w:p>
      <w:pPr>
        <w:spacing w:before="60" w:after="60"/>
      </w:pPr>
      <w:r>
        <w:t xml:space="preserve"/>
      </w:r>
    </w:p>
    <w:p>
      <w:pPr>
        <w:shd w:fill="2E6DA4" w:val="clear"/>
        <w:spacing w:before="160" w:after="160"/>
        <w:jc w:val="center"/>
      </w:pPr>
      <w:r>
        <w:rPr>
          <w:rFonts w:ascii="Arial" w:cs="Arial" w:eastAsia="Arial" w:hAnsi="Arial"/>
          <w:b/>
          <w:bCs/>
          <w:color w:val="FFFFFF"/>
          <w:sz w:val="22"/>
          <w:szCs w:val="22"/>
        </w:rPr>
        <w:t xml:space="preserve">CATEGORY 5 — PERSONALIZATION AND AI FEATURES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F19. Adaptive Strategy Improvement Engine</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The bot learns from its own paper trading performance and adapts strategy parameters.</w:t>
      </w:r>
    </w:p>
    <w:p>
      <w:pPr>
        <w:spacing w:before="60" w:after="60"/>
      </w:pPr>
      <w:r>
        <w:t xml:space="preserve"/>
      </w:r>
    </w:p>
    <w:p>
      <w:pPr>
        <w:spacing w:before="80" w:after="80" w:line="280"/>
      </w:pPr>
      <w:r>
        <w:rPr>
          <w:rFonts w:ascii="Arial" w:cs="Arial" w:eastAsia="Arial" w:hAnsi="Arial"/>
          <w:color w:val="333333"/>
          <w:sz w:val="20"/>
          <w:szCs w:val="20"/>
        </w:rPr>
        <w:t xml:space="preserve">Most trading bots use fixed, static parameters. A 20-year veteran continuously refines their rules based on what is working in current market conditions. This engine implements a structured parameter adaptation process — NOT machine learning (which risks overfitting), but a systematic performance review process inspired by systematic CTA funds.</w:t>
      </w:r>
    </w:p>
    <w:p>
      <w:pPr>
        <w:pStyle w:val="ListParagraph"/>
        <w:numPr>
          <w:ilvl w:val="0"/>
          <w:numId w:val="2"/>
        </w:numPr>
        <w:spacing w:before="60" w:after="60" w:line="270"/>
      </w:pPr>
      <w:r>
        <w:rPr>
          <w:rFonts w:ascii="Arial" w:cs="Arial" w:eastAsia="Arial" w:hAnsi="Arial"/>
          <w:b/>
          <w:bCs/>
          <w:color w:val="1A3C6E"/>
          <w:sz w:val="20"/>
          <w:szCs w:val="20"/>
        </w:rPr>
        <w:t xml:space="preserve">90-Day Rolling Performance Review: </w:t>
      </w:r>
      <w:r>
        <w:rPr>
          <w:rFonts w:ascii="Arial" w:cs="Arial" w:eastAsia="Arial" w:hAnsi="Arial"/>
          <w:color w:val="333333"/>
          <w:sz w:val="20"/>
          <w:szCs w:val="20"/>
        </w:rPr>
        <w:t xml:space="preserve">Every 90 days, the engine reviews each strategy's Sharpe Ratio, win rate, and profit factor over the recent period. Strategies that have been underperforming for 90 days are temporarily suspended.</w:t>
      </w:r>
    </w:p>
    <w:p>
      <w:pPr>
        <w:pStyle w:val="ListParagraph"/>
        <w:numPr>
          <w:ilvl w:val="0"/>
          <w:numId w:val="2"/>
        </w:numPr>
        <w:spacing w:before="60" w:after="60" w:line="270"/>
      </w:pPr>
      <w:r>
        <w:rPr>
          <w:rFonts w:ascii="Arial" w:cs="Arial" w:eastAsia="Arial" w:hAnsi="Arial"/>
          <w:b/>
          <w:bCs/>
          <w:color w:val="1A3C6E"/>
          <w:sz w:val="20"/>
          <w:szCs w:val="20"/>
        </w:rPr>
        <w:t xml:space="preserve">Parameter Sensitivity Analysis: </w:t>
      </w:r>
      <w:r>
        <w:rPr>
          <w:rFonts w:ascii="Arial" w:cs="Arial" w:eastAsia="Arial" w:hAnsi="Arial"/>
          <w:color w:val="333333"/>
          <w:sz w:val="20"/>
          <w:szCs w:val="20"/>
        </w:rPr>
        <w:t xml:space="preserve">For active strategies, run walk-forward parameter tests monthly. If the optimal parameters have shifted significantly from the original, the system presents the user with a recommended parameter update with full evidence.</w:t>
      </w:r>
    </w:p>
    <w:p>
      <w:pPr>
        <w:pStyle w:val="ListParagraph"/>
        <w:numPr>
          <w:ilvl w:val="0"/>
          <w:numId w:val="2"/>
        </w:numPr>
        <w:spacing w:before="60" w:after="60" w:line="270"/>
      </w:pPr>
      <w:r>
        <w:rPr>
          <w:rFonts w:ascii="Arial" w:cs="Arial" w:eastAsia="Arial" w:hAnsi="Arial"/>
          <w:b/>
          <w:bCs/>
          <w:color w:val="1A3C6E"/>
          <w:sz w:val="20"/>
          <w:szCs w:val="20"/>
        </w:rPr>
        <w:t xml:space="preserve">Regime-Specific Strategy Weights: </w:t>
      </w:r>
      <w:r>
        <w:rPr>
          <w:rFonts w:ascii="Arial" w:cs="Arial" w:eastAsia="Arial" w:hAnsi="Arial"/>
          <w:color w:val="333333"/>
          <w:sz w:val="20"/>
          <w:szCs w:val="20"/>
        </w:rPr>
        <w:t xml:space="preserve">Track which strategies perform best in each market regime. Update regime-to-strategy mapping weights quarterly based on actual performance.</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F20. Natural Language Strategy Builder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Users describe a trading idea in plain English; the AI translates it into a coded strategy.</w:t>
      </w:r>
    </w:p>
    <w:p>
      <w:pPr>
        <w:spacing w:before="60" w:after="60"/>
      </w:pPr>
      <w:r>
        <w:t xml:space="preserve"/>
      </w:r>
    </w:p>
    <w:p>
      <w:pPr>
        <w:spacing w:before="80" w:after="80" w:line="280"/>
      </w:pPr>
      <w:r>
        <w:rPr>
          <w:rFonts w:ascii="Arial" w:cs="Arial" w:eastAsia="Arial" w:hAnsi="Arial"/>
          <w:color w:val="333333"/>
          <w:sz w:val="20"/>
          <w:szCs w:val="20"/>
        </w:rPr>
        <w:t xml:space="preserve">Instead of requiring users to understand Pine Script or Python, they describe their strategy in plain language: 'Buy when a stock breaks out above its 52-week high with volume greater than 1.5x its average, only if the sector ETF is also above its 50-day moving average, with a stop-loss at the 10-day low.' The AI translates this into executable strategy logic, explains it back to the user, and runs an immediate backtest.</w:t>
      </w:r>
    </w:p>
    <w:p>
      <w:pPr>
        <w:pStyle w:val="ListParagraph"/>
        <w:numPr>
          <w:ilvl w:val="0"/>
          <w:numId w:val="2"/>
        </w:numPr>
        <w:spacing w:before="60" w:after="60" w:line="270"/>
      </w:pPr>
      <w:r>
        <w:rPr>
          <w:rFonts w:ascii="Arial" w:cs="Arial" w:eastAsia="Arial" w:hAnsi="Arial"/>
          <w:b/>
          <w:bCs/>
          <w:color w:val="1A3C6E"/>
          <w:sz w:val="20"/>
          <w:szCs w:val="20"/>
        </w:rPr>
        <w:t xml:space="preserve">Strategy Intent Parser: </w:t>
      </w:r>
      <w:r>
        <w:rPr>
          <w:rFonts w:ascii="Arial" w:cs="Arial" w:eastAsia="Arial" w:hAnsi="Arial"/>
          <w:color w:val="333333"/>
          <w:sz w:val="20"/>
          <w:szCs w:val="20"/>
        </w:rPr>
        <w:t xml:space="preserve">Claude API interprets the user's description, extracts: entry condition, confirmation filter, exit condition (target), exit condition (stop-loss), timeframe, and instrument universe.</w:t>
      </w:r>
    </w:p>
    <w:p>
      <w:pPr>
        <w:pStyle w:val="ListParagraph"/>
        <w:numPr>
          <w:ilvl w:val="0"/>
          <w:numId w:val="2"/>
        </w:numPr>
        <w:spacing w:before="60" w:after="60" w:line="270"/>
      </w:pPr>
      <w:r>
        <w:rPr>
          <w:rFonts w:ascii="Arial" w:cs="Arial" w:eastAsia="Arial" w:hAnsi="Arial"/>
          <w:b/>
          <w:bCs/>
          <w:color w:val="1A3C6E"/>
          <w:sz w:val="20"/>
          <w:szCs w:val="20"/>
        </w:rPr>
        <w:t xml:space="preserve">Code Generation Display: </w:t>
      </w:r>
      <w:r>
        <w:rPr>
          <w:rFonts w:ascii="Arial" w:cs="Arial" w:eastAsia="Arial" w:hAnsi="Arial"/>
          <w:color w:val="333333"/>
          <w:sz w:val="20"/>
          <w:szCs w:val="20"/>
        </w:rPr>
        <w:t xml:space="preserve">Show the generated strategy logic in pseudocode so users understand what their strategy actually does.</w:t>
      </w:r>
    </w:p>
    <w:p>
      <w:pPr>
        <w:pStyle w:val="ListParagraph"/>
        <w:numPr>
          <w:ilvl w:val="0"/>
          <w:numId w:val="2"/>
        </w:numPr>
        <w:spacing w:before="60" w:after="60" w:line="270"/>
      </w:pPr>
      <w:r>
        <w:rPr>
          <w:rFonts w:ascii="Arial" w:cs="Arial" w:eastAsia="Arial" w:hAnsi="Arial"/>
          <w:b/>
          <w:bCs/>
          <w:color w:val="1A3C6E"/>
          <w:sz w:val="20"/>
          <w:szCs w:val="20"/>
        </w:rPr>
        <w:t xml:space="preserve">Edge Detection: </w:t>
      </w:r>
      <w:r>
        <w:rPr>
          <w:rFonts w:ascii="Arial" w:cs="Arial" w:eastAsia="Arial" w:hAnsi="Arial"/>
          <w:color w:val="333333"/>
          <w:sz w:val="20"/>
          <w:szCs w:val="20"/>
        </w:rPr>
        <w:t xml:space="preserve">Before backtesting, the AI evaluates whether the described strategy has a theoretical edge: 'Your breakout strategy has a known edge because institutional momentum is well-documented. However, your entry on a 52-week high historically has a 52% success rate over 10 years — a small edge. Adding the sector ETF confirmation improves this to 61%.'</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F21. Multi-Account Simulation — Family Portfolio Management</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Allows one user to manage multiple virtual portfolios with different risk profiles.</w:t>
      </w:r>
    </w:p>
    <w:p>
      <w:pPr>
        <w:spacing w:before="60" w:after="60"/>
      </w:pPr>
      <w:r>
        <w:t xml:space="preserve"/>
      </w:r>
    </w:p>
    <w:p>
      <w:pPr>
        <w:spacing w:before="80" w:after="80" w:line="280"/>
      </w:pPr>
      <w:r>
        <w:rPr>
          <w:rFonts w:ascii="Arial" w:cs="Arial" w:eastAsia="Arial" w:hAnsi="Arial"/>
          <w:color w:val="333333"/>
          <w:sz w:val="20"/>
          <w:szCs w:val="20"/>
        </w:rPr>
        <w:t xml:space="preserve">A family may have different investment goals: father (retirement-focused, conservative), spouse (moderate risk, 10-year horizon), child's education fund (aggressive, 15-year horizon). The platform allows up to 5 virtual portfolios per user account with different capital amounts, risk profiles, and AI agent strategy configurations.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F22. Real-Time Economic Calendar Integration</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Not just an events list — a trade impact predictor for each macro event.</w:t>
      </w:r>
    </w:p>
    <w:p>
      <w:pPr>
        <w:spacing w:before="60" w:after="60"/>
      </w:pPr>
      <w:r>
        <w:t xml:space="preserve"/>
      </w:r>
    </w:p>
    <w:p>
      <w:pPr>
        <w:spacing w:before="80" w:after="80" w:line="280"/>
      </w:pPr>
      <w:r>
        <w:rPr>
          <w:rFonts w:ascii="Arial" w:cs="Arial" w:eastAsia="Arial" w:hAnsi="Arial"/>
          <w:color w:val="333333"/>
          <w:sz w:val="20"/>
          <w:szCs w:val="20"/>
        </w:rPr>
        <w:t xml:space="preserve">Every macro event is tagged with its historical impact on Indian markets: RBI rate decisions, GDP data, IIP data, CPI/WPI inflation, US Fed decisions, China PMI, and crude oil inventory reports. Before each event, the AI shows: expected market movement direction, historical volatility spike magnitude, which sectors to avoid, and hedging suggestions.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F23. Shadow Book — Track Removed Positions</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When the AI agent exits a position, it continues tracking the stock's performance.</w:t>
      </w:r>
    </w:p>
    <w:p>
      <w:pPr>
        <w:spacing w:before="60" w:after="60"/>
      </w:pPr>
      <w:r>
        <w:t xml:space="preserve"/>
      </w:r>
    </w:p>
    <w:p>
      <w:pPr>
        <w:spacing w:before="80" w:after="80" w:line="280"/>
      </w:pPr>
      <w:r>
        <w:rPr>
          <w:rFonts w:ascii="Arial" w:cs="Arial" w:eastAsia="Arial" w:hAnsi="Arial"/>
          <w:color w:val="333333"/>
          <w:sz w:val="20"/>
          <w:szCs w:val="20"/>
        </w:rPr>
        <w:t xml:space="preserve">After exiting any position, the Shadow Book continues tracking that stock for 30 days. This answers the crucial question that every trader asks: 'Did I sell too early?' If the stock continues rising after exit, the Shadow Book shows the foregone profit. If it falls, it validates the exit. Over time, this builds a data-driven picture of exit quality.</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F24. Nifty 500 Universe Scanner — Momentum Factor Ranking</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Daily ranking of all 500 Nifty stocks on multiple quantitative factors.</w:t>
      </w:r>
    </w:p>
    <w:p>
      <w:pPr>
        <w:spacing w:before="60" w:after="60"/>
      </w:pPr>
      <w:r>
        <w:t xml:space="preserve"/>
      </w:r>
    </w:p>
    <w:p>
      <w:pPr>
        <w:spacing w:before="80" w:after="80" w:line="280"/>
      </w:pPr>
      <w:r>
        <w:rPr>
          <w:rFonts w:ascii="Arial" w:cs="Arial" w:eastAsia="Arial" w:hAnsi="Arial"/>
          <w:color w:val="333333"/>
          <w:sz w:val="20"/>
          <w:szCs w:val="20"/>
        </w:rPr>
        <w:t xml:space="preserve">Every evening at 5:00 PM, the AI ranks all 500 Nifty stocks across 5 quantitative factors: 12-month price momentum, 3-month relative strength vs sector, earnings growth momentum, FII holding change, and low volatility (inverse). Stocks scoring in the top decile on 3+ factors are added to the 'AI High-Conviction Watchlist' for the next session.</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F25. Pre-IPO Watchlist — Grey Market Premium Tracker</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India's vibrant IPO market creates opportunities before and after listing.</w:t>
      </w:r>
    </w:p>
    <w:p>
      <w:pPr>
        <w:spacing w:before="60" w:after="60"/>
      </w:pPr>
      <w:r>
        <w:t xml:space="preserve"/>
      </w:r>
    </w:p>
    <w:p>
      <w:pPr>
        <w:spacing w:before="80" w:after="80" w:line="280"/>
      </w:pPr>
      <w:r>
        <w:rPr>
          <w:rFonts w:ascii="Arial" w:cs="Arial" w:eastAsia="Arial" w:hAnsi="Arial"/>
          <w:color w:val="333333"/>
          <w:sz w:val="20"/>
          <w:szCs w:val="20"/>
        </w:rPr>
        <w:t xml:space="preserve">India's Grey Market (informal pre-listing trading) gives an early signal of institutional demand for upcoming IPOs. Track the GMP (Grey Market Premium) for upcoming IPOs from Chittorgarh.com (scraped), the subscription status live during IPO window, and predict listing day performance using a model trained on 5 years of IPO data.</w:t>
      </w:r>
    </w:p>
    <w:p>
      <w:pPr>
        <w:spacing w:before="60" w:after="60"/>
      </w:pPr>
      <w:r>
        <w:t xml:space="preserve"/>
      </w:r>
    </w:p>
    <w:p>
      <w:pPr>
        <w:shd w:fill="2E6DA4" w:val="clear"/>
        <w:spacing w:before="160" w:after="160"/>
        <w:jc w:val="center"/>
      </w:pPr>
      <w:r>
        <w:rPr>
          <w:rFonts w:ascii="Arial" w:cs="Arial" w:eastAsia="Arial" w:hAnsi="Arial"/>
          <w:b/>
          <w:bCs/>
          <w:color w:val="FFFFFF"/>
          <w:sz w:val="22"/>
          <w:szCs w:val="22"/>
        </w:rPr>
        <w:t xml:space="preserve">CATEGORY 6 — PLATFORM EXPERIENCE FEATURES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F26. Collaborative Trading War Room</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Real-time shared workspace where teams of users analyze the same charts together.</w:t>
      </w:r>
    </w:p>
    <w:p>
      <w:pPr>
        <w:spacing w:before="60" w:after="60"/>
      </w:pPr>
      <w:r>
        <w:t xml:space="preserve"/>
      </w:r>
    </w:p>
    <w:p>
      <w:pPr>
        <w:spacing w:before="80" w:after="80" w:line="280"/>
      </w:pPr>
      <w:r>
        <w:rPr>
          <w:rFonts w:ascii="Arial" w:cs="Arial" w:eastAsia="Arial" w:hAnsi="Arial"/>
          <w:color w:val="333333"/>
          <w:sz w:val="20"/>
          <w:szCs w:val="20"/>
        </w:rPr>
        <w:t xml:space="preserve">Two or more users can share a live trading terminal session, annotate the same chart in real time (like Google Docs for charts), share watchlists, and discuss trade ideas in an embedded chat. This replicates the 'trading desk' experience of prop firms, where traders constantly share ideas. Ideal for investment clubs and trading study groups.</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F27. AI-Generated Weekly Market Outlook Report</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Publication-quality weekly analysis report, personalized to the user's portfolio.</w:t>
      </w:r>
    </w:p>
    <w:p>
      <w:pPr>
        <w:spacing w:before="60" w:after="60"/>
      </w:pPr>
      <w:r>
        <w:t xml:space="preserve"/>
      </w:r>
    </w:p>
    <w:p>
      <w:pPr>
        <w:spacing w:before="80" w:after="80" w:line="280"/>
      </w:pPr>
      <w:r>
        <w:rPr>
          <w:rFonts w:ascii="Arial" w:cs="Arial" w:eastAsia="Arial" w:hAnsi="Arial"/>
          <w:color w:val="333333"/>
          <w:sz w:val="20"/>
          <w:szCs w:val="20"/>
        </w:rPr>
        <w:t xml:space="preserve">Every Sunday morning, the AI generates a personalized 1,500-word Weekly Market Outlook report covering: global macro recap (what moved markets last week and why), Nifty 50 technical analysis for the coming week, sector rotation analysis, key macro events for the week ahead, specific stocks on the AI agent's radar, and a portfolio health summary. Formatted as a beautifully styled PDF that users can share.</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F28. Gamified Progress System — Trader Certification Program</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Structured progression from beginner to expert with verifiable achievement badges.</w:t>
      </w:r>
    </w:p>
    <w:p>
      <w:pPr>
        <w:spacing w:before="60" w:after="60"/>
      </w:pPr>
      <w:r>
        <w:t xml:space="preserve"/>
      </w:r>
    </w:p>
    <w:p>
      <w:pPr>
        <w:spacing w:before="80" w:after="80" w:line="280"/>
      </w:pPr>
      <w:r>
        <w:rPr>
          <w:rFonts w:ascii="Arial" w:cs="Arial" w:eastAsia="Arial" w:hAnsi="Arial"/>
          <w:color w:val="333333"/>
          <w:sz w:val="20"/>
          <w:szCs w:val="20"/>
        </w:rPr>
        <w:t xml:space="preserve">Users advance through 7 certification levels by demonstrating specific skills in paper trading, not just by taking quizzes. Each level requires measurable performance milestones.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18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Title</w:t>
            </w:r>
          </w:p>
        </w:tc>
        <w:tc>
          <w:tcPr>
            <w:tcW w:type="dxa" w:w="66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Requirement to Advance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Market Observer</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Complete onboarding, execute 5 paper trades of any type</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2</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Trend Follower</w:t>
            </w:r>
          </w:p>
        </w:tc>
        <w:tc>
          <w:tcPr>
            <w:tcW w:type="dxa" w:w="66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Execute 20 trades using EMA strategy; maintain &gt; 45% win rate over 30 days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Risk Manager</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Maintain max drawdown &lt; 5% for 60 consecutive days; use stop-loss on 100% of trades</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4</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Options Practitioner</w:t>
            </w:r>
          </w:p>
        </w:tc>
        <w:tc>
          <w:tcPr>
            <w:tcW w:type="dxa" w:w="66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Execute 10 options strategies with defined risk; complete options Greeks module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Systematic Trader</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Run AI agent for 90 days; portfolio Sharpe Ratio &gt; 0.8</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6</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Quant Strategist</w:t>
            </w:r>
          </w:p>
        </w:tc>
        <w:tc>
          <w:tcPr>
            <w:tcW w:type="dxa" w:w="66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Build and backtest a custom strategy with &gt; 60% out-of-sample win rate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Level 7</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Master Trader</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Maintain consistent positive returns for 12 months with &lt; 8% drawdown</w:t>
            </w:r>
          </w:p>
        </w:tc>
      </w:tr>
    </w:tbl>
    <w:p>
      <w:pPr>
        <w:spacing w:before="60" w:after="60"/>
      </w:pPr>
      <w:r>
        <w:t xml:space="preserve"/>
      </w:r>
    </w:p>
    <w:p>
      <w:pPr>
        <w:pStyle w:val="Heading2"/>
        <w:spacing w:before="320" w:after="120"/>
      </w:pPr>
      <w:r>
        <w:rPr>
          <w:rFonts w:ascii="Arial" w:cs="Arial" w:eastAsia="Arial" w:hAnsi="Arial"/>
          <w:b/>
          <w:bCs/>
          <w:color w:val="2E6DA4"/>
          <w:sz w:val="25"/>
          <w:szCs w:val="25"/>
        </w:rPr>
        <w:t xml:space="preserve">F29. Decentralized Strategy Marketplace</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Users can publish verified strategies and receive micro-revenue when others use them.</w:t>
      </w:r>
    </w:p>
    <w:p>
      <w:pPr>
        <w:spacing w:before="60" w:after="60"/>
      </w:pPr>
      <w:r>
        <w:t xml:space="preserve"/>
      </w:r>
    </w:p>
    <w:p>
      <w:pPr>
        <w:spacing w:before="80" w:after="80" w:line="280"/>
      </w:pPr>
      <w:r>
        <w:rPr>
          <w:rFonts w:ascii="Arial" w:cs="Arial" w:eastAsia="Arial" w:hAnsi="Arial"/>
          <w:color w:val="333333"/>
          <w:sz w:val="20"/>
          <w:szCs w:val="20"/>
        </w:rPr>
        <w:t xml:space="preserve">Top-performing strategy creators (Level 6+) can publish their strategy configurations to the marketplace. Other users can subscribe to auto-run these strategies in their own paper trading account for ₹49–₹199/month. Strategy creators earn 60% of subscription revenue. All strategies are verified with a minimum 6-month live paper trading track record before listing. Metrics (Sharpe, drawdown, win rate) are transparently displayed and computed by the platform — creators cannot manipulate them.</w:t>
      </w:r>
    </w:p>
    <w:p>
      <w:pPr>
        <w:spacing w:before="60" w:after="60"/>
      </w:pPr>
      <w:r>
        <w:t xml:space="preserve"/>
      </w:r>
    </w:p>
    <w:p>
      <w:pPr>
        <w:pStyle w:val="Heading2"/>
        <w:spacing w:before="320" w:after="120"/>
      </w:pPr>
      <w:r>
        <w:rPr>
          <w:rFonts w:ascii="Arial" w:cs="Arial" w:eastAsia="Arial" w:hAnsi="Arial"/>
          <w:b/>
          <w:bCs/>
          <w:color w:val="2E6DA4"/>
          <w:sz w:val="25"/>
          <w:szCs w:val="25"/>
        </w:rPr>
        <w:t xml:space="preserve">F30. Legacy Mode — Simulate Real India Stock Market History</w:t>
      </w:r>
    </w:p>
    <w:p>
      <w:pPr>
        <w:shd w:fill="EDE7F6" w:val="clear"/>
        <w:spacing w:before="120" w:after="120"/>
      </w:pPr>
      <w:r>
        <w:rPr>
          <w:rFonts w:ascii="Arial" w:cs="Arial" w:eastAsia="Arial" w:hAnsi="Arial"/>
          <w:b/>
          <w:bCs/>
          <w:color w:val="4A148C"/>
          <w:sz w:val="19"/>
          <w:szCs w:val="19"/>
        </w:rPr>
        <w:t xml:space="preserve">  NEW FEATURE  </w:t>
      </w:r>
      <w:r>
        <w:rPr>
          <w:rFonts w:ascii="Arial" w:cs="Arial" w:eastAsia="Arial" w:hAnsi="Arial"/>
          <w:color w:val="333333"/>
          <w:sz w:val="19"/>
          <w:szCs w:val="19"/>
        </w:rPr>
        <w:t xml:space="preserve"> — Users experience the emotional reality of historic market events firsthand.</w:t>
      </w:r>
    </w:p>
    <w:p>
      <w:pPr>
        <w:spacing w:before="60" w:after="60"/>
      </w:pPr>
      <w:r>
        <w:t xml:space="preserve"/>
      </w:r>
    </w:p>
    <w:p>
      <w:pPr>
        <w:spacing w:before="80" w:after="80" w:line="280"/>
      </w:pPr>
      <w:r>
        <w:rPr>
          <w:rFonts w:ascii="Arial" w:cs="Arial" w:eastAsia="Arial" w:hAnsi="Arial"/>
          <w:color w:val="333333"/>
          <w:sz w:val="20"/>
          <w:szCs w:val="20"/>
        </w:rPr>
        <w:t xml:space="preserve">Instead of just displaying historical data passively, Legacy Mode lets users LIVE through historical market events in real time — simulated at 10x speed. Start trading with ₹10 lakhs on January 1, 2008, and experience the bull market, then the Lehman Brothers shock, the 65% crash, the 2009 recovery. Or start on March 1, 2020 and trade through COVID.</w:t>
      </w:r>
    </w:p>
    <w:p>
      <w:pPr>
        <w:pStyle w:val="ListParagraph"/>
        <w:numPr>
          <w:ilvl w:val="0"/>
          <w:numId w:val="2"/>
        </w:numPr>
        <w:spacing w:before="60" w:after="60" w:line="270"/>
      </w:pPr>
      <w:r>
        <w:rPr>
          <w:rFonts w:ascii="Arial" w:cs="Arial" w:eastAsia="Arial" w:hAnsi="Arial"/>
          <w:b/>
          <w:bCs/>
          <w:color w:val="1A3C6E"/>
          <w:sz w:val="20"/>
          <w:szCs w:val="20"/>
        </w:rPr>
        <w:t xml:space="preserve">Authentic news feed: </w:t>
      </w:r>
      <w:r>
        <w:rPr>
          <w:rFonts w:ascii="Arial" w:cs="Arial" w:eastAsia="Arial" w:hAnsi="Arial"/>
          <w:color w:val="333333"/>
          <w:sz w:val="20"/>
          <w:szCs w:val="20"/>
        </w:rPr>
        <w:t xml:space="preserve">Historical news headlines are replayed in chronological order so users don't know what's coming next. No hindsight knowledge.</w:t>
      </w:r>
    </w:p>
    <w:p>
      <w:pPr>
        <w:pStyle w:val="ListParagraph"/>
        <w:numPr>
          <w:ilvl w:val="0"/>
          <w:numId w:val="2"/>
        </w:numPr>
        <w:spacing w:before="60" w:after="60" w:line="270"/>
      </w:pPr>
      <w:r>
        <w:rPr>
          <w:rFonts w:ascii="Arial" w:cs="Arial" w:eastAsia="Arial" w:hAnsi="Arial"/>
          <w:b/>
          <w:bCs/>
          <w:color w:val="1A3C6E"/>
          <w:sz w:val="20"/>
          <w:szCs w:val="20"/>
        </w:rPr>
        <w:t xml:space="preserve">Emotional simulation: </w:t>
      </w:r>
      <w:r>
        <w:rPr>
          <w:rFonts w:ascii="Arial" w:cs="Arial" w:eastAsia="Arial" w:hAnsi="Arial"/>
          <w:color w:val="333333"/>
          <w:sz w:val="20"/>
          <w:szCs w:val="20"/>
        </w:rPr>
        <w:t xml:space="preserve">Users must commit to positions that are subsequently hit by real historical events. This teaches emotional resilience and the value of stop-losses in a visceral, unforgettable way.</w:t>
      </w:r>
    </w:p>
    <w:p>
      <w:pPr>
        <w:pStyle w:val="ListParagraph"/>
        <w:numPr>
          <w:ilvl w:val="0"/>
          <w:numId w:val="2"/>
        </w:numPr>
        <w:spacing w:before="60" w:after="60" w:line="270"/>
      </w:pPr>
      <w:r>
        <w:rPr>
          <w:rFonts w:ascii="Arial" w:cs="Arial" w:eastAsia="Arial" w:hAnsi="Arial"/>
          <w:b/>
          <w:bCs/>
          <w:color w:val="1A3C6E"/>
          <w:sz w:val="20"/>
          <w:szCs w:val="20"/>
        </w:rPr>
        <w:t xml:space="preserve">Outcome comparison: </w:t>
      </w:r>
      <w:r>
        <w:rPr>
          <w:rFonts w:ascii="Arial" w:cs="Arial" w:eastAsia="Arial" w:hAnsi="Arial"/>
          <w:color w:val="333333"/>
          <w:sz w:val="20"/>
          <w:szCs w:val="20"/>
        </w:rPr>
        <w:t xml:space="preserve">After completing a historical period, compare your virtual performance against: buy-and-hold Nifty, the AI agent running the same period, and the top 10% of other users who did the same simulation.</w:t>
      </w:r>
    </w:p>
    <w:p>
      <w:pPr>
        <w:spacing w:before="60" w:after="60"/>
      </w:pPr>
      <w:r>
        <w:t xml:space="preserve"/>
      </w:r>
    </w:p>
    <w:p>
      <w:r>
        <w:br w:type="page"/>
      </w:r>
    </w:p>
    <w:p>
      <w:pPr>
        <w:pStyle w:val="Heading1"/>
        <w:pBdr>
          <w:bottom w:val="single" w:color="E8A020" w:sz="8" w:space="6"/>
        </w:pBdr>
        <w:spacing w:before="480" w:after="200"/>
      </w:pPr>
      <w:r>
        <w:rPr>
          <w:rFonts w:ascii="Arial" w:cs="Arial" w:eastAsia="Arial" w:hAnsi="Arial"/>
          <w:b/>
          <w:bCs/>
          <w:color w:val="1A3C6E"/>
          <w:sz w:val="30"/>
          <w:szCs w:val="30"/>
        </w:rPr>
        <w:t xml:space="preserve">G. Feature Priority &amp; Implementation Matrix</w:t>
      </w:r>
    </w:p>
    <w:p>
      <w:pPr>
        <w:spacing w:before="60" w:after="60"/>
      </w:pPr>
      <w:r>
        <w:t xml:space="preserve"/>
      </w:r>
    </w:p>
    <w:p>
      <w:pPr>
        <w:spacing w:before="80" w:after="80" w:line="280"/>
      </w:pPr>
      <w:r>
        <w:rPr>
          <w:rFonts w:ascii="Arial" w:cs="Arial" w:eastAsia="Arial" w:hAnsi="Arial"/>
          <w:color w:val="333333"/>
          <w:sz w:val="20"/>
          <w:szCs w:val="20"/>
        </w:rPr>
        <w:t xml:space="preserve">The following matrix consolidates all 30 new features plus the 20-year strategist bot enhancements into an actionable implementation roadmap.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000"/>
        <w:gridCol w:w="1900"/>
        <w:gridCol w:w="960"/>
      </w:tblGrid>
      <w:tr>
        <w:tc>
          <w:tcPr>
            <w:tcW w:type="dxa" w:w="26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Feature</w:t>
            </w:r>
          </w:p>
        </w:tc>
        <w:tc>
          <w:tcPr>
            <w:tcW w:type="dxa" w:w="19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10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Priority</w:t>
            </w:r>
          </w:p>
        </w:tc>
        <w:tc>
          <w:tcPr>
            <w:tcW w:type="dxa" w:w="190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Dev Complexity</w:t>
            </w:r>
          </w:p>
        </w:tc>
        <w:tc>
          <w:tcPr>
            <w:tcW w:type="dxa" w:w="960"/>
            <w:tcBorders>
              <w:top w:val="single" w:color="CCCCCC" w:sz="1"/>
              <w:left w:val="single" w:color="CCCCCC" w:sz="1"/>
              <w:bottom w:val="single" w:color="CCCCCC" w:sz="1"/>
              <w:right w:val="single" w:color="CCCCCC" w:sz="1"/>
            </w:tcBorders>
            <w:shd w:fill="1A3C6E" w:val="clear"/>
            <w:tcMar>
              <w:top w:type="dxa" w:w="90"/>
              <w:left w:type="dxa" w:w="130"/>
              <w:bottom w:type="dxa" w:w="90"/>
              <w:right w:type="dxa" w:w="130"/>
            </w:tcMar>
          </w:tcPr>
          <w:p>
            <w:r>
              <w:rPr>
                <w:rFonts w:ascii="Arial" w:cs="Arial" w:eastAsia="Arial" w:hAnsi="Arial"/>
                <w:b/>
                <w:bCs/>
                <w:color w:val="FFFFFF"/>
                <w:sz w:val="19"/>
                <w:szCs w:val="19"/>
              </w:rPr>
              <w:t xml:space="preserve">Phase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 Dark Pool / Block Deal Scanner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Market Intelligence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(NSE public CSV)</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 Promoter Pledge Detector</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Market Intelligence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(exchange filings)</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F3: Anchor Investor Expiry Calendar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Market Intelligence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(IPO date math)</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F4: Mutual Fund Overlap Analyzer</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Market Intelligence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(AMFI data)</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F5: Black Swan Stress Test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Risk Management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P0 Critical</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(scenario modeling)</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2</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F6: Correlation Risk Monitor</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Risk Management</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P0 Critical</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(rolling correlation)</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F7: Drawdown DNA Analysis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Risk Management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(classification logic)</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F8: Dynamic Hedge Engine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Risk Management</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(options math)</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F9: Real-Time Slippage Simulator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Risk Management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(market impact model)</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F10: Trade Autopsy Module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Analytics/Learning</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(structured review)</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F11: Options Greeks Simulator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Analytics/Learning</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(interactive 3D viz)</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F12: Behavioral Finance Dashboard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Analytics/Learning</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(behavioral metrics)</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F13: Competition Simulation Mode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Analytics/Learning</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(multi-user scoring)</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5</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F14: Voice Trade Briefing</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Analytics/Learning</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P3 Low</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(Web Speech API)</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5</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F15: Insider Trading Monitor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Institutional Data</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(SEBI public filings)</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F16: FX Sensitivity Map</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Institutional Data</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(static + FX feed)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F17: Nifty 50 Rebalance Predictor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Institutional Data</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(statistical model)</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F18: F&amp;O Ban List Monitor</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Institutional Data</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P0 Critical</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(NSE daily CSV)</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F19: Adaptive Strategy Engine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(walk-forward logic)</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F20: Natural Language Strategy Builder</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(Claude API)</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F21: Multi-Account Simulation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(DB partitioning)</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F22: Economic Calendar + Impact</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(historical tagging)</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F23: Shadow Book</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(background tracking)</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F24: Nifty 500 Factor Scanner</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(nightly batch job)</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F25: Pre-IPO GMP Tracker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AI/Personalization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P3 Low</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Low (web scraping)</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5</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F26: Collaborative War Room</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Platform Experience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(multi-user WebSocket)</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5</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F27: Weekly AI Market Report PDF</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Platform Experience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(Claude + PDF gen)</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F28: Gamified Certification</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Platform Experience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(rules engine)</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F29: Strategy Marketplace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Platform Experience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(payments, tracking)</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6</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F30: Legacy Mode — Historic Simulation</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Platform Experience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P2 Med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Very High (data + UX)</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6</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E2: Multi-Framework Decision Engine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AI Bot Core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P0 Critical</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(5 framework logic)</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2</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E3: Wyckoff Accumulation Detection</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AI Bot Core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Very High (VSA algorithm)</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E4: Order Flow Imbalance (OFI)</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AI Bot Core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High (L2 data + math)</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E5: Earnings Quality Score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AI Bot Core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P1 High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Medium (fundamental metrics)</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333333"/>
                <w:sz w:val="19"/>
                <w:szCs w:val="19"/>
              </w:rPr>
              <w:t xml:space="preserve">Phase 3</w:t>
            </w:r>
          </w:p>
        </w:tc>
      </w:tr>
    </w:tbl>
    <w:p>
      <w:pPr>
        <w:spacing w:before="60" w:after="60"/>
      </w:pPr>
      <w:r>
        <w:t xml:space="preserve"/>
      </w:r>
    </w:p>
    <w:p>
      <w:r>
        <w:br w:type="page"/>
      </w:r>
    </w:p>
    <w:p>
      <w:pPr>
        <w:shd w:fill="1A3C6E" w:val="clear"/>
        <w:spacing w:before="160" w:after="160"/>
        <w:jc w:val="center"/>
      </w:pPr>
      <w:r>
        <w:rPr>
          <w:rFonts w:ascii="Arial" w:cs="Arial" w:eastAsia="Arial" w:hAnsi="Arial"/>
          <w:b/>
          <w:bCs/>
          <w:color w:val="FFFFFF"/>
          <w:sz w:val="22"/>
          <w:szCs w:val="22"/>
        </w:rPr>
        <w:t xml:space="preserve">CLOSING NOTE FOR THE DEVELOPMENT TEAM</w:t>
      </w:r>
    </w:p>
    <w:p>
      <w:pPr>
        <w:spacing w:before="60" w:after="60"/>
      </w:pPr>
      <w:r>
        <w:t xml:space="preserve"/>
      </w:r>
    </w:p>
    <w:p>
      <w:pPr>
        <w:spacing w:before="80" w:after="80" w:line="280"/>
      </w:pPr>
      <w:r>
        <w:rPr>
          <w:rFonts w:ascii="Arial" w:cs="Arial" w:eastAsia="Arial" w:hAnsi="Arial"/>
          <w:color w:val="333333"/>
          <w:sz w:val="20"/>
          <w:szCs w:val="20"/>
        </w:rPr>
        <w:t xml:space="preserve">The bottlenecks documented in Part 1 are not theoretical — they are actively hitting developers on the Breeze Python SDK GitHub Issues page today. Budget engineering time proportional to their severity: Breeze session automation alone can consume 2 full sprints to build robustly.</w:t>
      </w:r>
    </w:p>
    <w:p>
      <w:pPr>
        <w:spacing w:before="60" w:after="60"/>
      </w:pPr>
      <w:r>
        <w:t xml:space="preserve"/>
      </w:r>
    </w:p>
    <w:p>
      <w:pPr>
        <w:spacing w:before="80" w:after="80" w:line="280"/>
      </w:pPr>
      <w:r>
        <w:rPr>
          <w:rFonts w:ascii="Arial" w:cs="Arial" w:eastAsia="Arial" w:hAnsi="Arial"/>
          <w:color w:val="333333"/>
          <w:sz w:val="20"/>
          <w:szCs w:val="20"/>
        </w:rPr>
        <w:t xml:space="preserve">The features in Part 2 are sequenced so that the first three phases deliver a complete, genuinely useful product. Phases 4–6 add the features that transform ZeroLoss AI from a great product into a category-defining platform. No feature in this list requires paid third-party data — every one is achievable with NSE public data, the Breeze API, and the free supplementary sources already identified in the original PRD.</w:t>
      </w:r>
    </w:p>
    <w:p>
      <w:pPr>
        <w:spacing w:before="60" w:after="60"/>
      </w:pPr>
      <w:r>
        <w:t xml:space="preserve"/>
      </w:r>
    </w:p>
    <w:p>
      <w:pPr>
        <w:spacing w:before="80" w:after="80" w:line="280"/>
      </w:pPr>
      <w:r>
        <w:rPr>
          <w:rFonts w:ascii="Arial" w:cs="Arial" w:eastAsia="Arial" w:hAnsi="Arial"/>
          <w:color w:val="333333"/>
          <w:sz w:val="20"/>
          <w:szCs w:val="20"/>
        </w:rPr>
        <w:t xml:space="preserve">The 20-year veteran AI bot is not a gimmick. Its edge comes from the 20 rigorously defined strategies (S01–S20), the 5-framework decision engine, and the behavioral guardrails that prevent the errors that cost retail traders money. The bot's persona should be communicated to users not as 'AI magic' but as 'systematic discipline' — because that is exactly what it is.</w:t>
      </w:r>
    </w:p>
    <w:p>
      <w:pPr>
        <w:spacing w:before="60" w:after="60"/>
      </w:pPr>
      <w:r>
        <w:t xml:space="preserve"/>
      </w:r>
    </w:p>
    <w:p>
      <w:pPr>
        <w:pBdr>
          <w:top w:val="single" w:color="1A3C6E" w:sz="6"/>
        </w:pBdr>
        <w:spacing w:before="400" w:after="0"/>
        <w:jc w:val="center"/>
      </w:pPr>
      <w:r>
        <w:rPr>
          <w:rFonts w:ascii="Arial" w:cs="Arial" w:eastAsia="Arial" w:hAnsi="Arial"/>
          <w:color w:val="888888"/>
          <w:sz w:val="18"/>
          <w:szCs w:val="18"/>
        </w:rPr>
        <w:t xml:space="preserve">ZeroLoss AI — PRD Addendum v2.0 | Developer Bottlenecks + World-Class Feature Expansion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6E"/>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2E6DA4"/>
      <w:sz w:val="25"/>
      <w:szCs w:val="25"/>
    </w:rPr>
  </w:style>
  <w:style w:type="paragraph" w:styleId="Heading3">
    <w:name w:val="Heading 3"/>
    <w:basedOn w:val="Normal"/>
    <w:next w:val="Normal"/>
    <w:qFormat/>
    <w:pPr>
      <w:spacing w:before="220" w:after="80"/>
      <w:outlineLvl w:val="2"/>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2026-02-25T17:56:36.513Z</dcterms:created>
  <dcterms:modified xsi:type="dcterms:W3CDTF">2026-02-25T17:56:36.514Z</dcterms:modified>
</cp:coreProperties>
</file>

<file path=docProps/custom.xml><?xml version="1.0" encoding="utf-8"?>
<Properties xmlns="http://schemas.openxmlformats.org/officeDocument/2006/custom-properties" xmlns:vt="http://schemas.openxmlformats.org/officeDocument/2006/docPropsVTypes"/>
</file>