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30 june 2025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LTVIP2025TMIID36226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intlegent health care assistant using IBM granite 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Model Performance Testing: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Project team shall fill the following information in model performance testing template.</w:t>
      </w:r>
    </w:p>
    <w:tbl>
      <w:tblPr>
        <w:jc w:val="left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6"/>
      </w:tblGrid>
      <w:tr>
        <w:trPr>
          <w:cantSplit/>
          <w:trHeight w:val="557"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S.No.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Parameter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Values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Screenshot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Model Summary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-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2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Accuracy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 xml:space="preserve">Training Accuracy - </w:t>
              <w:br/>
              <w:br/>
              <w:t>Validation Accuracy -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3.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color w:val="222222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Fine Tunning Result( if Done)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Validation Accuracy -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64</Words>
  <Characters>384</Characters>
  <Lines>35</Lines>
  <Paragraphs>24</Paragraphs>
  <CharactersWithSpaces>427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2025-06-27T03:55:25Z</dcterms:modified>
</cp:coreProperties>
</file>