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pPr>
      <w:r>
        <w:rPr>
          <w:color w:val="006400"/>
        </w:rPr>
        <w:t>DAKAR NATAANGUÉ</w:t>
      </w:r>
    </w:p>
    <w:p>
      <w:pPr>
        <w:jc w:val="center"/>
      </w:pPr>
      <w:r>
        <w:rPr>
          <w:i/>
          <w:color w:val="008000"/>
          <w:sz w:val="32"/>
        </w:rPr>
        <w:t>Reverdir Dakar — Ville Verte, Ville Durable</w:t>
      </w:r>
    </w:p>
    <w:p/>
    <w:p>
      <w:pPr>
        <w:jc w:val="center"/>
      </w:pPr>
      <w:r>
        <w:rPr>
          <w:sz w:val="28"/>
        </w:rPr>
        <w:t>Programme intégré de Reverdissement, Salubrité et Animation Communautaire</w:t>
      </w:r>
    </w:p>
    <w:p/>
    <w:p>
      <w:pPr>
        <w:jc w:val="center"/>
      </w:pPr>
      <w:r>
        <w:t>Ville de Dakar — Direction de la Planification et du Développement Durable</w:t>
      </w:r>
    </w:p>
    <w:p>
      <w:pPr>
        <w:jc w:val="center"/>
      </w:pPr>
      <w:r>
        <w:t>Plateforme DAK'CLIM — 102 Organisations membres</w:t>
      </w:r>
    </w:p>
    <w:p/>
    <w:p>
      <w:pPr>
        <w:jc w:val="center"/>
      </w:pPr>
      <w:r>
        <w:rPr>
          <w:b/>
          <w:sz w:val="28"/>
        </w:rPr>
        <w:t>Juin 2026</w:t>
      </w:r>
    </w:p>
    <w:p>
      <w:r>
        <w:br w:type="page"/>
      </w:r>
    </w:p>
    <w:p>
      <w:pPr>
        <w:pStyle w:val="Heading1"/>
      </w:pPr>
      <w:r>
        <w:t>TABLE DES MATIÈRES</w:t>
      </w:r>
    </w:p>
    <w:p>
      <w:r>
        <w:t>1. Introduction stratégique</w:t>
      </w:r>
    </w:p>
    <w:p>
      <w:r>
        <w:t>2. Objectifs du programme</w:t>
      </w:r>
    </w:p>
    <w:p>
      <w:r>
        <w:t>3. Zones prioritaires d'intervention</w:t>
      </w:r>
    </w:p>
    <w:p>
      <w:r>
        <w:t>4. LES TROIS COMPOSANTES DU PROGRAMME</w:t>
      </w:r>
    </w:p>
    <w:p>
      <w:r>
        <w:t xml:space="preserve">   4.1. COMPOSANTE PRINCIPALE : REVERDISSEMENT URBAIN — Dakar Nataangué</w:t>
      </w:r>
    </w:p>
    <w:p>
      <w:r>
        <w:t xml:space="preserve">   4.2. Composante Salubrité urbaine</w:t>
      </w:r>
    </w:p>
    <w:p>
      <w:r>
        <w:t xml:space="preserve">   4.3. Composante Animation communautaire et sensibilisation</w:t>
      </w:r>
    </w:p>
    <w:p>
      <w:r>
        <w:t>5. Programme opérationnel — 72 heures d'action</w:t>
      </w:r>
    </w:p>
    <w:p>
      <w:r>
        <w:t>6. Stratégie de mise en œuvre et gouvernance</w:t>
      </w:r>
    </w:p>
    <w:p>
      <w:r>
        <w:t>7. Parties prenantes</w:t>
      </w:r>
    </w:p>
    <w:p>
      <w:r>
        <w:t>8. Budget prévisionnel</w:t>
      </w:r>
    </w:p>
    <w:p>
      <w:r>
        <w:t>9. Mécanismes de pérennisation, suivi et évaluation</w:t>
      </w:r>
    </w:p>
    <w:p>
      <w:r>
        <w:t>10. Indicateurs de performance</w:t>
      </w:r>
    </w:p>
    <w:p>
      <w:r>
        <w:t>11. Conclusion</w:t>
      </w:r>
    </w:p>
    <w:p>
      <w:r>
        <w:br w:type="page"/>
      </w:r>
    </w:p>
    <w:p>
      <w:pPr>
        <w:pStyle w:val="Heading1"/>
      </w:pPr>
      <w:r>
        <w:t>1. INTRODUCTION STRATÉGIQUE</w:t>
      </w:r>
    </w:p>
    <w:p>
      <w:r>
        <w:t>Dakar, capitale économique du Sénégal et principal pôle urbain du pays, fait face à une pression environnementale croissante liée à l'urbanisation rapide, à la forte densité démographique et à l'intensification des activités économiques. La ville génère aujourd'hui environ 2 500 à 3 000 tonnes de déchets solides par jour, soit près d'un million de tonnes par an. Cette situation s'accompagne d'un déficit structurel d'espaces verts, d'une forte minéralisation des surfaces urbaines et d'une vulnérabilité accrue aux îlots de chaleur.</w:t>
      </w:r>
    </w:p>
    <w:p>
      <w:r>
        <w:t>Dans ce contexte, la Ville de Dakar, à travers la Direction de la Planification et du Développement Durable, en partenariat avec la plateforme DAK'CLIM et ses 102 organisations membres, lance le programme « DAKAR NATAANGUÉ » — littéralement « Reverdir Dakar » en wolof. Ce programme intégré d'action climatique urbaine s'articule autour de trois composantes complémentaires : le reverdissement urbain (composante principale), la salubrité urbaine et l'animation communautaire.</w:t>
      </w:r>
    </w:p>
    <w:p>
      <w:r>
        <w:t>Le programme s'inscrit dans la dynamique de mise en œuvre du Plan Climat Territorial de la Ville de Dakar et en parfaite adéquation avec les engagements de la Convention des Maires pour l'Afrique Subsaharienne (CoM SSA). Il constitue également une contribution majeure à la préparation des Jeux Olympiques de la Jeunesse (JOJ) 2026 que Dakar abritera, en positionnant la capitale comme une métropole verte et résiliente.</w:t>
      </w:r>
    </w:p>
    <w:p>
      <w:r>
        <w:t>L'objectif est triple : produire un impact environnemental immédiat sur le couvert végétal et la salubrité urbaine ; installer une dynamique durable de gouvernance environnementale participative ; et mobiliser l'ensemble des acteurs territoriaux autour d'une vision commune — faire de Dakar une ville verte, propre et citoyenne.</w:t>
      </w:r>
    </w:p>
    <w:p>
      <w:r>
        <w:br w:type="page"/>
      </w:r>
    </w:p>
    <w:p>
      <w:pPr>
        <w:pStyle w:val="Heading1"/>
      </w:pPr>
      <w:r>
        <w:t>2. OBJECTIFS DU PROGRAMME</w:t>
      </w:r>
    </w:p>
    <w:p>
      <w:pPr>
        <w:pStyle w:val="Heading2"/>
      </w:pPr>
      <w:r>
        <w:t>Objectif général</w:t>
      </w:r>
    </w:p>
    <w:p>
      <w:r>
        <w:t>Transformer durablement le cadre de vie urbain à Dakar à travers un programme massif de reverdissement, soutenu par des actions de salubrité et de mobilisation citoyenne.</w:t>
      </w:r>
    </w:p>
    <w:p>
      <w:pPr>
        <w:pStyle w:val="Heading2"/>
      </w:pPr>
      <w:r>
        <w:t>Objectifs spécifiques</w:t>
      </w:r>
    </w:p>
    <w:p>
      <w:pPr>
        <w:pStyle w:val="ListBullet"/>
      </w:pPr>
      <w:r>
        <w:t>Renforcer massivement le couvert végétal urbain par la plantation de 30 000 arbres (10 000 arbres d'ombrage sur les artères et 20 000 arbres fruitiers dans les quartiers)</w:t>
      </w:r>
    </w:p>
    <w:p>
      <w:pPr>
        <w:pStyle w:val="ListBullet"/>
      </w:pPr>
      <w:r>
        <w:t>Assainir les principaux marchés, plages et artères stratégiques de Dakar</w:t>
      </w:r>
    </w:p>
    <w:p>
      <w:pPr>
        <w:pStyle w:val="ListBullet"/>
      </w:pPr>
      <w:r>
        <w:t>Sensibiliser 100 000 citoyens aux enjeux climatiques et environnementaux</w:t>
      </w:r>
    </w:p>
    <w:p>
      <w:pPr>
        <w:pStyle w:val="ListBullet"/>
      </w:pPr>
      <w:r>
        <w:t>Mobiliser durablement les 102 organisations membres de DAK'CLIM et les organisations communautaires</w:t>
      </w:r>
    </w:p>
    <w:p>
      <w:pPr>
        <w:pStyle w:val="ListBullet"/>
      </w:pPr>
      <w:r>
        <w:t>Mettre en place un mécanisme pérenne de suivi et d'entretien des actions environnementales</w:t>
      </w:r>
    </w:p>
    <w:p>
      <w:pPr>
        <w:pStyle w:val="ListBullet"/>
      </w:pPr>
      <w:r>
        <w:t>Positionner Dakar comme métropole africaine de référence en matière de transition écologique, en perspective des JOJ 2026</w:t>
      </w:r>
    </w:p>
    <w:p>
      <w:r>
        <w:br w:type="page"/>
      </w:r>
    </w:p>
    <w:p>
      <w:pPr>
        <w:pStyle w:val="Heading1"/>
      </w:pPr>
      <w:r>
        <w:t>3. ZONES PRIORITAIRES D'INTERVENTION</w:t>
      </w:r>
    </w:p>
    <w:p>
      <w:r>
        <w:t>Les zones ont été identifiées selon leur densité, leur production de déchets, leur potentiel de verdissement et leur importance urbaine.</w:t>
      </w:r>
    </w:p>
    <w:tbl>
      <w:tblPr>
        <w:tblStyle w:val="LightGrid-Accent1"/>
        <w:tblW w:type="auto" w:w="0"/>
        <w:tblLook w:firstColumn="1" w:firstRow="1" w:lastColumn="0" w:lastRow="0" w:noHBand="0" w:noVBand="1" w:val="04A0"/>
      </w:tblPr>
      <w:tblGrid>
        <w:gridCol w:w="4320"/>
        <w:gridCol w:w="4320"/>
      </w:tblGrid>
      <w:tr>
        <w:tc>
          <w:tcPr>
            <w:tcW w:type="dxa" w:w="4320"/>
          </w:tcPr>
          <w:p>
            <w:r>
              <w:t>Type de zone</w:t>
            </w:r>
          </w:p>
        </w:tc>
        <w:tc>
          <w:tcPr>
            <w:tcW w:type="dxa" w:w="4320"/>
          </w:tcPr>
          <w:p>
            <w:r>
              <w:t>Sites identifiés</w:t>
            </w:r>
          </w:p>
        </w:tc>
      </w:tr>
      <w:tr>
        <w:tc>
          <w:tcPr>
            <w:tcW w:type="dxa" w:w="4320"/>
          </w:tcPr>
          <w:p>
            <w:r>
              <w:t>Marchés</w:t>
            </w:r>
          </w:p>
        </w:tc>
        <w:tc>
          <w:tcPr>
            <w:tcW w:type="dxa" w:w="4320"/>
          </w:tcPr>
          <w:p>
            <w:r>
              <w:t>Sandaga, Tilène, Castors, Soumbédioune, Gueule Tapée</w:t>
            </w:r>
          </w:p>
        </w:tc>
      </w:tr>
      <w:tr>
        <w:tc>
          <w:tcPr>
            <w:tcW w:type="dxa" w:w="4320"/>
          </w:tcPr>
          <w:p>
            <w:r>
              <w:t>Artères principales</w:t>
            </w:r>
          </w:p>
        </w:tc>
        <w:tc>
          <w:tcPr>
            <w:tcW w:type="dxa" w:w="4320"/>
          </w:tcPr>
          <w:p>
            <w:r>
              <w:t>VDN, Boulevard de la Gueule Tapée, Rond-Point Liberté 6</w:t>
            </w:r>
          </w:p>
        </w:tc>
      </w:tr>
      <w:tr>
        <w:tc>
          <w:tcPr>
            <w:tcW w:type="dxa" w:w="4320"/>
          </w:tcPr>
          <w:p>
            <w:r>
              <w:t>Quartiers</w:t>
            </w:r>
          </w:p>
        </w:tc>
        <w:tc>
          <w:tcPr>
            <w:tcW w:type="dxa" w:w="4320"/>
          </w:tcPr>
          <w:p>
            <w:r>
              <w:t>Médina, Biscuiterie, Grand Yoff, Fann-Point E</w:t>
            </w:r>
          </w:p>
        </w:tc>
      </w:tr>
      <w:tr>
        <w:tc>
          <w:tcPr>
            <w:tcW w:type="dxa" w:w="4320"/>
          </w:tcPr>
          <w:p>
            <w:r>
              <w:t>Plages</w:t>
            </w:r>
          </w:p>
        </w:tc>
        <w:tc>
          <w:tcPr>
            <w:tcW w:type="dxa" w:w="4320"/>
          </w:tcPr>
          <w:p>
            <w:r>
              <w:t>Baie de Hann, Corniche Ouest</w:t>
            </w:r>
          </w:p>
        </w:tc>
      </w:tr>
    </w:tbl>
    <w:p>
      <w:r>
        <w:br w:type="page"/>
      </w:r>
    </w:p>
    <w:p>
      <w:pPr>
        <w:pStyle w:val="Heading1"/>
      </w:pPr>
      <w:r>
        <w:t>4. LES TROIS COMPOSANTES DU PROGRAMME</w:t>
      </w:r>
    </w:p>
    <w:p>
      <w:r>
        <w:t>Le programme Dakar Nataangué s'organise autour de trois composantes complémentaires. Le reverdissement urbain constitue la composante principale et structurante du programme, reflétée dans le nom même de l'initiative — « Nataangué » signifiant « reverdir » en wolof.</w:t>
      </w:r>
    </w:p>
    <w:p>
      <w:pPr>
        <w:pStyle w:val="Heading2"/>
      </w:pPr>
      <w:r>
        <w:t>4.1. COMPOSANTE PRINCIPALE : REVERDISSEMENT URBAIN — Dakar Nataangué</w:t>
      </w:r>
    </w:p>
    <w:p>
      <w:r>
        <w:rPr>
          <w:b/>
          <w:color w:val="006400"/>
        </w:rPr>
        <w:t xml:space="preserve">Le reverdissement est le cœur et la raison d'être du programme Dakar Nataangué. </w:t>
      </w:r>
      <w:r>
        <w:t>Face à la minéralisation croissante de Dakar et à la vulnérabilité aux îlots de chaleur, cette composante vise une transformation profonde et durable du paysage urbain dakarois par un programme ambitieux de plantation et de végétalisation.</w:t>
      </w:r>
    </w:p>
    <w:p>
      <w:pPr>
        <w:pStyle w:val="Heading3"/>
      </w:pPr>
      <w:r>
        <w:t>Programme de plantation</w:t>
      </w:r>
    </w:p>
    <w:p>
      <w:pPr>
        <w:pStyle w:val="ListBullet"/>
      </w:pPr>
      <w:r>
        <w:t>10 000 arbres d'ombrage le long des grandes artères (VDN, Boulevard Gueule Tapée, axes principaux)</w:t>
      </w:r>
    </w:p>
    <w:p>
      <w:pPr>
        <w:pStyle w:val="ListBullet"/>
      </w:pPr>
      <w:r>
        <w:t>20 000 arbres fruitiers dans les quartiers résidentiels et espaces publics</w:t>
      </w:r>
    </w:p>
    <w:p>
      <w:pPr>
        <w:pStyle w:val="ListBullet"/>
      </w:pPr>
      <w:r>
        <w:t>Végétalisation des espaces publics, cours d'école et places communales</w:t>
      </w:r>
    </w:p>
    <w:p>
      <w:pPr>
        <w:pStyle w:val="Heading3"/>
      </w:pPr>
      <w:r>
        <w:t>Espèces sélectionnées</w:t>
      </w:r>
    </w:p>
    <w:p>
      <w:r>
        <w:t>Les espèces ont été choisies en concertation avec la Direction des Eaux et Forêts pour leur adaptation au climat sahélien :</w:t>
      </w:r>
    </w:p>
    <w:p>
      <w:pPr>
        <w:pStyle w:val="ListBullet"/>
      </w:pPr>
      <w:r>
        <w:rPr>
          <w:b/>
        </w:rPr>
        <w:t xml:space="preserve">Arbres d'ombrage : </w:t>
      </w:r>
      <w:r>
        <w:t>Neem (Azadirachta indica), Flamboyant (Delonix regia)</w:t>
      </w:r>
    </w:p>
    <w:p>
      <w:pPr>
        <w:pStyle w:val="ListBullet"/>
      </w:pPr>
      <w:r>
        <w:rPr>
          <w:b/>
        </w:rPr>
        <w:t xml:space="preserve">Arbres fruitiers : </w:t>
      </w:r>
      <w:r>
        <w:t>Manguiers, Papayers, Goyaviers</w:t>
      </w:r>
    </w:p>
    <w:p>
      <w:pPr>
        <w:pStyle w:val="Heading3"/>
      </w:pPr>
      <w:r>
        <w:t>Système de parrainage communautaire des arbres</w:t>
      </w:r>
    </w:p>
    <w:p>
      <w:r>
        <w:t>Chaque arbre planté sera parrainé par un habitant, une association, une école ou une organisation communautaire. Ce mécanisme innovant vise à renforcer l'appropriation locale et à garantir l'entretien régulier des plants (arrosage, surveillance, protection). Les parrains et marraines seront identifiés et enregistrés sur la plateforme numérique DAKCLIM.</w:t>
      </w:r>
    </w:p>
    <w:p>
      <w:pPr>
        <w:pStyle w:val="Heading3"/>
      </w:pPr>
      <w:r>
        <w:t>Micro-bourses « Projets Verts » pour les écoles</w:t>
      </w:r>
    </w:p>
    <w:p>
      <w:r>
        <w:t>Un fonds de 6 000 000 FCFA sera alloué pour soutenir 19 projets d'écoles (jardins potagers, espaces verts scolaires, pépinières pédagogiques). Ces micro-bourses permettront d'ancrer la culture du verdissement dès le plus jeune âge et de faire de chaque école un relais vert.</w:t>
      </w:r>
    </w:p>
    <w:p>
      <w:pPr>
        <w:pStyle w:val="Heading3"/>
      </w:pPr>
      <w:r>
        <w:t>Trophée Dakar Nataangué</w:t>
      </w:r>
    </w:p>
    <w:p>
      <w:r>
        <w:t>Un concours inter-écoles et inter-communes de 6 mois sera lancé : chaque entité devra créer un espace vert ou démontrer un impact mesurable sur le verdissement de son territoire. Les prix décernés seront : le Prix de la commune la plus verte et le Prix du quartier le plus vert.</w:t>
      </w:r>
    </w:p>
    <w:p>
      <w:pPr>
        <w:pStyle w:val="Heading3"/>
      </w:pPr>
      <w:r>
        <w:t>Résultats attendus — Reverdissement</w:t>
      </w:r>
    </w:p>
    <w:p>
      <w:pPr>
        <w:pStyle w:val="ListBullet"/>
      </w:pPr>
      <w:r>
        <w:t>30 000 arbres plantés (10 000 ombrage + 20 000 fruitiers)</w:t>
      </w:r>
    </w:p>
    <w:p>
      <w:pPr>
        <w:pStyle w:val="ListBullet"/>
      </w:pPr>
      <w:r>
        <w:t>Taux de survie cible : 80% à 12 mois grâce au parrainage</w:t>
      </w:r>
    </w:p>
    <w:p>
      <w:pPr>
        <w:pStyle w:val="ListBullet"/>
      </w:pPr>
      <w:r>
        <w:t>19 projets verts scolaires financés</w:t>
      </w:r>
    </w:p>
    <w:p>
      <w:pPr>
        <w:pStyle w:val="ListBullet"/>
      </w:pPr>
      <w:r>
        <w:t>Réduction mesurable des îlots de chaleur dans les zones traitées</w:t>
      </w:r>
    </w:p>
    <w:p>
      <w:r>
        <w:br w:type="page"/>
      </w:r>
    </w:p>
    <w:p>
      <w:pPr>
        <w:pStyle w:val="Heading2"/>
      </w:pPr>
      <w:r>
        <w:t>4.2. COMPOSANTE SALUBRITÉ URBAINE</w:t>
      </w:r>
    </w:p>
    <w:p>
      <w:r>
        <w:t>La composante salubrité accompagne le reverdissement en créant les conditions d'un cadre de vie propre et sain. Elle s'appuie sur une mobilisation massive selon le concept « Setal Dakar » (Dakar propre) avec le principe d'une rotation hebdomadaire « une semaine — une commune ».</w:t>
      </w:r>
    </w:p>
    <w:p>
      <w:pPr>
        <w:pStyle w:val="Heading3"/>
      </w:pPr>
      <w:r>
        <w:t>Actions principales</w:t>
      </w:r>
    </w:p>
    <w:p>
      <w:pPr>
        <w:pStyle w:val="ListBullet"/>
      </w:pPr>
      <w:r>
        <w:t>Nettoyage massif des marchés (Sandaga, Tilène, Castors, Soumbédioune, Gueule Tapée)</w:t>
      </w:r>
    </w:p>
    <w:p>
      <w:pPr>
        <w:pStyle w:val="ListBullet"/>
      </w:pPr>
      <w:r>
        <w:t>Nettoyage des plages (Baie de Hann, Corniche Ouest)</w:t>
      </w:r>
    </w:p>
    <w:p>
      <w:pPr>
        <w:pStyle w:val="ListBullet"/>
      </w:pPr>
      <w:r>
        <w:t>Désencombrement des dépôts sauvages sur les artères principales</w:t>
      </w:r>
    </w:p>
    <w:p>
      <w:pPr>
        <w:pStyle w:val="ListBullet"/>
      </w:pPr>
      <w:r>
        <w:t>Mise en place de brigades vertes communautaires permanentes</w:t>
      </w:r>
    </w:p>
    <w:p>
      <w:pPr>
        <w:pStyle w:val="ListBullet"/>
      </w:pPr>
      <w:r>
        <w:t>Installation de bacs de tri sélectif temporaires dans les zones d'intervention</w:t>
      </w:r>
    </w:p>
    <w:p>
      <w:pPr>
        <w:pStyle w:val="ListBullet"/>
      </w:pPr>
      <w:r>
        <w:t>Lancement du concept rotatif « Dakar propre, une semaine — une commune » en perspective des JOJ</w:t>
      </w:r>
    </w:p>
    <w:p>
      <w:pPr>
        <w:pStyle w:val="Heading3"/>
      </w:pPr>
      <w:r>
        <w:t>Village Zéro Déchet</w:t>
      </w:r>
    </w:p>
    <w:p>
      <w:r>
        <w:t>Des stands « Zéro Déchet » seront installés avec démonstrations de compostage et de transformation du plastique. Des ateliers de création artistique à partir de déchets recyclés (Recup'Art) permettront de sensibiliser tout en valorisant les déchets.</w:t>
      </w:r>
    </w:p>
    <w:p>
      <w:pPr>
        <w:pStyle w:val="Heading3"/>
      </w:pPr>
      <w:r>
        <w:t>Résultats attendus — Salubrité</w:t>
      </w:r>
    </w:p>
    <w:p>
      <w:pPr>
        <w:pStyle w:val="ListBullet"/>
      </w:pPr>
      <w:r>
        <w:t>450 tonnes de déchets collectés et triés</w:t>
      </w:r>
    </w:p>
    <w:p>
      <w:pPr>
        <w:pStyle w:val="ListBullet"/>
      </w:pPr>
      <w:r>
        <w:t>3 marchés assainis</w:t>
      </w:r>
    </w:p>
    <w:p>
      <w:pPr>
        <w:pStyle w:val="ListBullet"/>
      </w:pPr>
      <w:r>
        <w:t>3 plages nettoyées</w:t>
      </w:r>
    </w:p>
    <w:p>
      <w:pPr>
        <w:pStyle w:val="ListBullet"/>
      </w:pPr>
      <w:r>
        <w:t>5 grandes artères traitées</w:t>
      </w:r>
    </w:p>
    <w:p>
      <w:pPr>
        <w:pStyle w:val="ListBullet"/>
      </w:pPr>
      <w:r>
        <w:t>Brigades vertes opérationnelles dans chaque commune participante</w:t>
      </w:r>
    </w:p>
    <w:p>
      <w:r>
        <w:br w:type="page"/>
      </w:r>
    </w:p>
    <w:p>
      <w:pPr>
        <w:pStyle w:val="Heading2"/>
      </w:pPr>
      <w:r>
        <w:t>4.3. COMPOSANTE ANIMATION COMMUNAUTAIRE ET SENSIBILISATION</w:t>
      </w:r>
    </w:p>
    <w:p>
      <w:r>
        <w:t>L'animation communautaire est le moteur de mobilisation du programme. Elle vise à transformer chaque citoyen dakarois en acteur du changement, à travers des actions éducatives, culturelles et festives qui renforcent l'appropriation des enjeux environnementaux.</w:t>
      </w:r>
    </w:p>
    <w:p>
      <w:pPr>
        <w:pStyle w:val="Heading3"/>
      </w:pPr>
      <w:r>
        <w:t>Caravanes climatiques et sensibilisation</w:t>
      </w:r>
    </w:p>
    <w:p>
      <w:pPr>
        <w:pStyle w:val="ListBullet"/>
      </w:pPr>
      <w:r>
        <w:t>Caravanes climatiques itinérantes dans les 19 communes</w:t>
      </w:r>
    </w:p>
    <w:p>
      <w:pPr>
        <w:pStyle w:val="ListBullet"/>
      </w:pPr>
      <w:r>
        <w:t>Fresque du Climat géante : atelier d'intelligence collective pour comprendre les enjeux du Plan Climat</w:t>
      </w:r>
    </w:p>
    <w:p>
      <w:pPr>
        <w:pStyle w:val="ListBullet"/>
      </w:pPr>
      <w:r>
        <w:t>Activités éducatives dans les écoles avec remise de certificats « Ambassadeur Dakar Nataangué »</w:t>
      </w:r>
    </w:p>
    <w:p>
      <w:pPr>
        <w:pStyle w:val="ListBullet"/>
      </w:pPr>
      <w:r>
        <w:t>Mobilisation des ASC, GPF, Badienu Gox et autorités religieuses</w:t>
      </w:r>
    </w:p>
    <w:p>
      <w:pPr>
        <w:pStyle w:val="ListBullet"/>
      </w:pPr>
      <w:r>
        <w:t>Communication médiatique et digitale via la plateforme DAKCLIM</w:t>
      </w:r>
    </w:p>
    <w:p>
      <w:pPr>
        <w:pStyle w:val="Heading3"/>
      </w:pPr>
      <w:r>
        <w:t>Performances artistiques et culturelles</w:t>
      </w:r>
    </w:p>
    <w:p>
      <w:pPr>
        <w:pStyle w:val="ListBullet"/>
      </w:pPr>
      <w:r>
        <w:t>Sabar durable avec instruments fabriqués à partir de matériaux recyclés</w:t>
      </w:r>
    </w:p>
    <w:p>
      <w:pPr>
        <w:pStyle w:val="ListBullet"/>
      </w:pPr>
      <w:r>
        <w:t>Interventions de slameurs engagés dans le développement durable</w:t>
      </w:r>
    </w:p>
    <w:p>
      <w:pPr>
        <w:pStyle w:val="ListBullet"/>
      </w:pPr>
      <w:r>
        <w:t>Ateliers Recup'Art : création artistique à partir de déchets recyclés</w:t>
      </w:r>
    </w:p>
    <w:p>
      <w:pPr>
        <w:pStyle w:val="ListBullet"/>
      </w:pPr>
      <w:r>
        <w:t>Parcours éco-citoyen et rallye biodiversité dans le Parc de Hann</w:t>
      </w:r>
    </w:p>
    <w:p>
      <w:pPr>
        <w:pStyle w:val="ListBullet"/>
      </w:pPr>
      <w:r>
        <w:t>Concert acoustique de clôture</w:t>
      </w:r>
    </w:p>
    <w:p>
      <w:pPr>
        <w:pStyle w:val="Heading3"/>
      </w:pPr>
      <w:r>
        <w:t>Engagement institutionnel et citoyen</w:t>
      </w:r>
    </w:p>
    <w:p>
      <w:r>
        <w:t>L'événement de lancement culminera avec la signature d'une Charte d'engagement « Dakar Nataangué » sur support géant recyclé, et une Déclaration commune de la jeunesse et du COJOJ pour des JOJ 2026 « Verts et Inclusifs ».</w:t>
      </w:r>
    </w:p>
    <w:p>
      <w:pPr>
        <w:pStyle w:val="Heading3"/>
      </w:pPr>
      <w:r>
        <w:t>Résultats attendus — Animation communautaire</w:t>
      </w:r>
    </w:p>
    <w:p>
      <w:pPr>
        <w:pStyle w:val="ListBullet"/>
      </w:pPr>
      <w:r>
        <w:t>100 000 personnes sensibilisées</w:t>
      </w:r>
    </w:p>
    <w:p>
      <w:pPr>
        <w:pStyle w:val="ListBullet"/>
      </w:pPr>
      <w:r>
        <w:t>25 000 citoyens directement mobilisés</w:t>
      </w:r>
    </w:p>
    <w:p>
      <w:pPr>
        <w:pStyle w:val="ListBullet"/>
      </w:pPr>
      <w:r>
        <w:t>2 500 jeunes mobilisés lors du lancement</w:t>
      </w:r>
    </w:p>
    <w:p>
      <w:pPr>
        <w:pStyle w:val="ListBullet"/>
      </w:pPr>
      <w:r>
        <w:t>500 élèves formés via la Fresque du Climat</w:t>
      </w:r>
    </w:p>
    <w:p>
      <w:pPr>
        <w:pStyle w:val="ListBullet"/>
      </w:pPr>
      <w:r>
        <w:t>50 associations activement engagées</w:t>
      </w:r>
    </w:p>
    <w:p>
      <w:r>
        <w:br w:type="page"/>
      </w:r>
    </w:p>
    <w:p>
      <w:pPr>
        <w:pStyle w:val="Heading1"/>
      </w:pPr>
      <w:r>
        <w:t>5. PROGRAMME OPÉRATIONNEL — 72 HEURES D'ACTION</w:t>
      </w:r>
    </w:p>
    <w:p>
      <w:pPr>
        <w:pStyle w:val="Heading2"/>
      </w:pPr>
      <w:r>
        <w:t>JOUR 1 — Jeudi 4 juin 2026 : Sensibilisation et mobilisation citoyenne</w:t>
      </w:r>
    </w:p>
    <w:p>
      <w:r>
        <w:t>Lieu : Communes de Dakar</w:t>
      </w:r>
    </w:p>
    <w:p>
      <w:r>
        <w:t>Caravanes de sensibilisation, communication publique et mobilisation des populations dans les 19 communes.</w:t>
      </w:r>
    </w:p>
    <w:p>
      <w:pPr>
        <w:pStyle w:val="Heading2"/>
      </w:pPr>
      <w:r>
        <w:t>JOUR 2 — Vendredi 5 juin 2026 : Lancement officiel — Journée mondiale de l'environnement</w:t>
      </w:r>
    </w:p>
    <w:p>
      <w:r>
        <w:t>Lieu : Esplanade de l'Hôtel de Ville de Dakar</w:t>
      </w:r>
    </w:p>
    <w:tbl>
      <w:tblPr>
        <w:tblStyle w:val="LightGrid-Accent1"/>
        <w:tblW w:type="auto" w:w="0"/>
        <w:tblLook w:firstColumn="1" w:firstRow="1" w:lastColumn="0" w:lastRow="0" w:noHBand="0" w:noVBand="1" w:val="04A0"/>
      </w:tblPr>
      <w:tblGrid>
        <w:gridCol w:w="4320"/>
        <w:gridCol w:w="4320"/>
      </w:tblGrid>
      <w:tr>
        <w:tc>
          <w:tcPr>
            <w:tcW w:type="dxa" w:w="4320"/>
          </w:tcPr>
          <w:p>
            <w:r>
              <w:t>Horaire</w:t>
            </w:r>
          </w:p>
        </w:tc>
        <w:tc>
          <w:tcPr>
            <w:tcW w:type="dxa" w:w="4320"/>
          </w:tcPr>
          <w:p>
            <w:r>
              <w:t>Activité</w:t>
            </w:r>
          </w:p>
        </w:tc>
      </w:tr>
      <w:tr>
        <w:tc>
          <w:tcPr>
            <w:tcW w:type="dxa" w:w="4320"/>
          </w:tcPr>
          <w:p>
            <w:r>
              <w:t>15h00 – 16h00</w:t>
            </w:r>
          </w:p>
        </w:tc>
        <w:tc>
          <w:tcPr>
            <w:tcW w:type="dxa" w:w="4320"/>
          </w:tcPr>
          <w:p>
            <w:r>
              <w:t>Mobilisation &amp; Performances : Accueil de 1 000 jeunes, percussions Sabar durable, slam engagé</w:t>
            </w:r>
          </w:p>
        </w:tc>
      </w:tr>
      <w:tr>
        <w:tc>
          <w:tcPr>
            <w:tcW w:type="dxa" w:w="4320"/>
          </w:tcPr>
          <w:p>
            <w:r>
              <w:t>16h00 – 17h00</w:t>
            </w:r>
          </w:p>
        </w:tc>
        <w:tc>
          <w:tcPr>
            <w:tcW w:type="dxa" w:w="4320"/>
          </w:tcPr>
          <w:p>
            <w:r>
              <w:t>Le Pacte de Dakar : Plaidoyer jeunesse, Déclaration JOJ Verts et Inclusifs</w:t>
            </w:r>
          </w:p>
        </w:tc>
      </w:tr>
      <w:tr>
        <w:tc>
          <w:tcPr>
            <w:tcW w:type="dxa" w:w="4320"/>
          </w:tcPr>
          <w:p>
            <w:r>
              <w:t>17h00 – 18h00</w:t>
            </w:r>
          </w:p>
        </w:tc>
        <w:tc>
          <w:tcPr>
            <w:tcW w:type="dxa" w:w="4320"/>
          </w:tcPr>
          <w:p>
            <w:r>
              <w:t>Lancement officiel : Discours du Maire, signature de la Charte Dakar Nataangué</w:t>
            </w:r>
          </w:p>
        </w:tc>
      </w:tr>
    </w:tbl>
    <w:p/>
    <w:p>
      <w:r>
        <w:t>Après le lancement : Opérations de propreté urbaine (nettoyage des marchés, plages, artères)</w:t>
      </w:r>
    </w:p>
    <w:p>
      <w:pPr>
        <w:pStyle w:val="Heading2"/>
      </w:pPr>
      <w:r>
        <w:t>JOUR 3 — Samedi 6 juin 2026 : Journée du Reverdissement et de l'Action</w:t>
      </w:r>
    </w:p>
    <w:p>
      <w:r>
        <w:t>Lieu principal : Parc de Hann et communes de Dakar</w:t>
      </w:r>
    </w:p>
    <w:tbl>
      <w:tblPr>
        <w:tblStyle w:val="LightGrid-Accent1"/>
        <w:tblW w:type="auto" w:w="0"/>
        <w:tblLook w:firstColumn="1" w:firstRow="1" w:lastColumn="0" w:lastRow="0" w:noHBand="0" w:noVBand="1" w:val="04A0"/>
      </w:tblPr>
      <w:tblGrid>
        <w:gridCol w:w="4320"/>
        <w:gridCol w:w="4320"/>
      </w:tblGrid>
      <w:tr>
        <w:tc>
          <w:tcPr>
            <w:tcW w:type="dxa" w:w="4320"/>
          </w:tcPr>
          <w:p>
            <w:r>
              <w:t>Horaire</w:t>
            </w:r>
          </w:p>
        </w:tc>
        <w:tc>
          <w:tcPr>
            <w:tcW w:type="dxa" w:w="4320"/>
          </w:tcPr>
          <w:p>
            <w:r>
              <w:t>Activité</w:t>
            </w:r>
          </w:p>
        </w:tc>
      </w:tr>
      <w:tr>
        <w:tc>
          <w:tcPr>
            <w:tcW w:type="dxa" w:w="4320"/>
          </w:tcPr>
          <w:p>
            <w:r>
              <w:t>09h00 – 13h00</w:t>
            </w:r>
          </w:p>
        </w:tc>
        <w:tc>
          <w:tcPr>
            <w:tcW w:type="dxa" w:w="4320"/>
          </w:tcPr>
          <w:p>
            <w:r>
              <w:t>Matin : Fresque du Climat géante, Village Zéro Déchet, plantation massive d'arbres dans les quartiers et artères</w:t>
            </w:r>
          </w:p>
        </w:tc>
      </w:tr>
      <w:tr>
        <w:tc>
          <w:tcPr>
            <w:tcW w:type="dxa" w:w="4320"/>
          </w:tcPr>
          <w:p>
            <w:r>
              <w:t>14h00 – 17h00</w:t>
            </w:r>
          </w:p>
        </w:tc>
        <w:tc>
          <w:tcPr>
            <w:tcW w:type="dxa" w:w="4320"/>
          </w:tcPr>
          <w:p>
            <w:r>
              <w:t>Après-midi : Ateliers Recup'Art, Parcours éco-citoyen, remise des certificats Ambassadeur Dakar Nataangué</w:t>
            </w:r>
          </w:p>
        </w:tc>
      </w:tr>
    </w:tbl>
    <w:p/>
    <w:p>
      <w:r>
        <w:t>Soirée : Nuit du Climat — Restitution des résultats, table ronde, concert acoustique de clôture, engagements pour la pérennisation.</w:t>
      </w:r>
    </w:p>
    <w:p>
      <w:pPr>
        <w:pStyle w:val="Heading2"/>
      </w:pPr>
      <w:r>
        <w:t>JOUR 4 — Dimanche 7 juin 2026 : Setal Dakar — Journée d'investissement humain</w:t>
      </w:r>
    </w:p>
    <w:p>
      <w:r>
        <w:t>Lieu : Commune des HLM</w:t>
      </w:r>
    </w:p>
    <w:p>
      <w:r>
        <w:t>Lancement du concept « Dakar propre, une semaine — une commune » en perspective des JOJ. Mobilisation massive pour le nettoyage et la plantation.</w:t>
      </w:r>
    </w:p>
    <w:p>
      <w:r>
        <w:br w:type="page"/>
      </w:r>
    </w:p>
    <w:p>
      <w:pPr>
        <w:pStyle w:val="Heading1"/>
      </w:pPr>
      <w:r>
        <w:t>6. STRATÉGIE DE MISE EN ŒUVRE ET GOUVERNANCE</w:t>
      </w:r>
    </w:p>
    <w:p>
      <w:r>
        <w:t>La mise en œuvre de Dakar Nataangué repose sur une approche de gouvernance multi-niveaux combinant pilotage institutionnel, coordination territoriale et mobilisation communautaire.</w:t>
      </w:r>
    </w:p>
    <w:p>
      <w:pPr>
        <w:pStyle w:val="Heading2"/>
      </w:pPr>
      <w:r>
        <w:t>Niveau stratégique : Comité de pilotage de la Ville</w:t>
      </w:r>
    </w:p>
    <w:p>
      <w:r>
        <w:t>Composition : Cabinet du Maire, DPDD, directions techniques municipales, maires des 19 communes, services de l'État, partenaires techniques et financiers.</w:t>
      </w:r>
    </w:p>
    <w:p>
      <w:r>
        <w:t>Missions : Orientation stratégique, coordination interinstitutionnelle, mobilisation des ressources, validation du plan d'action, suivi global des performances.</w:t>
      </w:r>
    </w:p>
    <w:p>
      <w:pPr>
        <w:pStyle w:val="Heading2"/>
      </w:pPr>
      <w:r>
        <w:t>Niveau territorial : Comités de suivi locaux</w:t>
      </w:r>
    </w:p>
    <w:p>
      <w:r>
        <w:t>Dans chaque commune, un Comité de suivi local structuré en deux sous-groupes :</w:t>
      </w:r>
    </w:p>
    <w:p>
      <w:pPr>
        <w:pStyle w:val="ListBullet"/>
      </w:pPr>
      <w:r>
        <w:t>Sous-groupe institutionnel : Maire ou représentant, élus municipaux, commission environnement, délégués de quartier, comités de gestion des marchés.</w:t>
      </w:r>
    </w:p>
    <w:p>
      <w:pPr>
        <w:pStyle w:val="ListBullet"/>
      </w:pPr>
      <w:r>
        <w:t>Sous-groupe communautaire opérationnel : ASC, GPF, Badienu Gox, organisations communautaires, associations environnementales, autorités religieuses et coutumières.</w:t>
      </w:r>
    </w:p>
    <w:p>
      <w:pPr>
        <w:pStyle w:val="Heading2"/>
      </w:pPr>
      <w:r>
        <w:t>Niveau opérationnel : Brigades vertes communautaires</w:t>
      </w:r>
    </w:p>
    <w:p>
      <w:r>
        <w:t>Forces de mobilisation et d'intervention sur le terrain pour les opérations de nettoyage, plantation et sensibilisation.</w:t>
      </w:r>
    </w:p>
    <w:p>
      <w:r>
        <w:br w:type="page"/>
      </w:r>
    </w:p>
    <w:p>
      <w:pPr>
        <w:pStyle w:val="Heading1"/>
      </w:pPr>
      <w:r>
        <w:t>7. MATRICE DES PARTIES PRENANTES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Parties prenantes</w:t>
            </w:r>
          </w:p>
        </w:tc>
        <w:tc>
          <w:tcPr>
            <w:tcW w:type="dxa" w:w="2880"/>
          </w:tcPr>
          <w:p>
            <w:r>
              <w:t>Rôle stratégique</w:t>
            </w:r>
          </w:p>
        </w:tc>
        <w:tc>
          <w:tcPr>
            <w:tcW w:type="dxa" w:w="2880"/>
          </w:tcPr>
          <w:p>
            <w:r>
              <w:t>Contribution attendue</w:t>
            </w:r>
          </w:p>
        </w:tc>
      </w:tr>
      <w:tr>
        <w:tc>
          <w:tcPr>
            <w:tcW w:type="dxa" w:w="2880"/>
          </w:tcPr>
          <w:p>
            <w:r>
              <w:t>Ville de Dakar</w:t>
            </w:r>
          </w:p>
        </w:tc>
        <w:tc>
          <w:tcPr>
            <w:tcW w:type="dxa" w:w="2880"/>
          </w:tcPr>
          <w:p>
            <w:r>
              <w:t>Pilotage stratégique et coordination générale</w:t>
            </w:r>
          </w:p>
        </w:tc>
        <w:tc>
          <w:tcPr>
            <w:tcW w:type="dxa" w:w="2880"/>
          </w:tcPr>
          <w:p>
            <w:r>
              <w:t>Leadership institutionnel, ressources, coordination</w:t>
            </w:r>
          </w:p>
        </w:tc>
      </w:tr>
      <w:tr>
        <w:tc>
          <w:tcPr>
            <w:tcW w:type="dxa" w:w="2880"/>
          </w:tcPr>
          <w:p>
            <w:r>
              <w:t>Mairies des 19 communes</w:t>
            </w:r>
          </w:p>
        </w:tc>
        <w:tc>
          <w:tcPr>
            <w:tcW w:type="dxa" w:w="2880"/>
          </w:tcPr>
          <w:p>
            <w:r>
              <w:t>Mise en œuvre territoriale</w:t>
            </w:r>
          </w:p>
        </w:tc>
        <w:tc>
          <w:tcPr>
            <w:tcW w:type="dxa" w:w="2880"/>
          </w:tcPr>
          <w:p>
            <w:r>
              <w:t>Mobilisation communautaire, logistique locale</w:t>
            </w:r>
          </w:p>
        </w:tc>
      </w:tr>
      <w:tr>
        <w:tc>
          <w:tcPr>
            <w:tcW w:type="dxa" w:w="2880"/>
          </w:tcPr>
          <w:p>
            <w:r>
              <w:t>Ministère de l'Environnement</w:t>
            </w:r>
          </w:p>
        </w:tc>
        <w:tc>
          <w:tcPr>
            <w:tcW w:type="dxa" w:w="2880"/>
          </w:tcPr>
          <w:p>
            <w:r>
              <w:t>Tutelle stratégique</w:t>
            </w:r>
          </w:p>
        </w:tc>
        <w:tc>
          <w:tcPr>
            <w:tcW w:type="dxa" w:w="2880"/>
          </w:tcPr>
          <w:p>
            <w:r>
              <w:t>Appui institutionnel et technique, plants</w:t>
            </w:r>
          </w:p>
        </w:tc>
      </w:tr>
      <w:tr>
        <w:tc>
          <w:tcPr>
            <w:tcW w:type="dxa" w:w="2880"/>
          </w:tcPr>
          <w:p>
            <w:r>
              <w:t>SONAGED</w:t>
            </w:r>
          </w:p>
        </w:tc>
        <w:tc>
          <w:tcPr>
            <w:tcW w:type="dxa" w:w="2880"/>
          </w:tcPr>
          <w:p>
            <w:r>
              <w:t>Gestion opérationnelle des déchets</w:t>
            </w:r>
          </w:p>
        </w:tc>
        <w:tc>
          <w:tcPr>
            <w:tcW w:type="dxa" w:w="2880"/>
          </w:tcPr>
          <w:p>
            <w:r>
              <w:t>Camions, équipements, collecte</w:t>
            </w:r>
          </w:p>
        </w:tc>
      </w:tr>
      <w:tr>
        <w:tc>
          <w:tcPr>
            <w:tcW w:type="dxa" w:w="2880"/>
          </w:tcPr>
          <w:p>
            <w:r>
              <w:t>Direction des Eaux et Forêts</w:t>
            </w:r>
          </w:p>
        </w:tc>
        <w:tc>
          <w:tcPr>
            <w:tcW w:type="dxa" w:w="2880"/>
          </w:tcPr>
          <w:p>
            <w:r>
              <w:t>Appui technique au reverdissement</w:t>
            </w:r>
          </w:p>
        </w:tc>
        <w:tc>
          <w:tcPr>
            <w:tcW w:type="dxa" w:w="2880"/>
          </w:tcPr>
          <w:p>
            <w:r>
              <w:t>Expertise forestière, plants</w:t>
            </w:r>
          </w:p>
        </w:tc>
      </w:tr>
      <w:tr>
        <w:tc>
          <w:tcPr>
            <w:tcW w:type="dxa" w:w="2880"/>
          </w:tcPr>
          <w:p>
            <w:r>
              <w:t>COJOJ (Comité JOJ 2026)</w:t>
            </w:r>
          </w:p>
        </w:tc>
        <w:tc>
          <w:tcPr>
            <w:tcW w:type="dxa" w:w="2880"/>
          </w:tcPr>
          <w:p>
            <w:r>
              <w:t>Alignement JOJ</w:t>
            </w:r>
          </w:p>
        </w:tc>
        <w:tc>
          <w:tcPr>
            <w:tcW w:type="dxa" w:w="2880"/>
          </w:tcPr>
          <w:p>
            <w:r>
              <w:t>Standards olympiques « Verts »</w:t>
            </w:r>
          </w:p>
        </w:tc>
      </w:tr>
      <w:tr>
        <w:tc>
          <w:tcPr>
            <w:tcW w:type="dxa" w:w="2880"/>
          </w:tcPr>
          <w:p>
            <w:r>
              <w:t>JVE Sénégal</w:t>
            </w:r>
          </w:p>
        </w:tc>
        <w:tc>
          <w:tcPr>
            <w:tcW w:type="dxa" w:w="2880"/>
          </w:tcPr>
          <w:p>
            <w:r>
              <w:t>Partenariat technique</w:t>
            </w:r>
          </w:p>
        </w:tc>
        <w:tc>
          <w:tcPr>
            <w:tcW w:type="dxa" w:w="2880"/>
          </w:tcPr>
          <w:p>
            <w:r>
              <w:t>Personnes ressources</w:t>
            </w:r>
          </w:p>
        </w:tc>
      </w:tr>
      <w:tr>
        <w:tc>
          <w:tcPr>
            <w:tcW w:type="dxa" w:w="2880"/>
          </w:tcPr>
          <w:p>
            <w:r>
              <w:t>Organisations communautaires (ASC, GPF)</w:t>
            </w:r>
          </w:p>
        </w:tc>
        <w:tc>
          <w:tcPr>
            <w:tcW w:type="dxa" w:w="2880"/>
          </w:tcPr>
          <w:p>
            <w:r>
              <w:t>Mobilisation citoyenne</w:t>
            </w:r>
          </w:p>
        </w:tc>
        <w:tc>
          <w:tcPr>
            <w:tcW w:type="dxa" w:w="2880"/>
          </w:tcPr>
          <w:p>
            <w:r>
              <w:t>Main-d'œuvre volontaire</w:t>
            </w:r>
          </w:p>
        </w:tc>
      </w:tr>
      <w:tr>
        <w:tc>
          <w:tcPr>
            <w:tcW w:type="dxa" w:w="2880"/>
          </w:tcPr>
          <w:p>
            <w:r>
              <w:t>Établissements scolaires</w:t>
            </w:r>
          </w:p>
        </w:tc>
        <w:tc>
          <w:tcPr>
            <w:tcW w:type="dxa" w:w="2880"/>
          </w:tcPr>
          <w:p>
            <w:r>
              <w:t>Sensibilisation des jeunes</w:t>
            </w:r>
          </w:p>
        </w:tc>
        <w:tc>
          <w:tcPr>
            <w:tcW w:type="dxa" w:w="2880"/>
          </w:tcPr>
          <w:p>
            <w:r>
              <w:t>Participation élèves</w:t>
            </w:r>
          </w:p>
        </w:tc>
      </w:tr>
      <w:tr>
        <w:tc>
          <w:tcPr>
            <w:tcW w:type="dxa" w:w="2880"/>
          </w:tcPr>
          <w:p>
            <w:r>
              <w:t>Entreprises (RSE)</w:t>
            </w:r>
          </w:p>
        </w:tc>
        <w:tc>
          <w:tcPr>
            <w:tcW w:type="dxa" w:w="2880"/>
          </w:tcPr>
          <w:p>
            <w:r>
              <w:t>Soutien financier et logistique</w:t>
            </w:r>
          </w:p>
        </w:tc>
        <w:tc>
          <w:tcPr>
            <w:tcW w:type="dxa" w:w="2880"/>
          </w:tcPr>
          <w:p>
            <w:r>
              <w:t>Sponsoring, matériel</w:t>
            </w:r>
          </w:p>
        </w:tc>
      </w:tr>
      <w:tr>
        <w:tc>
          <w:tcPr>
            <w:tcW w:type="dxa" w:w="2880"/>
          </w:tcPr>
          <w:p>
            <w:r>
              <w:t>ONG, PTF et ambassades</w:t>
            </w:r>
          </w:p>
        </w:tc>
        <w:tc>
          <w:tcPr>
            <w:tcW w:type="dxa" w:w="2880"/>
          </w:tcPr>
          <w:p>
            <w:r>
              <w:t>Coopération internationale</w:t>
            </w:r>
          </w:p>
        </w:tc>
        <w:tc>
          <w:tcPr>
            <w:tcW w:type="dxa" w:w="2880"/>
          </w:tcPr>
          <w:p>
            <w:r>
              <w:t>Expertise, financement</w:t>
            </w:r>
          </w:p>
        </w:tc>
      </w:tr>
    </w:tbl>
    <w:p>
      <w:r>
        <w:br w:type="page"/>
      </w:r>
    </w:p>
    <w:p>
      <w:pPr>
        <w:pStyle w:val="Heading1"/>
      </w:pPr>
      <w:r>
        <w:t>8. BUDGET PRÉVISIONNEL</w:t>
      </w:r>
    </w:p>
    <w:p>
      <w:pPr>
        <w:pStyle w:val="Heading2"/>
      </w:pPr>
      <w:r>
        <w:t>8.1. Budget de l'événement (72 heures)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Poste de dépense</w:t>
            </w:r>
          </w:p>
        </w:tc>
        <w:tc>
          <w:tcPr>
            <w:tcW w:type="dxa" w:w="2880"/>
          </w:tcPr>
          <w:p>
            <w:r>
              <w:t>Détails</w:t>
            </w:r>
          </w:p>
        </w:tc>
        <w:tc>
          <w:tcPr>
            <w:tcW w:type="dxa" w:w="2880"/>
          </w:tcPr>
          <w:p>
            <w:r>
              <w:t>Estimation (FCFA)</w:t>
            </w:r>
          </w:p>
        </w:tc>
      </w:tr>
      <w:tr>
        <w:tc>
          <w:tcPr>
            <w:tcW w:type="dxa" w:w="2880"/>
          </w:tcPr>
          <w:p>
            <w:r>
              <w:t>Communication &amp; Médias</w:t>
            </w:r>
          </w:p>
        </w:tc>
        <w:tc>
          <w:tcPr>
            <w:tcW w:type="dxa" w:w="2880"/>
          </w:tcPr>
          <w:p>
            <w:r>
              <w:t>Banderoles, T-shirts (500), réseaux sociaux, presse</w:t>
            </w:r>
          </w:p>
        </w:tc>
        <w:tc>
          <w:tcPr>
            <w:tcW w:type="dxa" w:w="2880"/>
          </w:tcPr>
          <w:p>
            <w:r>
              <w:t>2 500 000</w:t>
            </w:r>
          </w:p>
        </w:tc>
      </w:tr>
      <w:tr>
        <w:tc>
          <w:tcPr>
            <w:tcW w:type="dxa" w:w="2880"/>
          </w:tcPr>
          <w:p>
            <w:r>
              <w:t>Logistique Esplanade (Jour 2)</w:t>
            </w:r>
          </w:p>
        </w:tc>
        <w:tc>
          <w:tcPr>
            <w:tcW w:type="dxa" w:w="2880"/>
          </w:tcPr>
          <w:p>
            <w:r>
              <w:t>Podium, sonorisation, chaises, eau</w:t>
            </w:r>
          </w:p>
        </w:tc>
        <w:tc>
          <w:tcPr>
            <w:tcW w:type="dxa" w:w="2880"/>
          </w:tcPr>
          <w:p>
            <w:r>
              <w:t>1 500 000</w:t>
            </w:r>
          </w:p>
        </w:tc>
      </w:tr>
      <w:tr>
        <w:tc>
          <w:tcPr>
            <w:tcW w:type="dxa" w:w="2880"/>
          </w:tcPr>
          <w:p>
            <w:r>
              <w:t>Logistique Parc de Hann (Jour 3)</w:t>
            </w:r>
          </w:p>
        </w:tc>
        <w:tc>
          <w:tcPr>
            <w:tcW w:type="dxa" w:w="2880"/>
          </w:tcPr>
          <w:p>
            <w:r>
              <w:t>Location espace, 20 stands, tentes</w:t>
            </w:r>
          </w:p>
        </w:tc>
        <w:tc>
          <w:tcPr>
            <w:tcW w:type="dxa" w:w="2880"/>
          </w:tcPr>
          <w:p>
            <w:r>
              <w:t>2 000 000</w:t>
            </w:r>
          </w:p>
        </w:tc>
      </w:tr>
      <w:tr>
        <w:tc>
          <w:tcPr>
            <w:tcW w:type="dxa" w:w="2880"/>
          </w:tcPr>
          <w:p>
            <w:r>
              <w:t>Mobilisation des Écoles</w:t>
            </w:r>
          </w:p>
        </w:tc>
        <w:tc>
          <w:tcPr>
            <w:tcW w:type="dxa" w:w="2880"/>
          </w:tcPr>
          <w:p>
            <w:r>
              <w:t>Transport bus Dakar Dem Dikk pour 10 écoles</w:t>
            </w:r>
          </w:p>
        </w:tc>
        <w:tc>
          <w:tcPr>
            <w:tcW w:type="dxa" w:w="2880"/>
          </w:tcPr>
          <w:p>
            <w:r>
              <w:t>1 000 000</w:t>
            </w:r>
          </w:p>
        </w:tc>
      </w:tr>
      <w:tr>
        <w:tc>
          <w:tcPr>
            <w:tcW w:type="dxa" w:w="2880"/>
          </w:tcPr>
          <w:p>
            <w:r>
              <w:t>Ateliers &amp; Création</w:t>
            </w:r>
          </w:p>
        </w:tc>
        <w:tc>
          <w:tcPr>
            <w:tcW w:type="dxa" w:w="2880"/>
          </w:tcPr>
          <w:p>
            <w:r>
              <w:t>Matériel Fresque du Climat, peinture, Recup'Art</w:t>
            </w:r>
          </w:p>
        </w:tc>
        <w:tc>
          <w:tcPr>
            <w:tcW w:type="dxa" w:w="2880"/>
          </w:tcPr>
          <w:p>
            <w:r>
              <w:t>800 000</w:t>
            </w:r>
          </w:p>
        </w:tc>
      </w:tr>
      <w:tr>
        <w:tc>
          <w:tcPr>
            <w:tcW w:type="dxa" w:w="2880"/>
          </w:tcPr>
          <w:p>
            <w:r>
              <w:t>Animation &amp; Artistique</w:t>
            </w:r>
          </w:p>
        </w:tc>
        <w:tc>
          <w:tcPr>
            <w:tcW w:type="dxa" w:w="2880"/>
          </w:tcPr>
          <w:p>
            <w:r>
              <w:t>Cachets artistes, troupes de théâtre</w:t>
            </w:r>
          </w:p>
        </w:tc>
        <w:tc>
          <w:tcPr>
            <w:tcW w:type="dxa" w:w="2880"/>
          </w:tcPr>
          <w:p>
            <w:r>
              <w:t>1 500 000</w:t>
            </w:r>
          </w:p>
        </w:tc>
      </w:tr>
      <w:tr>
        <w:tc>
          <w:tcPr>
            <w:tcW w:type="dxa" w:w="2880"/>
          </w:tcPr>
          <w:p>
            <w:r>
              <w:t>Restauration</w:t>
            </w:r>
          </w:p>
        </w:tc>
        <w:tc>
          <w:tcPr>
            <w:tcW w:type="dxa" w:w="2880"/>
          </w:tcPr>
          <w:p>
            <w:r>
              <w:t>Goûters et eau pour jeunes et bénévoles</w:t>
            </w:r>
          </w:p>
        </w:tc>
        <w:tc>
          <w:tcPr>
            <w:tcW w:type="dxa" w:w="2880"/>
          </w:tcPr>
          <w:p>
            <w:r>
              <w:t>1 200 000</w:t>
            </w:r>
          </w:p>
        </w:tc>
      </w:tr>
      <w:tr>
        <w:tc>
          <w:tcPr>
            <w:tcW w:type="dxa" w:w="2880"/>
          </w:tcPr>
          <w:p>
            <w:r>
              <w:t>TOTAL ÉVÉNEMENT</w:t>
            </w:r>
          </w:p>
        </w:tc>
        <w:tc>
          <w:tcPr>
            <w:tcW w:type="dxa" w:w="2880"/>
          </w:tcPr>
          <w:p>
            <w:r/>
          </w:p>
        </w:tc>
        <w:tc>
          <w:tcPr>
            <w:tcW w:type="dxa" w:w="2880"/>
          </w:tcPr>
          <w:p>
            <w:r>
              <w:t>10 500 000</w:t>
            </w:r>
          </w:p>
        </w:tc>
      </w:tr>
    </w:tbl>
    <w:p>
      <w:pPr>
        <w:pStyle w:val="Heading2"/>
      </w:pPr>
      <w:r>
        <w:t>8.2. Budget des actions de continuité (Post-événement)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Budget (FCFA)</w:t>
            </w:r>
          </w:p>
        </w:tc>
        <w:tc>
          <w:tcPr>
            <w:tcW w:type="dxa" w:w="2880"/>
          </w:tcPr>
          <w:p>
            <w:r>
              <w:t>Objectif</w:t>
            </w:r>
          </w:p>
        </w:tc>
      </w:tr>
      <w:tr>
        <w:tc>
          <w:tcPr>
            <w:tcW w:type="dxa" w:w="2880"/>
          </w:tcPr>
          <w:p>
            <w:r>
              <w:t>Suivi et entretien des plants</w:t>
            </w:r>
          </w:p>
        </w:tc>
        <w:tc>
          <w:tcPr>
            <w:tcW w:type="dxa" w:w="2880"/>
          </w:tcPr>
          <w:p>
            <w:r>
              <w:t>1 000 000</w:t>
            </w:r>
          </w:p>
        </w:tc>
        <w:tc>
          <w:tcPr>
            <w:tcW w:type="dxa" w:w="2880"/>
          </w:tcPr>
          <w:p>
            <w:r>
              <w:t>Garantir le taux de survie des arbres</w:t>
            </w:r>
          </w:p>
        </w:tc>
      </w:tr>
      <w:tr>
        <w:tc>
          <w:tcPr>
            <w:tcW w:type="dxa" w:w="2880"/>
          </w:tcPr>
          <w:p>
            <w:r>
              <w:t>Micro-bourses « Projets Verts »</w:t>
            </w:r>
          </w:p>
        </w:tc>
        <w:tc>
          <w:tcPr>
            <w:tcW w:type="dxa" w:w="2880"/>
          </w:tcPr>
          <w:p>
            <w:r>
              <w:t>6 000 000</w:t>
            </w:r>
          </w:p>
        </w:tc>
        <w:tc>
          <w:tcPr>
            <w:tcW w:type="dxa" w:w="2880"/>
          </w:tcPr>
          <w:p>
            <w:r>
              <w:t>Appui à 19 projets d'écoles</w:t>
            </w:r>
          </w:p>
        </w:tc>
      </w:tr>
      <w:tr>
        <w:tc>
          <w:tcPr>
            <w:tcW w:type="dxa" w:w="2880"/>
          </w:tcPr>
          <w:p>
            <w:r>
              <w:t>Plateforme digitale DAKCLIM</w:t>
            </w:r>
          </w:p>
        </w:tc>
        <w:tc>
          <w:tcPr>
            <w:tcW w:type="dxa" w:w="2880"/>
          </w:tcPr>
          <w:p>
            <w:r>
              <w:t>3 000 000</w:t>
            </w:r>
          </w:p>
        </w:tc>
        <w:tc>
          <w:tcPr>
            <w:tcW w:type="dxa" w:w="2880"/>
          </w:tcPr>
          <w:p>
            <w:r>
              <w:t>Suivi des engagements du Plan Climat</w:t>
            </w:r>
          </w:p>
        </w:tc>
      </w:tr>
      <w:tr>
        <w:tc>
          <w:tcPr>
            <w:tcW w:type="dxa" w:w="2880"/>
          </w:tcPr>
          <w:p>
            <w:r>
              <w:t>TOTAL CONTINUITÉ</w:t>
            </w:r>
          </w:p>
        </w:tc>
        <w:tc>
          <w:tcPr>
            <w:tcW w:type="dxa" w:w="2880"/>
          </w:tcPr>
          <w:p>
            <w:r>
              <w:t>10 000 000</w:t>
            </w:r>
          </w:p>
        </w:tc>
        <w:tc>
          <w:tcPr>
            <w:tcW w:type="dxa" w:w="2880"/>
          </w:tcPr>
          <w:p>
            <w:r/>
          </w:p>
        </w:tc>
      </w:tr>
    </w:tbl>
    <w:p/>
    <w:p>
      <w:r>
        <w:rPr>
          <w:i/>
        </w:rPr>
        <w:t>Action symbolique : Lancer le « Trophée Dakar Nataangué » — concours inter-écoles de 6 mois pour créer des espaces verts et réduire les déchets.</w:t>
      </w:r>
    </w:p>
    <w:p>
      <w:pPr>
        <w:pStyle w:val="Heading2"/>
      </w:pPr>
      <w:r>
        <w:t>8.3. Besoins logistiques — Contributions de la Ville</w:t>
      </w:r>
    </w:p>
    <w:p>
      <w:pPr>
        <w:pStyle w:val="ListBullet"/>
      </w:pPr>
      <w:r>
        <w:t>Esplanade (Jour 2) : Podium officiel, sonorisation, 500 chaises, Police Municipale</w:t>
      </w:r>
    </w:p>
    <w:p>
      <w:pPr>
        <w:pStyle w:val="ListBullet"/>
      </w:pPr>
      <w:r>
        <w:t>Parc de Hann (Jour 3) : Bus scolaires, barnums/tentes, bacs de tri, gratuité d'entrée</w:t>
      </w:r>
    </w:p>
    <w:p>
      <w:r>
        <w:br w:type="page"/>
      </w:r>
    </w:p>
    <w:p>
      <w:pPr>
        <w:pStyle w:val="Heading1"/>
      </w:pPr>
      <w:r>
        <w:t>9. MÉCANISMES DE PÉRENNISATION, SUIVI ET ÉVALUATION</w:t>
      </w:r>
    </w:p>
    <w:p>
      <w:pPr>
        <w:pStyle w:val="Heading2"/>
      </w:pPr>
      <w:r>
        <w:t>Parrainage communautaire des arbres</w:t>
      </w:r>
    </w:p>
    <w:p>
      <w:r>
        <w:t>Chaque arbre planté sera parrainé par un habitant, une association, une école ou une organisation communautaire, avec enregistrement sur la plateforme DAKCLIM. Ce mécanisme garantit l'entretien régulier et l'appropriation locale du programme de reverdissement.</w:t>
      </w:r>
    </w:p>
    <w:p>
      <w:pPr>
        <w:pStyle w:val="Heading2"/>
      </w:pPr>
      <w:r>
        <w:t>Mécanismes d'incitation</w:t>
      </w:r>
    </w:p>
    <w:p>
      <w:pPr>
        <w:pStyle w:val="ListBullet"/>
      </w:pPr>
      <w:r>
        <w:t>Prix de la commune la plus propre</w:t>
      </w:r>
    </w:p>
    <w:p>
      <w:pPr>
        <w:pStyle w:val="ListBullet"/>
      </w:pPr>
      <w:r>
        <w:t>Prix du quartier le plus vert</w:t>
      </w:r>
    </w:p>
    <w:p>
      <w:pPr>
        <w:pStyle w:val="ListBullet"/>
      </w:pPr>
      <w:r>
        <w:t>Appui aux organisations communautaires les plus performantes</w:t>
      </w:r>
    </w:p>
    <w:p>
      <w:pPr>
        <w:pStyle w:val="ListBullet"/>
      </w:pPr>
      <w:r>
        <w:t>Trophée Dakar Nataangué (concours inter-écoles de 6 mois)</w:t>
      </w:r>
    </w:p>
    <w:p>
      <w:pPr>
        <w:pStyle w:val="Heading2"/>
      </w:pPr>
      <w:r>
        <w:t>Rotation « Setal Dakar »</w:t>
      </w:r>
    </w:p>
    <w:p>
      <w:r>
        <w:t>Concept « une semaine — une commune » pour maintenir la dynamique de salubrité tout au long de l'année.</w:t>
      </w:r>
    </w:p>
    <w:p>
      <w:pPr>
        <w:pStyle w:val="Heading2"/>
      </w:pPr>
      <w:r>
        <w:t>Outils de suivi</w:t>
      </w:r>
    </w:p>
    <w:p>
      <w:pPr>
        <w:pStyle w:val="ListBullet"/>
      </w:pPr>
      <w:r>
        <w:t>Plateforme numérique DAKCLIM pour le suivi des actions climatiques</w:t>
      </w:r>
    </w:p>
    <w:p>
      <w:pPr>
        <w:pStyle w:val="ListBullet"/>
      </w:pPr>
      <w:r>
        <w:t>Rapports d'activités des associations et organisations</w:t>
      </w:r>
    </w:p>
    <w:p>
      <w:pPr>
        <w:pStyle w:val="ListBullet"/>
      </w:pPr>
      <w:r>
        <w:t>Données opérationnelles des services municipaux</w:t>
      </w:r>
    </w:p>
    <w:p>
      <w:pPr>
        <w:pStyle w:val="ListBullet"/>
      </w:pPr>
      <w:r>
        <w:t>Financement des associations conditionné aux résultats obtenus</w:t>
      </w:r>
    </w:p>
    <w:p>
      <w:r>
        <w:br w:type="page"/>
      </w:r>
    </w:p>
    <w:p>
      <w:pPr>
        <w:pStyle w:val="Heading1"/>
      </w:pPr>
      <w:r>
        <w:t>10. INDICATEURS DE PERFORMANCE (KPI)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Composante</w:t>
            </w:r>
          </w:p>
        </w:tc>
        <w:tc>
          <w:tcPr>
            <w:tcW w:type="dxa" w:w="2160"/>
          </w:tcPr>
          <w:p>
            <w:r>
              <w:t>Indicateur</w:t>
            </w:r>
          </w:p>
        </w:tc>
        <w:tc>
          <w:tcPr>
            <w:tcW w:type="dxa" w:w="2160"/>
          </w:tcPr>
          <w:p>
            <w:r>
              <w:t>Cible</w:t>
            </w:r>
          </w:p>
        </w:tc>
        <w:tc>
          <w:tcPr>
            <w:tcW w:type="dxa" w:w="2160"/>
          </w:tcPr>
          <w:p>
            <w:r>
              <w:t>Source de vérification</w:t>
            </w:r>
          </w:p>
        </w:tc>
      </w:tr>
      <w:tr>
        <w:tc>
          <w:tcPr>
            <w:tcW w:type="dxa" w:w="2160"/>
          </w:tcPr>
          <w:p>
            <w:r>
              <w:t>REVERDISSEMENT</w:t>
            </w:r>
          </w:p>
        </w:tc>
        <w:tc>
          <w:tcPr>
            <w:tcW w:type="dxa" w:w="2160"/>
          </w:tcPr>
          <w:p>
            <w:r>
              <w:t>Arbres d'ombrage plantés</w:t>
            </w:r>
          </w:p>
        </w:tc>
        <w:tc>
          <w:tcPr>
            <w:tcW w:type="dxa" w:w="2160"/>
          </w:tcPr>
          <w:p>
            <w:r>
              <w:t>10 000</w:t>
            </w:r>
          </w:p>
        </w:tc>
        <w:tc>
          <w:tcPr>
            <w:tcW w:type="dxa" w:w="2160"/>
          </w:tcPr>
          <w:p>
            <w:r>
              <w:t>Rapport Eaux et Forêts</w:t>
            </w:r>
          </w:p>
        </w:tc>
      </w:tr>
      <w:tr>
        <w:tc>
          <w:tcPr>
            <w:tcW w:type="dxa" w:w="2160"/>
          </w:tcPr>
          <w:p>
            <w:r>
              <w:t>REVERDISSEMENT</w:t>
            </w:r>
          </w:p>
        </w:tc>
        <w:tc>
          <w:tcPr>
            <w:tcW w:type="dxa" w:w="2160"/>
          </w:tcPr>
          <w:p>
            <w:r>
              <w:t>Arbres fruitiers plantés</w:t>
            </w:r>
          </w:p>
        </w:tc>
        <w:tc>
          <w:tcPr>
            <w:tcW w:type="dxa" w:w="2160"/>
          </w:tcPr>
          <w:p>
            <w:r>
              <w:t>20 000</w:t>
            </w:r>
          </w:p>
        </w:tc>
        <w:tc>
          <w:tcPr>
            <w:tcW w:type="dxa" w:w="2160"/>
          </w:tcPr>
          <w:p>
            <w:r>
              <w:t>Rapports comités locaux</w:t>
            </w:r>
          </w:p>
        </w:tc>
      </w:tr>
      <w:tr>
        <w:tc>
          <w:tcPr>
            <w:tcW w:type="dxa" w:w="2160"/>
          </w:tcPr>
          <w:p>
            <w:r>
              <w:t>REVERDISSEMENT</w:t>
            </w:r>
          </w:p>
        </w:tc>
        <w:tc>
          <w:tcPr>
            <w:tcW w:type="dxa" w:w="2160"/>
          </w:tcPr>
          <w:p>
            <w:r>
              <w:t>Taux de survie à 12 mois</w:t>
            </w:r>
          </w:p>
        </w:tc>
        <w:tc>
          <w:tcPr>
            <w:tcW w:type="dxa" w:w="2160"/>
          </w:tcPr>
          <w:p>
            <w:r>
              <w:t>80%</w:t>
            </w:r>
          </w:p>
        </w:tc>
        <w:tc>
          <w:tcPr>
            <w:tcW w:type="dxa" w:w="2160"/>
          </w:tcPr>
          <w:p>
            <w:r>
              <w:t>Suivi plateforme DAKCLIM</w:t>
            </w:r>
          </w:p>
        </w:tc>
      </w:tr>
      <w:tr>
        <w:tc>
          <w:tcPr>
            <w:tcW w:type="dxa" w:w="2160"/>
          </w:tcPr>
          <w:p>
            <w:r>
              <w:t>REVERDISSEMENT</w:t>
            </w:r>
          </w:p>
        </w:tc>
        <w:tc>
          <w:tcPr>
            <w:tcW w:type="dxa" w:w="2160"/>
          </w:tcPr>
          <w:p>
            <w:r>
              <w:t>Projets verts scolaires</w:t>
            </w:r>
          </w:p>
        </w:tc>
        <w:tc>
          <w:tcPr>
            <w:tcW w:type="dxa" w:w="2160"/>
          </w:tcPr>
          <w:p>
            <w:r>
              <w:t>19 projets</w:t>
            </w:r>
          </w:p>
        </w:tc>
        <w:tc>
          <w:tcPr>
            <w:tcW w:type="dxa" w:w="2160"/>
          </w:tcPr>
          <w:p>
            <w:r>
              <w:t>Rapports micro-bourses</w:t>
            </w:r>
          </w:p>
        </w:tc>
      </w:tr>
      <w:tr>
        <w:tc>
          <w:tcPr>
            <w:tcW w:type="dxa" w:w="2160"/>
          </w:tcPr>
          <w:p>
            <w:r>
              <w:t>SALUBRITÉ</w:t>
            </w:r>
          </w:p>
        </w:tc>
        <w:tc>
          <w:tcPr>
            <w:tcW w:type="dxa" w:w="2160"/>
          </w:tcPr>
          <w:p>
            <w:r>
              <w:t>Déchets collectés</w:t>
            </w:r>
          </w:p>
        </w:tc>
        <w:tc>
          <w:tcPr>
            <w:tcW w:type="dxa" w:w="2160"/>
          </w:tcPr>
          <w:p>
            <w:r>
              <w:t>450 tonnes</w:t>
            </w:r>
          </w:p>
        </w:tc>
        <w:tc>
          <w:tcPr>
            <w:tcW w:type="dxa" w:w="2160"/>
          </w:tcPr>
          <w:p>
            <w:r>
              <w:t>Rapports SONAGED</w:t>
            </w:r>
          </w:p>
        </w:tc>
      </w:tr>
      <w:tr>
        <w:tc>
          <w:tcPr>
            <w:tcW w:type="dxa" w:w="2160"/>
          </w:tcPr>
          <w:p>
            <w:r>
              <w:t>SALUBRITÉ</w:t>
            </w:r>
          </w:p>
        </w:tc>
        <w:tc>
          <w:tcPr>
            <w:tcW w:type="dxa" w:w="2160"/>
          </w:tcPr>
          <w:p>
            <w:r>
              <w:t>Marchés assainis</w:t>
            </w:r>
          </w:p>
        </w:tc>
        <w:tc>
          <w:tcPr>
            <w:tcW w:type="dxa" w:w="2160"/>
          </w:tcPr>
          <w:p>
            <w:r>
              <w:t>3 marchés</w:t>
            </w:r>
          </w:p>
        </w:tc>
        <w:tc>
          <w:tcPr>
            <w:tcW w:type="dxa" w:w="2160"/>
          </w:tcPr>
          <w:p>
            <w:r>
              <w:t>Rapports communes</w:t>
            </w:r>
          </w:p>
        </w:tc>
      </w:tr>
      <w:tr>
        <w:tc>
          <w:tcPr>
            <w:tcW w:type="dxa" w:w="2160"/>
          </w:tcPr>
          <w:p>
            <w:r>
              <w:t>SALUBRITÉ</w:t>
            </w:r>
          </w:p>
        </w:tc>
        <w:tc>
          <w:tcPr>
            <w:tcW w:type="dxa" w:w="2160"/>
          </w:tcPr>
          <w:p>
            <w:r>
              <w:t>Plages nettoyées</w:t>
            </w:r>
          </w:p>
        </w:tc>
        <w:tc>
          <w:tcPr>
            <w:tcW w:type="dxa" w:w="2160"/>
          </w:tcPr>
          <w:p>
            <w:r>
              <w:t>3 plages</w:t>
            </w:r>
          </w:p>
        </w:tc>
        <w:tc>
          <w:tcPr>
            <w:tcW w:type="dxa" w:w="2160"/>
          </w:tcPr>
          <w:p>
            <w:r>
              <w:t>Rapports opérations</w:t>
            </w:r>
          </w:p>
        </w:tc>
      </w:tr>
      <w:tr>
        <w:tc>
          <w:tcPr>
            <w:tcW w:type="dxa" w:w="2160"/>
          </w:tcPr>
          <w:p>
            <w:r>
              <w:t>SALUBRITÉ</w:t>
            </w:r>
          </w:p>
        </w:tc>
        <w:tc>
          <w:tcPr>
            <w:tcW w:type="dxa" w:w="2160"/>
          </w:tcPr>
          <w:p>
            <w:r>
              <w:t>Artères traitées</w:t>
            </w:r>
          </w:p>
        </w:tc>
        <w:tc>
          <w:tcPr>
            <w:tcW w:type="dxa" w:w="2160"/>
          </w:tcPr>
          <w:p>
            <w:r>
              <w:t>5 artères</w:t>
            </w:r>
          </w:p>
        </w:tc>
        <w:tc>
          <w:tcPr>
            <w:tcW w:type="dxa" w:w="2160"/>
          </w:tcPr>
          <w:p>
            <w:r>
              <w:t>Rapports services municipaux</w:t>
            </w:r>
          </w:p>
        </w:tc>
      </w:tr>
      <w:tr>
        <w:tc>
          <w:tcPr>
            <w:tcW w:type="dxa" w:w="2160"/>
          </w:tcPr>
          <w:p>
            <w:r>
              <w:t>ANIMATION</w:t>
            </w:r>
          </w:p>
        </w:tc>
        <w:tc>
          <w:tcPr>
            <w:tcW w:type="dxa" w:w="2160"/>
          </w:tcPr>
          <w:p>
            <w:r>
              <w:t>Citoyens sensibilisés</w:t>
            </w:r>
          </w:p>
        </w:tc>
        <w:tc>
          <w:tcPr>
            <w:tcW w:type="dxa" w:w="2160"/>
          </w:tcPr>
          <w:p>
            <w:r>
              <w:t>100 000</w:t>
            </w:r>
          </w:p>
        </w:tc>
        <w:tc>
          <w:tcPr>
            <w:tcW w:type="dxa" w:w="2160"/>
          </w:tcPr>
          <w:p>
            <w:r>
              <w:t>Rapports sensibilisation</w:t>
            </w:r>
          </w:p>
        </w:tc>
      </w:tr>
      <w:tr>
        <w:tc>
          <w:tcPr>
            <w:tcW w:type="dxa" w:w="2160"/>
          </w:tcPr>
          <w:p>
            <w:r>
              <w:t>ANIMATION</w:t>
            </w:r>
          </w:p>
        </w:tc>
        <w:tc>
          <w:tcPr>
            <w:tcW w:type="dxa" w:w="2160"/>
          </w:tcPr>
          <w:p>
            <w:r>
              <w:t>Associations mobilisées</w:t>
            </w:r>
          </w:p>
        </w:tc>
        <w:tc>
          <w:tcPr>
            <w:tcW w:type="dxa" w:w="2160"/>
          </w:tcPr>
          <w:p>
            <w:r>
              <w:t>50+</w:t>
            </w:r>
          </w:p>
        </w:tc>
        <w:tc>
          <w:tcPr>
            <w:tcW w:type="dxa" w:w="2160"/>
          </w:tcPr>
          <w:p>
            <w:r>
              <w:t>Registre signatures Charte</w:t>
            </w:r>
          </w:p>
        </w:tc>
      </w:tr>
    </w:tbl>
    <w:p>
      <w:r>
        <w:br w:type="page"/>
      </w:r>
    </w:p>
    <w:p>
      <w:pPr>
        <w:pStyle w:val="Heading1"/>
      </w:pPr>
      <w:r>
        <w:t>11. CONCLUSION</w:t>
      </w:r>
    </w:p>
    <w:p>
      <w:r>
        <w:t>Dakar Nataangué constitue bien plus qu'un événement ponctuel : c'est un programme de transformation environnementale urbaine qui place le reverdissement au cœur d'une vision intégrée de la ville durable. En combinant plantation massive, salubrité urbaine et mobilisation citoyenne, le programme ambitionne de faire de Dakar une métropole verte, résiliente et exemplaire sur le continent africain.</w:t>
      </w:r>
    </w:p>
    <w:p>
      <w:r>
        <w:t>L'initiative ne se limite pas aux 72 heures d'action : elle installe des mécanismes durables — parrainage des arbres, brigades vertes communautaires, rotation Setal Dakar, micro-bourses scolaires, plateforme digitale de suivi — qui garantissent la pérennité des actions bien au-delà de l'événement.</w:t>
      </w:r>
    </w:p>
    <w:p>
      <w:r>
        <w:t>Avec 30 000 arbres plantés, 450 tonnes de déchets collectés et 100 000 citoyens sensibilisés, Dakar Nataangué positionne la capitale sénégalaise comme référence africaine en matière de transition écologique, en parfaite cohérence avec le Plan Climat Territorial et la perspective des Jeux Olympiques de la Jeunesse 2026.</w:t>
      </w:r>
    </w:p>
    <w:p/>
    <w:p>
      <w:pPr>
        <w:jc w:val="center"/>
      </w:pPr>
      <w:r>
        <w:rPr>
          <w:b/>
          <w:i/>
          <w:color w:val="006400"/>
          <w:sz w:val="28"/>
        </w:rPr>
        <w:t>« Nataangué Dakar — Reverdir notre ville, c'est reverdir notre avenir. »</w:t>
      </w:r>
    </w:p>
    <w:p/>
    <w:p>
      <w:pPr>
        <w:jc w:val="center"/>
      </w:pPr>
      <w:r>
        <w:t>COMITÉ VILLE DAK'CLIM — Plateforme des 102 Organisations</w:t>
      </w:r>
    </w:p>
    <w:p>
      <w:pPr>
        <w:jc w:val="center"/>
      </w:pPr>
      <w:r>
        <w:t>Ville de Dakar — Direction de la Planification et du Développement Durable</w:t>
      </w:r>
    </w:p>
    <w:p>
      <w:pPr>
        <w:jc w:val="center"/>
      </w:pPr>
      <w:r>
        <w:rPr>
          <w:b/>
        </w:rPr>
        <w:t>Dakar, Juin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