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3200"/>
        <w:jc w:val="center"/>
      </w:pPr>
      <w:r>
        <w:rPr>
          <w:rFonts w:ascii="Calibri" w:hAnsi="Calibri"/>
          <w:b/>
          <w:color w:val="2E74B5"/>
          <w:sz w:val="26"/>
          <w:spacing w:val="60"/>
        </w:rPr>
        <w:t>RAPPORT INSTITUTIONNEL</w:t>
      </w:r>
    </w:p>
    <w:p>
      <w:pPr>
        <w:spacing w:after="280"/>
        <w:jc w:val="center"/>
      </w:pPr>
      <w:r>
        <w:rPr>
          <w:rFonts w:ascii="Calibri" w:hAnsi="Calibri"/>
          <w:b/>
          <w:color w:val="1F4E79"/>
          <w:sz w:val="52"/>
        </w:rPr>
        <w:t>Journées scientifiques de contribution de l’APEC</w:t>
      </w:r>
    </w:p>
    <w:p>
      <w:pPr>
        <w:spacing w:after="960"/>
        <w:jc w:val="center"/>
      </w:pPr>
      <w:r>
        <w:rPr>
          <w:rFonts w:ascii="Calibri" w:hAnsi="Calibri"/>
          <w:i/>
          <w:color w:val="595959"/>
          <w:sz w:val="28"/>
        </w:rPr>
        <w:t>Financer, gouverner et transformer la Ville de Dakar à l’ère des pôles territoriaux et de l’Acte IV de la décentralisation</w:t>
      </w:r>
    </w:p>
    <w:tbl>
      <w:tblPr>
        <w:tblW w:type="dxa" w:w="7500"/>
        <w:jc w:val="center"/>
        <w:tblLook w:firstColumn="1" w:firstRow="1" w:lastColumn="0" w:lastRow="0" w:noHBand="0" w:noVBand="1" w:val="04A0"/>
        <w:tblInd w:w="90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60" w:type="dxa"/>
          <w:left w:w="140" w:type="dxa"/>
          <w:bottom w:w="60" w:type="dxa"/>
          <w:right w:w="140" w:type="dxa"/>
        </w:tblCellMar>
        <w:jc w:val="center"/>
      </w:tblPr>
      <w:tblGrid>
        <w:gridCol w:w="2800"/>
        <w:gridCol w:w="4700"/>
      </w:tblGrid>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Institution</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APEC – Ville de Dakar</w:t>
            </w:r>
          </w:p>
        </w:tc>
      </w:tr>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Période</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04 et 05 mai 2026</w:t>
            </w:r>
          </w:p>
        </w:tc>
      </w:tr>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Lieu</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Hôtel Azalaï, Dakar</w:t>
            </w:r>
          </w:p>
        </w:tc>
      </w:tr>
      <w:tr>
        <w:tc>
          <w:tcPr>
            <w:tcW w:type="dxa" w:w="2800"/>
            <w:tcMar>
              <w:top w:w="80" w:type="dxa"/>
              <w:start w:w="120" w:type="dxa"/>
              <w:bottom w:w="80" w:type="dxa"/>
              <w:end w:w="120" w:type="dxa"/>
            </w:tcMar>
            <w:vAlign w:val="center"/>
            <w:shd w:fill="EDF1F6" w:val="clear" w:color="auto"/>
          </w:tcPr>
          <w:p>
            <w:pPr>
              <w:spacing w:after="40" w:before="0" w:line="240" w:lineRule="auto"/>
            </w:pPr>
            <w:r>
              <w:rPr>
                <w:rFonts w:ascii="Calibri" w:hAnsi="Calibri"/>
                <w:b/>
                <w:color w:val="1F4E79"/>
                <w:sz w:val="20"/>
              </w:rPr>
              <w:t>Version</w:t>
            </w:r>
          </w:p>
        </w:tc>
        <w:tc>
          <w:tcPr>
            <w:tcW w:type="dxa" w:w="4700"/>
            <w:tcMar>
              <w:top w:w="80" w:type="dxa"/>
              <w:start w:w="120" w:type="dxa"/>
              <w:bottom w:w="80" w:type="dxa"/>
              <w:end w:w="120" w:type="dxa"/>
            </w:tcMar>
            <w:vAlign w:val="center"/>
            <w:shd w:val="clear" w:color="auto" w:fill="FFFFFF"/>
          </w:tcPr>
          <w:p>
            <w:pPr>
              <w:spacing w:after="40" w:before="0" w:line="240" w:lineRule="auto"/>
            </w:pPr>
            <w:r>
              <w:rPr>
                <w:rFonts w:ascii="Calibri" w:hAnsi="Calibri"/>
                <w:b w:val="0"/>
                <w:color w:val="232323"/>
                <w:sz w:val="20"/>
              </w:rPr>
              <w:t>Rapport institutionnel solide – document de travail</w:t>
            </w:r>
          </w:p>
        </w:tc>
      </w:tr>
    </w:tbl>
    <w:p>
      <w:pPr>
        <w:pStyle w:val="Heading1"/>
      </w:pPr>
      <w:r>
        <w:t>Avant-propos</w:t>
      </w:r>
    </w:p>
    <w:p>
      <w:r>
        <w:t>L’organisation des Journées scientifiques de contribution de l’APEC traduit la volonté des cadres municipaux de participer activement à la réflexion sur les transformations institutionnelles, territoriales, financières et organisationnelles qui concernent la Ville de Dakar. Elle intervient dans une période décisive, marquée par les discussions autour de l’Acte IV de la décentralisation, la mise en place des pôles territoriaux, la préparation des Jeux Olympiques de la Jeunesse Dakar 2026 et la recherche de nouvelles trajectoires de développement urbain.</w:t>
      </w:r>
    </w:p>
    <w:p>
      <w:r>
        <w:t>Le présent rapport vise à capitaliser les communications, débats, supports et recommandations issus des travaux tenus les 04 et 05 mai 2026 à l’Hôtel Azalaï. Il ne se substitue pas aux actes exhaustifs des journées ; il en propose une lecture institutionnelle, analytique et opérationnelle, destinée à éclairer la décision publique municipale, à nourrir le plaidoyer de l’APEC et à préparer la transformation de Dakar en métropole africaine durable, compétitive, inclusive et performante.</w:t>
      </w:r>
    </w:p>
    <w:p>
      <w:r>
        <w:t>La démarche retenue repose sur une analyse croisée des documents disponibles : agenda validé, pré-rapport, synthèse des recommandations, supports de présentation, notes d’intervention, transcriptions et documents de soutien ajoutés au corpus. Les transcriptions automatiques comportant parfois des imperfections, elles ont été utilisées avec prudence et recoupées avec les supports écrits, l’agenda officiel et les référentiels institutionnels disponibles. Un fichier TDR scanné n’a pas livré de texte exploitable sans OCR ; il n’a donc pas été utilisé comme source principale.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OBJECTIF DU RAPPORT</w:t>
            </w:r>
          </w:p>
          <w:p>
            <w:pPr>
              <w:spacing w:after="40" w:line="252" w:lineRule="auto"/>
            </w:pPr>
            <w:r>
              <w:rPr>
                <w:sz w:val="20"/>
              </w:rPr>
              <w:t>Présenter une synthèse institutionnelle, analytique et opérationnelle des travaux : identifier les messages clés, consolider les recommandations et proposer une feuille de route exploitable par la décision municipale.</w:t>
            </w:r>
          </w:p>
        </w:tc>
      </w:tr>
    </w:tbl>
    <w:p>
      <w:pPr>
        <w:pStyle w:val="Heading1"/>
      </w:pPr>
      <w:r>
        <w:t>Positionnement institutionnel</w:t>
      </w:r>
    </w:p>
    <w:p>
      <w:r>
        <w:t>Le rapport adopte un traitement professionnel et non personnalisé des travaux. Les contributions sont analysées à partir des thèmes, constats, données, messages clés et recommandations, sans appréciation individuelle. Les noms des intervenants ne sont conservés que lorsqu’ils sont nécessaires à la traçabilité de la composition des panels.</w:t>
      </w:r>
      <w:r>
        <w:rPr>
          <w:rStyle w:val="FootnoteReference"/>
        </w:rPr>
        <w:footnoteReference w:id="1"/>
      </w:r>
    </w:p>
    <w:p>
      <w:r>
        <w:t>Cette option éditoriale vise à produire un document de travail institutionnel : sobre dans le ton, fondé sur les sources disponibles, orienté vers la décision, et directement exploitable pour le plaidoyer, la programmation et le suivi des recommandations.</w:t>
      </w:r>
    </w:p>
    <w:p>
      <w:pPr>
        <w:pStyle w:val="TitreTDM"/>
      </w:pPr>
      <w:r>
        <w:t>Table des matières</w:t>
      </w:r>
    </w:p>
    <w:p>
      <w:pPr>
        <w:pStyle w:val="TOC1"/>
      </w:pPr>
      <w:r>
        <w:fldChar w:fldCharType="begin"/>
      </w:r>
      <w:r>
        <w:instrText xml:space="preserve"> TOC \o "1-3" \h \z \u </w:instrText>
      </w:r>
      <w:r>
        <w:fldChar w:fldCharType="separate"/>
      </w:r>
      <w:r>
        <w:t xml:space="preserve">Avant-propos</w:t>
      </w:r>
      <w:r>
        <w:tab/>
      </w:r>
      <w:r>
        <w:t xml:space="preserve">2</w:t>
      </w:r>
    </w:p>
    <w:p>
      <w:pPr>
        <w:pStyle w:val="TOC1"/>
      </w:pPr>
      <w:r>
        <w:t xml:space="preserve">Positionnement institutionnel</w:t>
      </w:r>
      <w:r>
        <w:tab/>
      </w:r>
      <w:r>
        <w:t xml:space="preserve">3</w:t>
      </w:r>
    </w:p>
    <w:p>
      <w:pPr>
        <w:pStyle w:val="TOC1"/>
      </w:pPr>
      <w:r>
        <w:t xml:space="preserve">Sigles et abréviations</w:t>
      </w:r>
      <w:r>
        <w:tab/>
      </w:r>
      <w:r>
        <w:t xml:space="preserve">8</w:t>
      </w:r>
    </w:p>
    <w:p>
      <w:pPr>
        <w:pStyle w:val="TOC1"/>
      </w:pPr>
      <w:r>
        <w:t xml:space="preserve">Glossaire opérationnel</w:t>
      </w:r>
      <w:r>
        <w:tab/>
      </w:r>
      <w:r>
        <w:t xml:space="preserve">10</w:t>
      </w:r>
    </w:p>
    <w:p>
      <w:pPr>
        <w:pStyle w:val="TOC1"/>
      </w:pPr>
      <w:r>
        <w:t xml:space="preserve">Note de décision – Ce que le Maire doit décider dans les 6 prochains mois</w:t>
      </w:r>
      <w:r>
        <w:tab/>
      </w:r>
      <w:r>
        <w:t xml:space="preserve">11</w:t>
      </w:r>
    </w:p>
    <w:p>
      <w:pPr>
        <w:pStyle w:val="TOC2"/>
      </w:pPr>
      <w:r>
        <w:t xml:space="preserve">Décisions par nature</w:t>
      </w:r>
      <w:r>
        <w:tab/>
      </w:r>
      <w:r>
        <w:t xml:space="preserve">13</w:t>
      </w:r>
    </w:p>
    <w:p>
      <w:pPr>
        <w:pStyle w:val="TOC1"/>
      </w:pPr>
      <w:r>
        <w:t xml:space="preserve">Plan détaillé paginé proposé</w:t>
      </w:r>
      <w:r>
        <w:tab/>
      </w:r>
      <w:r>
        <w:t xml:space="preserve">14</w:t>
      </w:r>
    </w:p>
    <w:p>
      <w:pPr>
        <w:pStyle w:val="TOC2"/>
      </w:pPr>
      <w:r>
        <w:t xml:space="preserve">Lecture de la pagination</w:t>
      </w:r>
      <w:r>
        <w:tab/>
      </w:r>
      <w:r>
        <w:t xml:space="preserve">15</w:t>
      </w:r>
    </w:p>
    <w:p>
      <w:pPr>
        <w:pStyle w:val="TOC1"/>
      </w:pPr>
      <w:r>
        <w:t xml:space="preserve">Résumé exécutif</w:t>
      </w:r>
      <w:r>
        <w:tab/>
      </w:r>
      <w:r>
        <w:t xml:space="preserve">16</w:t>
      </w:r>
    </w:p>
    <w:p>
      <w:pPr>
        <w:pStyle w:val="TOC2"/>
      </w:pPr>
      <w:r>
        <w:t xml:space="preserve">Données de cadrage à retenir</w:t>
      </w:r>
      <w:r>
        <w:tab/>
      </w:r>
      <w:r>
        <w:t xml:space="preserve">17</w:t>
      </w:r>
    </w:p>
    <w:p>
      <w:pPr>
        <w:pStyle w:val="TOC2"/>
      </w:pPr>
      <w:r>
        <w:t xml:space="preserve">Synthèse opérationnelle enrichie</w:t>
      </w:r>
      <w:r>
        <w:tab/>
      </w:r>
      <w:r>
        <w:t xml:space="preserve">19</w:t>
      </w:r>
    </w:p>
    <w:p>
      <w:pPr>
        <w:pStyle w:val="TOC2"/>
      </w:pPr>
      <w:r>
        <w:t xml:space="preserve">Messages clés consolidés</w:t>
      </w:r>
      <w:r>
        <w:tab/>
      </w:r>
      <w:r>
        <w:t xml:space="preserve">19</w:t>
      </w:r>
    </w:p>
    <w:p>
      <w:pPr>
        <w:pStyle w:val="TOC1"/>
      </w:pPr>
      <w:r>
        <w:t xml:space="preserve">Introduction générale</w:t>
      </w:r>
      <w:r>
        <w:tab/>
      </w:r>
      <w:r>
        <w:t xml:space="preserve">21</w:t>
      </w:r>
    </w:p>
    <w:p>
      <w:pPr>
        <w:pStyle w:val="TOC1"/>
      </w:pPr>
      <w:r>
        <w:t xml:space="preserve">Contexte institutionnel et territorial</w:t>
      </w:r>
      <w:r>
        <w:tab/>
      </w:r>
      <w:r>
        <w:t xml:space="preserve">23</w:t>
      </w:r>
    </w:p>
    <w:p>
      <w:pPr>
        <w:pStyle w:val="TOC2"/>
      </w:pPr>
      <w:r>
        <w:t xml:space="preserve">Dakar dans la trajectoire de la décentralisation</w:t>
      </w:r>
      <w:r>
        <w:tab/>
      </w:r>
      <w:r>
        <w:t xml:space="preserve">23</w:t>
      </w:r>
    </w:p>
    <w:p>
      <w:pPr>
        <w:pStyle w:val="TOC2"/>
      </w:pPr>
      <w:r>
        <w:t xml:space="preserve">Les pôles territoriaux comme opportunité et comme défi</w:t>
      </w:r>
      <w:r>
        <w:tab/>
      </w:r>
      <w:r>
        <w:t xml:space="preserve">23</w:t>
      </w:r>
    </w:p>
    <w:p>
      <w:pPr>
        <w:pStyle w:val="TOC2"/>
      </w:pPr>
      <w:r>
        <w:t xml:space="preserve">Vision Sénégal 2050 et transformation municipale</w:t>
      </w:r>
      <w:r>
        <w:tab/>
      </w:r>
      <w:r>
        <w:t xml:space="preserve">24</w:t>
      </w:r>
    </w:p>
    <w:p>
      <w:pPr>
        <w:pStyle w:val="TOC1"/>
      </w:pPr>
      <w:r>
        <w:t xml:space="preserve">Apports des documents de soutien intégrés</w:t>
      </w:r>
      <w:r>
        <w:tab/>
      </w:r>
      <w:r>
        <w:t xml:space="preserve">25</w:t>
      </w:r>
    </w:p>
    <w:p>
      <w:pPr>
        <w:pStyle w:val="TOC2"/>
      </w:pPr>
      <w:r>
        <w:t xml:space="preserve">Prise en compte renforcée des présentations et transcriptions</w:t>
      </w:r>
      <w:r>
        <w:tab/>
      </w:r>
      <w:r>
        <w:t xml:space="preserve">26</w:t>
      </w:r>
    </w:p>
    <w:p>
      <w:pPr>
        <w:pStyle w:val="TOC2"/>
      </w:pPr>
      <w:r>
        <w:t xml:space="preserve">Lecture budgétaire 2024</w:t>
      </w:r>
      <w:r>
        <w:tab/>
      </w:r>
      <w:r>
        <w:t xml:space="preserve">27</w:t>
      </w:r>
    </w:p>
    <w:p>
      <w:pPr>
        <w:pStyle w:val="TOC2"/>
      </w:pPr>
      <w:r>
        <w:t xml:space="preserve">Lecture institutionnelle : Acte III, Acte IV et PNADT</w:t>
      </w:r>
      <w:r>
        <w:tab/>
      </w:r>
      <w:r>
        <w:t xml:space="preserve">28</w:t>
      </w:r>
    </w:p>
    <w:p>
      <w:pPr>
        <w:pStyle w:val="TOC2"/>
      </w:pPr>
      <w:r>
        <w:t xml:space="preserve">Lecture juridique : Code général des Collectivités locales</w:t>
      </w:r>
      <w:r>
        <w:tab/>
      </w:r>
      <w:r>
        <w:t xml:space="preserve">29</w:t>
      </w:r>
    </w:p>
    <w:p>
      <w:pPr>
        <w:pStyle w:val="TOC2"/>
      </w:pPr>
      <w:r>
        <w:t xml:space="preserve">Lecture climat et finance verte</w:t>
      </w:r>
      <w:r>
        <w:tab/>
      </w:r>
      <w:r>
        <w:t xml:space="preserve">30</w:t>
      </w:r>
    </w:p>
    <w:p>
      <w:pPr>
        <w:pStyle w:val="TOC2"/>
      </w:pPr>
      <w:r>
        <w:t xml:space="preserve">Lecture GAR, comptabilité et planification municipale</w:t>
      </w:r>
      <w:r>
        <w:tab/>
      </w:r>
      <w:r>
        <w:t xml:space="preserve">30</w:t>
      </w:r>
    </w:p>
    <w:p>
      <w:pPr>
        <w:pStyle w:val="TOC1"/>
      </w:pPr>
      <w:r>
        <w:t xml:space="preserve">Recommandation structurante : Plan stratégique Dakar 2035-2050</w:t>
      </w:r>
      <w:r>
        <w:tab/>
      </w:r>
      <w:r>
        <w:t xml:space="preserve">32</w:t>
      </w:r>
    </w:p>
    <w:p>
      <w:pPr>
        <w:pStyle w:val="TOC1"/>
      </w:pPr>
      <w:r>
        <w:t xml:space="preserve">Diagnostic transversal de Dakar</w:t>
      </w:r>
      <w:r>
        <w:tab/>
      </w:r>
      <w:r>
        <w:t xml:space="preserve">34</w:t>
      </w:r>
    </w:p>
    <w:p>
      <w:pPr>
        <w:pStyle w:val="TOC2"/>
      </w:pPr>
      <w:r>
        <w:t xml:space="preserve">Les atouts</w:t>
      </w:r>
      <w:r>
        <w:tab/>
      </w:r>
      <w:r>
        <w:t xml:space="preserve">34</w:t>
      </w:r>
    </w:p>
    <w:p>
      <w:pPr>
        <w:pStyle w:val="TOC2"/>
      </w:pPr>
      <w:r>
        <w:t xml:space="preserve">Les contraintes</w:t>
      </w:r>
      <w:r>
        <w:tab/>
      </w:r>
      <w:r>
        <w:t xml:space="preserve">34</w:t>
      </w:r>
    </w:p>
    <w:p>
      <w:pPr>
        <w:pStyle w:val="TOC2"/>
      </w:pPr>
      <w:r>
        <w:t xml:space="preserve">Les enjeux transversaux</w:t>
      </w:r>
      <w:r>
        <w:tab/>
      </w:r>
      <w:r>
        <w:t xml:space="preserve">34</w:t>
      </w:r>
    </w:p>
    <w:p>
      <w:pPr>
        <w:pStyle w:val="TOC1"/>
      </w:pPr>
      <w:r>
        <w:t xml:space="preserve">Synthèse analytique des panels</w:t>
      </w:r>
      <w:r>
        <w:tab/>
      </w:r>
      <w:r>
        <w:t xml:space="preserve">36</w:t>
      </w:r>
    </w:p>
    <w:p>
      <w:pPr>
        <w:pStyle w:val="TOC2"/>
      </w:pPr>
      <w:r>
        <w:t xml:space="preserve">Panel 1 – La Ville de Dakar à l’épreuve des réformes des pôles territoriaux et de l’Acte IV</w:t>
      </w:r>
      <w:r>
        <w:tab/>
      </w:r>
      <w:r>
        <w:t xml:space="preserve">36</w:t>
      </w:r>
    </w:p>
    <w:p>
      <w:pPr>
        <w:pStyle w:val="TOC3"/>
      </w:pPr>
      <w:r>
        <w:t xml:space="preserve">Problématique</w:t>
      </w:r>
      <w:r>
        <w:tab/>
      </w:r>
      <w:r>
        <w:t xml:space="preserve">36</w:t>
      </w:r>
    </w:p>
    <w:p>
      <w:pPr>
        <w:pStyle w:val="TOC3"/>
      </w:pPr>
      <w:r>
        <w:t xml:space="preserve">Analyse</w:t>
      </w:r>
      <w:r>
        <w:tab/>
      </w:r>
      <w:r>
        <w:t xml:space="preserve">36</w:t>
      </w:r>
    </w:p>
    <w:p>
      <w:pPr>
        <w:pStyle w:val="TOC3"/>
      </w:pPr>
      <w:r>
        <w:t xml:space="preserve">Messages clés</w:t>
      </w:r>
      <w:r>
        <w:tab/>
      </w:r>
      <w:r>
        <w:t xml:space="preserve">37</w:t>
      </w:r>
    </w:p>
    <w:p>
      <w:pPr>
        <w:pStyle w:val="TOC3"/>
      </w:pPr>
      <w:r>
        <w:t xml:space="preserve">Recommandations issues du panel</w:t>
      </w:r>
      <w:r>
        <w:tab/>
      </w:r>
      <w:r>
        <w:t xml:space="preserve">37</w:t>
      </w:r>
    </w:p>
    <w:p>
      <w:pPr>
        <w:pStyle w:val="TOC2"/>
      </w:pPr>
      <w:r>
        <w:t xml:space="preserve">Panel 2 – Réforme de la gouvernance municipale et gestion axée sur les résultats</w:t>
      </w:r>
      <w:r>
        <w:tab/>
      </w:r>
      <w:r>
        <w:t xml:space="preserve">38</w:t>
      </w:r>
    </w:p>
    <w:p>
      <w:pPr>
        <w:pStyle w:val="TOC3"/>
      </w:pPr>
      <w:r>
        <w:t xml:space="preserve">Problématique</w:t>
      </w:r>
      <w:r>
        <w:tab/>
      </w:r>
      <w:r>
        <w:t xml:space="preserve">38</w:t>
      </w:r>
    </w:p>
    <w:p>
      <w:pPr>
        <w:pStyle w:val="TOC3"/>
      </w:pPr>
      <w:r>
        <w:t xml:space="preserve">Analyse</w:t>
      </w:r>
      <w:r>
        <w:tab/>
      </w:r>
      <w:r>
        <w:t xml:space="preserve">38</w:t>
      </w:r>
    </w:p>
    <w:p>
      <w:pPr>
        <w:pStyle w:val="TOC3"/>
      </w:pPr>
      <w:r>
        <w:t xml:space="preserve">Messages clés</w:t>
      </w:r>
      <w:r>
        <w:tab/>
      </w:r>
      <w:r>
        <w:t xml:space="preserve">39</w:t>
      </w:r>
    </w:p>
    <w:p>
      <w:pPr>
        <w:pStyle w:val="TOC3"/>
      </w:pPr>
      <w:r>
        <w:t xml:space="preserve">Recommandations issues du panel</w:t>
      </w:r>
      <w:r>
        <w:tab/>
      </w:r>
      <w:r>
        <w:t xml:space="preserve">39</w:t>
      </w:r>
    </w:p>
    <w:p>
      <w:pPr>
        <w:pStyle w:val="TOC2"/>
      </w:pPr>
      <w:r>
        <w:t xml:space="preserve">Panel 3 – Mobilisation des ressources locales et ingénierie financière</w:t>
      </w:r>
      <w:r>
        <w:tab/>
      </w:r>
      <w:r>
        <w:t xml:space="preserve">39</w:t>
      </w:r>
    </w:p>
    <w:p>
      <w:pPr>
        <w:pStyle w:val="TOC3"/>
      </w:pPr>
      <w:r>
        <w:t xml:space="preserve">Problématique</w:t>
      </w:r>
      <w:r>
        <w:tab/>
      </w:r>
      <w:r>
        <w:t xml:space="preserve">39</w:t>
      </w:r>
    </w:p>
    <w:p>
      <w:pPr>
        <w:pStyle w:val="TOC3"/>
      </w:pPr>
      <w:r>
        <w:t xml:space="preserve">Analyse</w:t>
      </w:r>
      <w:r>
        <w:tab/>
      </w:r>
      <w:r>
        <w:t xml:space="preserve">39</w:t>
      </w:r>
    </w:p>
    <w:p>
      <w:pPr>
        <w:pStyle w:val="TOC3"/>
      </w:pPr>
      <w:r>
        <w:t xml:space="preserve">Messages clés</w:t>
      </w:r>
      <w:r>
        <w:tab/>
      </w:r>
      <w:r>
        <w:t xml:space="preserve">40</w:t>
      </w:r>
    </w:p>
    <w:p>
      <w:pPr>
        <w:pStyle w:val="TOC3"/>
      </w:pPr>
      <w:r>
        <w:t xml:space="preserve">Recommandations issues du panel</w:t>
      </w:r>
      <w:r>
        <w:tab/>
      </w:r>
      <w:r>
        <w:t xml:space="preserve">40</w:t>
      </w:r>
    </w:p>
    <w:p>
      <w:pPr>
        <w:pStyle w:val="TOC2"/>
      </w:pPr>
      <w:r>
        <w:t xml:space="preserve">Panel 4 – Financements innovants, PPP et finance climat</w:t>
      </w:r>
      <w:r>
        <w:tab/>
      </w:r>
      <w:r>
        <w:t xml:space="preserve">41</w:t>
      </w:r>
    </w:p>
    <w:p>
      <w:pPr>
        <w:pStyle w:val="TOC3"/>
      </w:pPr>
      <w:r>
        <w:t xml:space="preserve">Problématique</w:t>
      </w:r>
      <w:r>
        <w:tab/>
      </w:r>
      <w:r>
        <w:t xml:space="preserve">41</w:t>
      </w:r>
    </w:p>
    <w:p>
      <w:pPr>
        <w:pStyle w:val="TOC3"/>
      </w:pPr>
      <w:r>
        <w:t xml:space="preserve">Analyse</w:t>
      </w:r>
      <w:r>
        <w:tab/>
      </w:r>
      <w:r>
        <w:t xml:space="preserve">41</w:t>
      </w:r>
    </w:p>
    <w:p>
      <w:pPr>
        <w:pStyle w:val="TOC3"/>
      </w:pPr>
      <w:r>
        <w:t xml:space="preserve">Messages clés</w:t>
      </w:r>
      <w:r>
        <w:tab/>
      </w:r>
      <w:r>
        <w:t xml:space="preserve">42</w:t>
      </w:r>
    </w:p>
    <w:p>
      <w:pPr>
        <w:pStyle w:val="TOC3"/>
      </w:pPr>
      <w:r>
        <w:t xml:space="preserve">Recommandations issues du panel</w:t>
      </w:r>
      <w:r>
        <w:tab/>
      </w:r>
      <w:r>
        <w:t xml:space="preserve">42</w:t>
      </w:r>
    </w:p>
    <w:p>
      <w:pPr>
        <w:pStyle w:val="TOC2"/>
      </w:pPr>
      <w:r>
        <w:t xml:space="preserve">Panel 5 – Investir dans le capital humain municipal</w:t>
      </w:r>
      <w:r>
        <w:tab/>
      </w:r>
      <w:r>
        <w:t xml:space="preserve">42</w:t>
      </w:r>
    </w:p>
    <w:p>
      <w:pPr>
        <w:pStyle w:val="TOC3"/>
      </w:pPr>
      <w:r>
        <w:t xml:space="preserve">Problématique</w:t>
      </w:r>
      <w:r>
        <w:tab/>
      </w:r>
      <w:r>
        <w:t xml:space="preserve">42</w:t>
      </w:r>
    </w:p>
    <w:p>
      <w:pPr>
        <w:pStyle w:val="TOC3"/>
      </w:pPr>
      <w:r>
        <w:t xml:space="preserve">Analyse</w:t>
      </w:r>
      <w:r>
        <w:tab/>
      </w:r>
      <w:r>
        <w:t xml:space="preserve">42</w:t>
      </w:r>
    </w:p>
    <w:p>
      <w:pPr>
        <w:pStyle w:val="TOC3"/>
      </w:pPr>
      <w:r>
        <w:t xml:space="preserve">Messages clés</w:t>
      </w:r>
      <w:r>
        <w:tab/>
      </w:r>
      <w:r>
        <w:t xml:space="preserve">43</w:t>
      </w:r>
    </w:p>
    <w:p>
      <w:pPr>
        <w:pStyle w:val="TOC3"/>
      </w:pPr>
      <w:r>
        <w:t xml:space="preserve">Recommandations issues du panel</w:t>
      </w:r>
      <w:r>
        <w:tab/>
      </w:r>
      <w:r>
        <w:t xml:space="preserve">43</w:t>
      </w:r>
    </w:p>
    <w:p>
      <w:pPr>
        <w:pStyle w:val="TOC2"/>
      </w:pPr>
      <w:r>
        <w:t xml:space="preserve">Panel 6 – Rayonnement international et attractivité de la Ville de Dakar</w:t>
      </w:r>
      <w:r>
        <w:tab/>
      </w:r>
      <w:r>
        <w:t xml:space="preserve">44</w:t>
      </w:r>
    </w:p>
    <w:p>
      <w:pPr>
        <w:pStyle w:val="TOC3"/>
      </w:pPr>
      <w:r>
        <w:t xml:space="preserve">Problématique</w:t>
      </w:r>
      <w:r>
        <w:tab/>
      </w:r>
      <w:r>
        <w:t xml:space="preserve">44</w:t>
      </w:r>
    </w:p>
    <w:p>
      <w:pPr>
        <w:pStyle w:val="TOC3"/>
      </w:pPr>
      <w:r>
        <w:t xml:space="preserve">Analyse</w:t>
      </w:r>
      <w:r>
        <w:tab/>
      </w:r>
      <w:r>
        <w:t xml:space="preserve">44</w:t>
      </w:r>
    </w:p>
    <w:p>
      <w:pPr>
        <w:pStyle w:val="TOC3"/>
      </w:pPr>
      <w:r>
        <w:t xml:space="preserve">Messages clés</w:t>
      </w:r>
      <w:r>
        <w:tab/>
      </w:r>
      <w:r>
        <w:t xml:space="preserve">45</w:t>
      </w:r>
    </w:p>
    <w:p>
      <w:pPr>
        <w:pStyle w:val="TOC3"/>
      </w:pPr>
      <w:r>
        <w:t xml:space="preserve">Recommandations issues du panel</w:t>
      </w:r>
      <w:r>
        <w:tab/>
      </w:r>
      <w:r>
        <w:t xml:space="preserve">45</w:t>
      </w:r>
    </w:p>
    <w:p>
      <w:pPr>
        <w:pStyle w:val="TOC1"/>
      </w:pPr>
      <w:r>
        <w:t xml:space="preserve">Messages majeurs issus des débats</w:t>
      </w:r>
      <w:r>
        <w:tab/>
      </w:r>
      <w:r>
        <w:t xml:space="preserve">46</w:t>
      </w:r>
    </w:p>
    <w:p>
      <w:pPr>
        <w:pStyle w:val="TOC1"/>
      </w:pPr>
      <w:r>
        <w:t xml:space="preserve">Points de débat et arbitrages à trancher</w:t>
      </w:r>
      <w:r>
        <w:tab/>
      </w:r>
      <w:r>
        <w:t xml:space="preserve">48</w:t>
      </w:r>
    </w:p>
    <w:p>
      <w:pPr>
        <w:pStyle w:val="TOC1"/>
      </w:pPr>
      <w:r>
        <w:t xml:space="preserve">Approfondissements stratégiques</w:t>
      </w:r>
      <w:r>
        <w:tab/>
      </w:r>
      <w:r>
        <w:t xml:space="preserve">50</w:t>
      </w:r>
    </w:p>
    <w:p>
      <w:pPr>
        <w:pStyle w:val="TOC2"/>
      </w:pPr>
      <w:r>
        <w:t xml:space="preserve">1. Repenser le statut de Dakar comme condition de transformation</w:t>
      </w:r>
      <w:r>
        <w:tab/>
      </w:r>
      <w:r>
        <w:t xml:space="preserve">50</w:t>
      </w:r>
    </w:p>
    <w:p>
      <w:pPr>
        <w:pStyle w:val="TOC3"/>
      </w:pPr>
      <w:r>
        <w:t xml:space="preserve">Scénarios de statut à inscrire dans l’Acte IV</w:t>
      </w:r>
      <w:r>
        <w:tab/>
      </w:r>
      <w:r>
        <w:t xml:space="preserve">51</w:t>
      </w:r>
    </w:p>
    <w:p>
      <w:pPr>
        <w:pStyle w:val="TOC3"/>
      </w:pPr>
      <w:r>
        <w:t xml:space="preserve">Compétences nouvelles à négocier</w:t>
      </w:r>
      <w:r>
        <w:tab/>
      </w:r>
      <w:r>
        <w:t xml:space="preserve">52</w:t>
      </w:r>
    </w:p>
    <w:p>
      <w:pPr>
        <w:pStyle w:val="TOC2"/>
      </w:pPr>
      <w:r>
        <w:t xml:space="preserve">2. Institutionnaliser la gestion axée sur les résultats</w:t>
      </w:r>
      <w:r>
        <w:tab/>
      </w:r>
      <w:r>
        <w:t xml:space="preserve">53</w:t>
      </w:r>
    </w:p>
    <w:p>
      <w:pPr>
        <w:pStyle w:val="TOC2"/>
      </w:pPr>
      <w:r>
        <w:t xml:space="preserve">3. Construire une autonomie financière crédible et équitable</w:t>
      </w:r>
      <w:r>
        <w:tab/>
      </w:r>
      <w:r>
        <w:t xml:space="preserve">55</w:t>
      </w:r>
    </w:p>
    <w:p>
      <w:pPr>
        <w:pStyle w:val="TOC2"/>
      </w:pPr>
      <w:r>
        <w:t xml:space="preserve">4. Passer des financements innovants aux projets bancables</w:t>
      </w:r>
      <w:r>
        <w:tab/>
      </w:r>
      <w:r>
        <w:t xml:space="preserve">56</w:t>
      </w:r>
    </w:p>
    <w:p>
      <w:pPr>
        <w:pStyle w:val="TOC2"/>
      </w:pPr>
      <w:r>
        <w:t xml:space="preserve">5. Faire du capital humain le moteur de la réforme municipale</w:t>
      </w:r>
      <w:r>
        <w:tab/>
      </w:r>
      <w:r>
        <w:t xml:space="preserve">57</w:t>
      </w:r>
    </w:p>
    <w:p>
      <w:pPr>
        <w:pStyle w:val="TOC2"/>
      </w:pPr>
      <w:r>
        <w:t xml:space="preserve">6. Organiser le rayonnement international autour d’une marque territoriale</w:t>
      </w:r>
      <w:r>
        <w:tab/>
      </w:r>
      <w:r>
        <w:t xml:space="preserve">59</w:t>
      </w:r>
    </w:p>
    <w:p>
      <w:pPr>
        <w:pStyle w:val="TOC1"/>
      </w:pPr>
      <w:r>
        <w:t xml:space="preserve">Benchmark international ciblé</w:t>
      </w:r>
      <w:r>
        <w:tab/>
      </w:r>
      <w:r>
        <w:t xml:space="preserve">61</w:t>
      </w:r>
    </w:p>
    <w:p>
      <w:pPr>
        <w:pStyle w:val="TOC2"/>
      </w:pPr>
      <w:r>
        <w:t xml:space="preserve">Leçons transversales pour Dakar</w:t>
      </w:r>
      <w:r>
        <w:tab/>
      </w:r>
      <w:r>
        <w:t xml:space="preserve">62</w:t>
      </w:r>
    </w:p>
    <w:p>
      <w:pPr>
        <w:pStyle w:val="TOC1"/>
      </w:pPr>
      <w:r>
        <w:t xml:space="preserve">Programme de transformation proposé</w:t>
      </w:r>
      <w:r>
        <w:tab/>
      </w:r>
      <w:r>
        <w:t xml:space="preserve">64</w:t>
      </w:r>
    </w:p>
    <w:p>
      <w:pPr>
        <w:pStyle w:val="TOC2"/>
      </w:pPr>
      <w:r>
        <w:t xml:space="preserve">Programme 1 – Statut, gouvernance territoriale et leadership métropolitain</w:t>
      </w:r>
      <w:r>
        <w:tab/>
      </w:r>
      <w:r>
        <w:t xml:space="preserve">64</w:t>
      </w:r>
    </w:p>
    <w:p>
      <w:pPr>
        <w:pStyle w:val="TOC3"/>
      </w:pPr>
      <w:r>
        <w:t xml:space="preserve">Actions prioritaires</w:t>
      </w:r>
      <w:r>
        <w:tab/>
      </w:r>
      <w:r>
        <w:t xml:space="preserve">64</w:t>
      </w:r>
    </w:p>
    <w:p>
      <w:pPr>
        <w:pStyle w:val="TOC2"/>
      </w:pPr>
      <w:r>
        <w:t xml:space="preserve">Programme 2 – GAR, gouvernance des données et budget-programme</w:t>
      </w:r>
      <w:r>
        <w:tab/>
      </w:r>
      <w:r>
        <w:t xml:space="preserve">65</w:t>
      </w:r>
    </w:p>
    <w:p>
      <w:pPr>
        <w:pStyle w:val="TOC3"/>
      </w:pPr>
      <w:r>
        <w:t xml:space="preserve">Actions prioritaires</w:t>
      </w:r>
      <w:r>
        <w:tab/>
      </w:r>
      <w:r>
        <w:t xml:space="preserve">65</w:t>
      </w:r>
    </w:p>
    <w:p>
      <w:pPr>
        <w:pStyle w:val="TOC2"/>
      </w:pPr>
      <w:r>
        <w:t xml:space="preserve">Programme 3 – Autonomie financière, assiette fiscale et ressources propres</w:t>
      </w:r>
      <w:r>
        <w:tab/>
      </w:r>
      <w:r>
        <w:t xml:space="preserve">66</w:t>
      </w:r>
    </w:p>
    <w:p>
      <w:pPr>
        <w:pStyle w:val="TOC3"/>
      </w:pPr>
      <w:r>
        <w:t xml:space="preserve">Actions prioritaires</w:t>
      </w:r>
      <w:r>
        <w:tab/>
      </w:r>
      <w:r>
        <w:t xml:space="preserve">66</w:t>
      </w:r>
    </w:p>
    <w:p>
      <w:pPr>
        <w:pStyle w:val="TOC2"/>
      </w:pPr>
      <w:r>
        <w:t xml:space="preserve">Programme 4 – Ingénierie de projets, PPP et finance climat</w:t>
      </w:r>
      <w:r>
        <w:tab/>
      </w:r>
      <w:r>
        <w:t xml:space="preserve">67</w:t>
      </w:r>
    </w:p>
    <w:p>
      <w:pPr>
        <w:pStyle w:val="TOC3"/>
      </w:pPr>
      <w:r>
        <w:t xml:space="preserve">Actions prioritaires</w:t>
      </w:r>
      <w:r>
        <w:tab/>
      </w:r>
      <w:r>
        <w:t xml:space="preserve">67</w:t>
      </w:r>
    </w:p>
    <w:p>
      <w:pPr>
        <w:pStyle w:val="TOC2"/>
      </w:pPr>
      <w:r>
        <w:t xml:space="preserve">Programme 5 – Capital humain, GPEC et administration apprenante</w:t>
      </w:r>
      <w:r>
        <w:tab/>
      </w:r>
      <w:r>
        <w:t xml:space="preserve">68</w:t>
      </w:r>
    </w:p>
    <w:p>
      <w:pPr>
        <w:pStyle w:val="TOC3"/>
      </w:pPr>
      <w:r>
        <w:t xml:space="preserve">Actions prioritaires</w:t>
      </w:r>
      <w:r>
        <w:tab/>
      </w:r>
      <w:r>
        <w:t xml:space="preserve">68</w:t>
      </w:r>
    </w:p>
    <w:p>
      <w:pPr>
        <w:pStyle w:val="TOC2"/>
      </w:pPr>
      <w:r>
        <w:t xml:space="preserve">Programme 6 – Rayonnement international, Dakar Brand et attractivité</w:t>
      </w:r>
      <w:r>
        <w:tab/>
      </w:r>
      <w:r>
        <w:t xml:space="preserve">68</w:t>
      </w:r>
    </w:p>
    <w:p>
      <w:pPr>
        <w:pStyle w:val="TOC3"/>
      </w:pPr>
      <w:r>
        <w:t xml:space="preserve">Actions prioritaires</w:t>
      </w:r>
      <w:r>
        <w:tab/>
      </w:r>
      <w:r>
        <w:t xml:space="preserve">69</w:t>
      </w:r>
    </w:p>
    <w:p>
      <w:pPr>
        <w:pStyle w:val="TOC2"/>
      </w:pPr>
      <w:r>
        <w:t xml:space="preserve">Programme 7 – Transformation numérique et services municipaux</w:t>
      </w:r>
      <w:r>
        <w:tab/>
      </w:r>
      <w:r>
        <w:t xml:space="preserve">69</w:t>
      </w:r>
    </w:p>
    <w:p>
      <w:pPr>
        <w:pStyle w:val="TOC3"/>
      </w:pPr>
      <w:r>
        <w:t xml:space="preserve">Actions prioritaires</w:t>
      </w:r>
      <w:r>
        <w:tab/>
      </w:r>
      <w:r>
        <w:t xml:space="preserve">70</w:t>
      </w:r>
    </w:p>
    <w:p>
      <w:pPr>
        <w:pStyle w:val="TOC2"/>
      </w:pPr>
      <w:r>
        <w:t xml:space="preserve">Programme 8 – Transition écologique, PCET et résilience climatique</w:t>
      </w:r>
      <w:r>
        <w:tab/>
      </w:r>
      <w:r>
        <w:t xml:space="preserve">70</w:t>
      </w:r>
    </w:p>
    <w:p>
      <w:pPr>
        <w:pStyle w:val="TOC3"/>
      </w:pPr>
      <w:r>
        <w:t xml:space="preserve">Actions prioritaires</w:t>
      </w:r>
      <w:r>
        <w:tab/>
      </w:r>
      <w:r>
        <w:t xml:space="preserve">71</w:t>
      </w:r>
    </w:p>
    <w:p>
      <w:pPr>
        <w:pStyle w:val="TOC1"/>
      </w:pPr>
      <w:r>
        <w:t xml:space="preserve">Chantiers critiques à intégrer</w:t>
      </w:r>
      <w:r>
        <w:tab/>
      </w:r>
      <w:r>
        <w:t xml:space="preserve">72</w:t>
      </w:r>
    </w:p>
    <w:p>
      <w:pPr>
        <w:pStyle w:val="TOC2"/>
      </w:pPr>
      <w:r>
        <w:t xml:space="preserve">1. Faire de la donnée une priorité de financement</w:t>
      </w:r>
      <w:r>
        <w:tab/>
      </w:r>
      <w:r>
        <w:t xml:space="preserve">72</w:t>
      </w:r>
    </w:p>
    <w:p>
      <w:pPr>
        <w:pStyle w:val="TOC2"/>
      </w:pPr>
      <w:r>
        <w:t xml:space="preserve">2. Normaliser et généraliser la GAR dans l’Acte IV</w:t>
      </w:r>
      <w:r>
        <w:tab/>
      </w:r>
      <w:r>
        <w:t xml:space="preserve">73</w:t>
      </w:r>
    </w:p>
    <w:p>
      <w:pPr>
        <w:pStyle w:val="TOC2"/>
      </w:pPr>
      <w:r>
        <w:t xml:space="preserve">3. Déployer l’e-taxe pour élargir l’assiette fiscale</w:t>
      </w:r>
      <w:r>
        <w:tab/>
      </w:r>
      <w:r>
        <w:t xml:space="preserve">73</w:t>
      </w:r>
    </w:p>
    <w:p>
      <w:pPr>
        <w:pStyle w:val="TOC2"/>
      </w:pPr>
      <w:r>
        <w:t xml:space="preserve">4. Structurer la fiscalité événementielle</w:t>
      </w:r>
      <w:r>
        <w:tab/>
      </w:r>
      <w:r>
        <w:t xml:space="preserve">74</w:t>
      </w:r>
    </w:p>
    <w:p>
      <w:pPr>
        <w:pStyle w:val="TOC2"/>
      </w:pPr>
      <w:r>
        <w:t xml:space="preserve">5. Intégrer le numérique comme norme de l’Acte IV</w:t>
      </w:r>
      <w:r>
        <w:tab/>
      </w:r>
      <w:r>
        <w:t xml:space="preserve">74</w:t>
      </w:r>
    </w:p>
    <w:p>
      <w:pPr>
        <w:pStyle w:val="TOC2"/>
      </w:pPr>
      <w:r>
        <w:t xml:space="preserve">6. Faire de la transition écologique un portefeuille de projets finançables</w:t>
      </w:r>
      <w:r>
        <w:tab/>
      </w:r>
      <w:r>
        <w:t xml:space="preserve">75</w:t>
      </w:r>
    </w:p>
    <w:p>
      <w:pPr>
        <w:pStyle w:val="TOC2"/>
      </w:pPr>
      <w:r>
        <w:t xml:space="preserve">Gestion du portefeuille de projets : principe de maturité</w:t>
      </w:r>
      <w:r>
        <w:tab/>
      </w:r>
      <w:r>
        <w:t xml:space="preserve">75</w:t>
      </w:r>
    </w:p>
    <w:p>
      <w:pPr>
        <w:pStyle w:val="TOC1"/>
      </w:pPr>
      <w:r>
        <w:t xml:space="preserve">Réformes fiscales territoriales pour financer Dakar à long terme</w:t>
      </w:r>
      <w:r>
        <w:tab/>
      </w:r>
      <w:r>
        <w:t xml:space="preserve">77</w:t>
      </w:r>
    </w:p>
    <w:p>
      <w:pPr>
        <w:pStyle w:val="TOC2"/>
      </w:pPr>
      <w:r>
        <w:t xml:space="preserve">Les sept réformes fiscales prioritaires</w:t>
      </w:r>
      <w:r>
        <w:tab/>
      </w:r>
      <w:r>
        <w:t xml:space="preserve">77</w:t>
      </w:r>
    </w:p>
    <w:p>
      <w:pPr>
        <w:pStyle w:val="TOC2"/>
      </w:pPr>
      <w:r>
        <w:t xml:space="preserve">Encadré de priorisation fiscale à l’horizon 2035</w:t>
      </w:r>
      <w:r>
        <w:tab/>
      </w:r>
      <w:r>
        <w:t xml:space="preserve">78</w:t>
      </w:r>
    </w:p>
    <w:p>
      <w:pPr>
        <w:pStyle w:val="TOC2"/>
      </w:pPr>
      <w:r>
        <w:t xml:space="preserve">Benchmark fiscal comparatif</w:t>
      </w:r>
      <w:r>
        <w:tab/>
      </w:r>
      <w:r>
        <w:t xml:space="preserve">78</w:t>
      </w:r>
    </w:p>
    <w:p>
      <w:pPr>
        <w:pStyle w:val="TOC1"/>
      </w:pPr>
      <w:r>
        <w:t xml:space="preserve">Messages transversaux</w:t>
      </w:r>
      <w:r>
        <w:tab/>
      </w:r>
      <w:r>
        <w:t xml:space="preserve">80</w:t>
      </w:r>
    </w:p>
    <w:p>
      <w:pPr>
        <w:pStyle w:val="TOC2"/>
      </w:pPr>
      <w:r>
        <w:t xml:space="preserve">Une vision métropolitaine doit précéder les instruments.</w:t>
      </w:r>
      <w:r>
        <w:tab/>
      </w:r>
      <w:r>
        <w:t xml:space="preserve">80</w:t>
      </w:r>
    </w:p>
    <w:p>
      <w:pPr>
        <w:pStyle w:val="TOC2"/>
      </w:pPr>
      <w:r>
        <w:t xml:space="preserve">La clarification institutionnelle conditionne la performance.</w:t>
      </w:r>
      <w:r>
        <w:tab/>
      </w:r>
      <w:r>
        <w:t xml:space="preserve">80</w:t>
      </w:r>
    </w:p>
    <w:p>
      <w:pPr>
        <w:pStyle w:val="TOC2"/>
      </w:pPr>
      <w:r>
        <w:t xml:space="preserve">La donnée devient un actif municipal.</w:t>
      </w:r>
      <w:r>
        <w:tab/>
      </w:r>
      <w:r>
        <w:t xml:space="preserve">80</w:t>
      </w:r>
    </w:p>
    <w:p>
      <w:pPr>
        <w:pStyle w:val="TOC2"/>
      </w:pPr>
      <w:r>
        <w:t xml:space="preserve">La mobilisation des ressources commence par la crédibilité.</w:t>
      </w:r>
      <w:r>
        <w:tab/>
      </w:r>
      <w:r>
        <w:t xml:space="preserve">80</w:t>
      </w:r>
    </w:p>
    <w:p>
      <w:pPr>
        <w:pStyle w:val="TOC2"/>
      </w:pPr>
      <w:r>
        <w:t xml:space="preserve">Le capital humain relie toutes les transformations.</w:t>
      </w:r>
      <w:r>
        <w:tab/>
      </w:r>
      <w:r>
        <w:t xml:space="preserve">80</w:t>
      </w:r>
    </w:p>
    <w:p>
      <w:pPr>
        <w:pStyle w:val="TOC2"/>
      </w:pPr>
      <w:r>
        <w:t xml:space="preserve">L’attractivité internationale doit être fondée sur la qualité urbaine.</w:t>
      </w:r>
      <w:r>
        <w:tab/>
      </w:r>
      <w:r>
        <w:t xml:space="preserve">80</w:t>
      </w:r>
    </w:p>
    <w:p>
      <w:pPr>
        <w:pStyle w:val="TOC1"/>
      </w:pPr>
      <w:r>
        <w:t xml:space="preserve">Recommandations stratégiques et opérationnelles</w:t>
      </w:r>
      <w:r>
        <w:tab/>
      </w:r>
      <w:r>
        <w:t xml:space="preserve">82</w:t>
      </w:r>
    </w:p>
    <w:p>
      <w:pPr>
        <w:pStyle w:val="TOC2"/>
      </w:pPr>
      <w:r>
        <w:t xml:space="preserve">Pour l’État</w:t>
      </w:r>
      <w:r>
        <w:tab/>
      </w:r>
      <w:r>
        <w:t xml:space="preserve">82</w:t>
      </w:r>
    </w:p>
    <w:p>
      <w:pPr>
        <w:pStyle w:val="TOC2"/>
      </w:pPr>
      <w:r>
        <w:t xml:space="preserve">Pour la Ville de Dakar</w:t>
      </w:r>
      <w:r>
        <w:tab/>
      </w:r>
      <w:r>
        <w:t xml:space="preserve">82</w:t>
      </w:r>
    </w:p>
    <w:p>
      <w:pPr>
        <w:pStyle w:val="TOC2"/>
      </w:pPr>
      <w:r>
        <w:t xml:space="preserve">Pour les communes de Dakar</w:t>
      </w:r>
      <w:r>
        <w:tab/>
      </w:r>
      <w:r>
        <w:t xml:space="preserve">84</w:t>
      </w:r>
    </w:p>
    <w:p>
      <w:pPr>
        <w:pStyle w:val="TOC2"/>
      </w:pPr>
      <w:r>
        <w:t xml:space="preserve">Pour l’APEC</w:t>
      </w:r>
      <w:r>
        <w:tab/>
      </w:r>
      <w:r>
        <w:t xml:space="preserve">84</w:t>
      </w:r>
    </w:p>
    <w:p>
      <w:pPr>
        <w:pStyle w:val="TOC2"/>
      </w:pPr>
      <w:r>
        <w:t xml:space="preserve">Pour les partenaires techniques, financiers et privés</w:t>
      </w:r>
      <w:r>
        <w:tab/>
      </w:r>
      <w:r>
        <w:t xml:space="preserve">84</w:t>
      </w:r>
    </w:p>
    <w:p>
      <w:pPr>
        <w:pStyle w:val="TOC2"/>
      </w:pPr>
      <w:r>
        <w:t xml:space="preserve">Matrice synthétique des priorités</w:t>
      </w:r>
      <w:r>
        <w:tab/>
      </w:r>
      <w:r>
        <w:t xml:space="preserve">85</w:t>
      </w:r>
    </w:p>
    <w:p>
      <w:pPr>
        <w:pStyle w:val="TOC1"/>
      </w:pPr>
      <w:r>
        <w:t xml:space="preserve">Priorisation et opérationnalisation renforcée</w:t>
      </w:r>
      <w:r>
        <w:tab/>
      </w:r>
      <w:r>
        <w:t xml:space="preserve">86</w:t>
      </w:r>
    </w:p>
    <w:p>
      <w:pPr>
        <w:pStyle w:val="TOC2"/>
      </w:pPr>
      <w:r>
        <w:t xml:space="preserve">Recommandations par niveau territorial</w:t>
      </w:r>
      <w:r>
        <w:tab/>
      </w:r>
      <w:r>
        <w:t xml:space="preserve">86</w:t>
      </w:r>
    </w:p>
    <w:p>
      <w:pPr>
        <w:pStyle w:val="TOC2"/>
      </w:pPr>
      <w:r>
        <w:t xml:space="preserve">Matrice de priorisation impact – faisabilité – urgence</w:t>
      </w:r>
      <w:r>
        <w:tab/>
      </w:r>
      <w:r>
        <w:t xml:space="preserve">87</w:t>
      </w:r>
    </w:p>
    <w:p>
      <w:pPr>
        <w:pStyle w:val="TOC2"/>
      </w:pPr>
      <w:r>
        <w:t xml:space="preserve">Matrice opérationnelle SMART</w:t>
      </w:r>
      <w:r>
        <w:tab/>
      </w:r>
      <w:r>
        <w:t xml:space="preserve">88</w:t>
      </w:r>
    </w:p>
    <w:p>
      <w:pPr>
        <w:pStyle w:val="TOC2"/>
      </w:pPr>
      <w:r>
        <w:t xml:space="preserve">Chiffrage, financement potentiel et gains attendus</w:t>
      </w:r>
      <w:r>
        <w:tab/>
      </w:r>
      <w:r>
        <w:t xml:space="preserve">90</w:t>
      </w:r>
    </w:p>
    <w:p>
      <w:pPr>
        <w:pStyle w:val="TOC2"/>
      </w:pPr>
      <w:r>
        <w:t xml:space="preserve">Risques de non-mise en œuvre</w:t>
      </w:r>
      <w:r>
        <w:tab/>
      </w:r>
      <w:r>
        <w:t xml:space="preserve">92</w:t>
      </w:r>
    </w:p>
    <w:p>
      <w:pPr>
        <w:pStyle w:val="TOC1"/>
      </w:pPr>
      <w:r>
        <w:t xml:space="preserve">Matrice globale opérationnelle d’action</w:t>
      </w:r>
      <w:r>
        <w:tab/>
      </w:r>
      <w:r>
        <w:t xml:space="preserve">93</w:t>
      </w:r>
    </w:p>
    <w:p>
      <w:pPr>
        <w:pStyle w:val="TOC2"/>
      </w:pPr>
      <w:r>
        <w:t xml:space="preserve">Matrice thématique de responsabilité</w:t>
      </w:r>
      <w:r>
        <w:tab/>
      </w:r>
      <w:r>
        <w:t xml:space="preserve">94</w:t>
      </w:r>
    </w:p>
    <w:p>
      <w:pPr>
        <w:pStyle w:val="TOC1"/>
      </w:pPr>
      <w:r>
        <w:t xml:space="preserve">Matrice consolidée des risques de mise en œuvre</w:t>
      </w:r>
      <w:r>
        <w:tab/>
      </w:r>
      <w:r>
        <w:t xml:space="preserve">96</w:t>
      </w:r>
    </w:p>
    <w:p>
      <w:pPr>
        <w:pStyle w:val="TOC1"/>
      </w:pPr>
      <w:r>
        <w:t xml:space="preserve">Feuille de route opérationnelle</w:t>
      </w:r>
      <w:r>
        <w:tab/>
      </w:r>
      <w:r>
        <w:t xml:space="preserve">98</w:t>
      </w:r>
    </w:p>
    <w:p>
      <w:pPr>
        <w:pStyle w:val="TOC2"/>
      </w:pPr>
      <w:r>
        <w:t xml:space="preserve">Conditions de réussite</w:t>
      </w:r>
      <w:r>
        <w:tab/>
      </w:r>
      <w:r>
        <w:t xml:space="preserve">98</w:t>
      </w:r>
    </w:p>
    <w:p>
      <w:pPr>
        <w:pStyle w:val="TOC2"/>
      </w:pPr>
      <w:r>
        <w:t xml:space="preserve">Risques à maîtriser</w:t>
      </w:r>
      <w:r>
        <w:tab/>
      </w:r>
      <w:r>
        <w:t xml:space="preserve">99</w:t>
      </w:r>
    </w:p>
    <w:p>
      <w:pPr>
        <w:pStyle w:val="TOC1"/>
      </w:pPr>
      <w:r>
        <w:t xml:space="preserve">Dispositif de gouvernance et de suivi</w:t>
      </w:r>
      <w:r>
        <w:tab/>
      </w:r>
      <w:r>
        <w:t xml:space="preserve">100</w:t>
      </w:r>
    </w:p>
    <w:p>
      <w:pPr>
        <w:pStyle w:val="TOC2"/>
      </w:pPr>
      <w:r>
        <w:t xml:space="preserve">Matrice minimale de suivi</w:t>
      </w:r>
      <w:r>
        <w:tab/>
      </w:r>
      <w:r>
        <w:t xml:space="preserve">100</w:t>
      </w:r>
    </w:p>
    <w:p>
      <w:pPr>
        <w:pStyle w:val="TOC2"/>
      </w:pPr>
      <w:r>
        <w:t xml:space="preserve">Principe de redevabilité</w:t>
      </w:r>
      <w:r>
        <w:tab/>
      </w:r>
      <w:r>
        <w:t xml:space="preserve">101</w:t>
      </w:r>
    </w:p>
    <w:p>
      <w:pPr>
        <w:pStyle w:val="TOC2"/>
      </w:pPr>
      <w:r>
        <w:t xml:space="preserve">Indicateurs prioritaires proposés</w:t>
      </w:r>
      <w:r>
        <w:tab/>
      </w:r>
      <w:r>
        <w:t xml:space="preserve">101</w:t>
      </w:r>
    </w:p>
    <w:p>
      <w:pPr>
        <w:pStyle w:val="TOC1"/>
      </w:pPr>
      <w:r>
        <w:t xml:space="preserve">Conclusion générale</w:t>
      </w:r>
      <w:r>
        <w:tab/>
      </w:r>
      <w:r>
        <w:t xml:space="preserve">103</w:t>
      </w:r>
    </w:p>
    <w:p>
      <w:pPr>
        <w:pStyle w:val="TOC1"/>
      </w:pPr>
      <w:r>
        <w:t xml:space="preserve">Références bibliographiques et documentaires</w:t>
      </w:r>
      <w:r>
        <w:tab/>
      </w:r>
      <w:r>
        <w:t xml:space="preserve">104</w:t>
      </w:r>
    </w:p>
    <w:p>
      <w:pPr>
        <w:pStyle w:val="TOC2"/>
      </w:pPr>
      <w:r>
        <w:t xml:space="preserve">Notes de bas de page</w:t>
      </w:r>
      <w:r>
        <w:tab/>
      </w:r>
      <w:r>
        <w:t xml:space="preserve">106</w:t>
      </w:r>
    </w:p>
    <w:p>
      <w:pPr>
        <w:pStyle w:val="TOC1"/>
      </w:pPr>
      <w:r>
        <w:t xml:space="preserve">Annexe – Documents exploités</w:t>
      </w:r>
      <w:r>
        <w:tab/>
      </w:r>
      <w:r>
        <w:t xml:space="preserve">107</w:t>
      </w:r>
      <w:r>
        <w:fldChar w:fldCharType="end"/>
      </w:r>
    </w:p>
    <w:p>
      <w:pPr>
        <w:pStyle w:val="Heading1"/>
      </w:pPr>
      <w:r>
        <w:t>Sigles et abréviations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7260"/>
      </w:tblGrid>
      <w:tr>
        <w:trPr>
          <w:tblHeader w:val="true"/>
        </w:trPr>
        <w:tc>
          <w:tcPr>
            <w:tcW w:type="dxa" w:w="21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Sigle</w:t>
            </w:r>
          </w:p>
        </w:tc>
        <w:tc>
          <w:tcPr>
            <w:tcW w:type="dxa" w:w="72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Signification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APEC</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Amicale du Personnel d’Encadrement de la Commune de Dakar</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Acte IV</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Nouvelle étape annoncée de la réforme de la décentralisation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AIMF</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Association Internationale des Maires Francophones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C40</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Réseau mondial des villes engagées pour l’action climatique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CADAK</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Communauté des agglomérations de Dakar</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CEL</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Contribution économique locale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CGLU</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Cités et Gouvernements Locaux Unis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CNFPLF</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Centre national de la fonction publique locale et de la formation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DGID</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Direction générale des Impôts et des Domaines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GAR</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Gestion axée sur les résultats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GPEC</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Gestion prévisionnelle des emplois et des compétences</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JOJ</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Jeux Olympiques de la Jeunesse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MRV</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Mesure, rapportage et vérification</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PCET</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Plan Climat Énergie Territorial</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PNADT</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Plan national d’aménagement et de développement territorial</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PPP</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Partenariat public-privé</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SRMT</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Stratégie de recettes à moyen terme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UEMOA</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Union économique et monétaire ouest-africaine</w:t>
            </w:r>
          </w:p>
        </w:tc>
      </w:tr>
      <w:tr>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UNAPPP</w:t>
            </w:r>
          </w:p>
        </w:tc>
        <w:tc>
          <w:tcPr>
            <w:tcW w:type="dxa" w:w="7260"/>
            <w:tcMar>
              <w:top w:w="120" w:type="dxa"/>
              <w:start w:w="120" w:type="dxa"/>
              <w:bottom w:w="120" w:type="dxa"/>
              <w:end w:w="120" w:type="dxa"/>
            </w:tcMar>
            <w:vAlign w:val="center"/>
          </w:tcPr>
          <w:p>
            <w:pPr>
              <w:spacing w:after="40" w:line="240" w:lineRule="auto" w:before="0"/>
            </w:pPr>
            <w:r>
              <w:rPr>
                <w:rFonts w:ascii="Calibri" w:hAnsi="Calibri"/>
                <w:color w:val="232323"/>
                <w:sz w:val="20"/>
              </w:rPr>
              <w:t>Unité nationale d’appui aux partenariats public-privé</w:t>
            </w:r>
          </w:p>
        </w:tc>
      </w:tr>
      <w:tr>
        <w:tc>
          <w:tcPr>
            <w:tcW w:type="dxa" w:w="2100"/>
            <w:tcMar>
              <w:top w:w="120" w:type="dxa"/>
              <w:start w:w="120" w:type="dxa"/>
              <w:bottom w:w="120" w:type="dxa"/>
              <w:end w:w="120" w:type="dxa"/>
            </w:tcMar>
          </w:tcPr>
          <w:p>
            <w:pPr>
              <w:spacing w:after="40" w:line="240" w:lineRule="auto" w:before="0"/>
            </w:pPr>
            <w:r>
              <w:rPr>
                <w:sz w:val="20"/>
              </w:rPr>
              <w:t>BRVM</w:t>
            </w:r>
          </w:p>
        </w:tc>
        <w:tc>
          <w:tcPr>
            <w:tcW w:type="dxa" w:w="7260"/>
            <w:tcMar>
              <w:top w:w="120" w:type="dxa"/>
              <w:start w:w="120" w:type="dxa"/>
              <w:bottom w:w="120" w:type="dxa"/>
              <w:end w:w="120" w:type="dxa"/>
            </w:tcMar>
          </w:tcPr>
          <w:p>
            <w:pPr>
              <w:spacing w:after="40" w:line="240" w:lineRule="auto" w:before="0"/>
            </w:pPr>
            <w:r>
              <w:rPr>
                <w:sz w:val="20"/>
              </w:rPr>
              <w:t>Bourse régionale des valeurs mobilières</w:t>
            </w:r>
          </w:p>
        </w:tc>
      </w:tr>
      <w:tr>
        <w:tc>
          <w:tcPr>
            <w:tcW w:type="dxa" w:w="2100"/>
            <w:tcMar>
              <w:top w:w="120" w:type="dxa"/>
              <w:start w:w="120" w:type="dxa"/>
              <w:bottom w:w="120" w:type="dxa"/>
              <w:end w:w="120" w:type="dxa"/>
            </w:tcMar>
          </w:tcPr>
          <w:p>
            <w:pPr>
              <w:spacing w:after="40" w:line="240" w:lineRule="auto" w:before="0"/>
            </w:pPr>
            <w:r>
              <w:rPr>
                <w:sz w:val="20"/>
              </w:rPr>
              <w:t>CGCT</w:t>
            </w:r>
          </w:p>
        </w:tc>
        <w:tc>
          <w:tcPr>
            <w:tcW w:type="dxa" w:w="7260"/>
            <w:tcMar>
              <w:top w:w="120" w:type="dxa"/>
              <w:start w:w="120" w:type="dxa"/>
              <w:bottom w:w="120" w:type="dxa"/>
              <w:end w:w="120" w:type="dxa"/>
            </w:tcMar>
          </w:tcPr>
          <w:p>
            <w:pPr>
              <w:spacing w:after="40" w:line="240" w:lineRule="auto" w:before="0"/>
            </w:pPr>
            <w:r>
              <w:rPr>
                <w:sz w:val="20"/>
              </w:rPr>
              <w:t>Code général des Collectivités territoriales</w:t>
            </w:r>
          </w:p>
        </w:tc>
      </w:tr>
      <w:tr>
        <w:tc>
          <w:tcPr>
            <w:tcW w:type="dxa" w:w="2100"/>
            <w:tcMar>
              <w:top w:w="120" w:type="dxa"/>
              <w:start w:w="120" w:type="dxa"/>
              <w:bottom w:w="120" w:type="dxa"/>
              <w:end w:w="120" w:type="dxa"/>
            </w:tcMar>
          </w:tcPr>
          <w:p>
            <w:pPr>
              <w:spacing w:after="40" w:line="240" w:lineRule="auto" w:before="0"/>
            </w:pPr>
            <w:r>
              <w:rPr>
                <w:sz w:val="20"/>
              </w:rPr>
              <w:t>FDD</w:t>
            </w:r>
          </w:p>
        </w:tc>
        <w:tc>
          <w:tcPr>
            <w:tcW w:type="dxa" w:w="7260"/>
            <w:tcMar>
              <w:top w:w="120" w:type="dxa"/>
              <w:start w:w="120" w:type="dxa"/>
              <w:bottom w:w="120" w:type="dxa"/>
              <w:end w:w="120" w:type="dxa"/>
            </w:tcMar>
          </w:tcPr>
          <w:p>
            <w:pPr>
              <w:spacing w:after="40" w:line="240" w:lineRule="auto" w:before="0"/>
            </w:pPr>
            <w:r>
              <w:rPr>
                <w:sz w:val="20"/>
              </w:rPr>
              <w:t>Fonds de dotation de la décentralisation</w:t>
            </w:r>
          </w:p>
        </w:tc>
      </w:tr>
      <w:tr>
        <w:tc>
          <w:tcPr>
            <w:tcW w:type="dxa" w:w="2100"/>
            <w:tcMar>
              <w:top w:w="120" w:type="dxa"/>
              <w:start w:w="120" w:type="dxa"/>
              <w:bottom w:w="120" w:type="dxa"/>
              <w:end w:w="120" w:type="dxa"/>
            </w:tcMar>
          </w:tcPr>
          <w:p>
            <w:pPr>
              <w:spacing w:after="40" w:line="240" w:lineRule="auto" w:before="0"/>
            </w:pPr>
            <w:r>
              <w:rPr>
                <w:sz w:val="20"/>
              </w:rPr>
              <w:t>FECT</w:t>
            </w:r>
          </w:p>
        </w:tc>
        <w:tc>
          <w:tcPr>
            <w:tcW w:type="dxa" w:w="7260"/>
            <w:tcMar>
              <w:top w:w="120" w:type="dxa"/>
              <w:start w:w="120" w:type="dxa"/>
              <w:bottom w:w="120" w:type="dxa"/>
              <w:end w:w="120" w:type="dxa"/>
            </w:tcMar>
          </w:tcPr>
          <w:p>
            <w:pPr>
              <w:spacing w:after="40" w:line="240" w:lineRule="auto" w:before="0"/>
            </w:pPr>
            <w:r>
              <w:rPr>
                <w:sz w:val="20"/>
              </w:rPr>
              <w:t>Fonds d’équipement des Collectivités territoriales</w:t>
            </w:r>
          </w:p>
        </w:tc>
      </w:tr>
      <w:tr>
        <w:tc>
          <w:tcPr>
            <w:tcW w:type="dxa" w:w="2100"/>
            <w:tcMar>
              <w:top w:w="120" w:type="dxa"/>
              <w:start w:w="120" w:type="dxa"/>
              <w:bottom w:w="120" w:type="dxa"/>
              <w:end w:w="120" w:type="dxa"/>
            </w:tcMar>
          </w:tcPr>
          <w:p>
            <w:pPr>
              <w:spacing w:after="40" w:line="240" w:lineRule="auto" w:before="0"/>
            </w:pPr>
            <w:r>
              <w:rPr>
                <w:sz w:val="20"/>
              </w:rPr>
              <w:t>SDL</w:t>
            </w:r>
          </w:p>
        </w:tc>
        <w:tc>
          <w:tcPr>
            <w:tcW w:type="dxa" w:w="7260"/>
            <w:tcMar>
              <w:top w:w="120" w:type="dxa"/>
              <w:start w:w="120" w:type="dxa"/>
              <w:bottom w:w="120" w:type="dxa"/>
              <w:end w:w="120" w:type="dxa"/>
            </w:tcMar>
          </w:tcPr>
          <w:p>
            <w:pPr>
              <w:spacing w:after="40" w:line="240" w:lineRule="auto" w:before="0"/>
            </w:pPr>
            <w:r>
              <w:rPr>
                <w:sz w:val="20"/>
              </w:rPr>
              <w:t>Société de développement local</w:t>
            </w:r>
          </w:p>
        </w:tc>
      </w:tr>
      <w:tr>
        <w:tc>
          <w:tcPr>
            <w:tcW w:type="dxa" w:w="2100"/>
            <w:tcMar>
              <w:top w:w="120" w:type="dxa"/>
              <w:start w:w="120" w:type="dxa"/>
              <w:bottom w:w="120" w:type="dxa"/>
              <w:end w:w="120" w:type="dxa"/>
            </w:tcMar>
          </w:tcPr>
          <w:p>
            <w:pPr>
              <w:spacing w:after="40" w:line="240" w:lineRule="auto" w:before="0"/>
            </w:pPr>
            <w:r>
              <w:rPr>
                <w:sz w:val="20"/>
              </w:rPr>
              <w:t>SIG</w:t>
            </w:r>
          </w:p>
        </w:tc>
        <w:tc>
          <w:tcPr>
            <w:tcW w:type="dxa" w:w="7260"/>
            <w:tcMar>
              <w:top w:w="120" w:type="dxa"/>
              <w:start w:w="120" w:type="dxa"/>
              <w:bottom w:w="120" w:type="dxa"/>
              <w:end w:w="120" w:type="dxa"/>
            </w:tcMar>
          </w:tcPr>
          <w:p>
            <w:pPr>
              <w:spacing w:after="40" w:line="240" w:lineRule="auto" w:before="0"/>
            </w:pPr>
            <w:r>
              <w:rPr>
                <w:sz w:val="20"/>
              </w:rPr>
              <w:t>Système d’information géographique</w:t>
            </w:r>
          </w:p>
        </w:tc>
      </w:tr>
    </w:tbl>
    <w:p>
      <w:pPr>
        <w:pStyle w:val="Heading1"/>
      </w:pPr>
      <w:r>
        <w:t>Glossaire opérationnel</w:t>
      </w:r>
    </w:p>
    <w:tbl>
      <w:tblPr>
        <w:tblW w:type="auto" w:w="0"/>
        <w:tblLayout w:type="fixed"/>
        <w:tblLook w:firstColumn="1" w:firstRow="1" w:lastColumn="0" w:lastRow="0" w:noHBand="0" w:noVBand="1" w:val="04A0"/>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4680"/>
        <w:gridCol w:w="4680"/>
      </w:tblGrid>
      <w:tr>
        <w:trPr>
          <w:tblHeader w:val="true"/>
        </w:trPr>
        <w:tc>
          <w:tcPr>
            <w:tcW w:type="dxa" w:w="2520"/>
            <w:tcMar>
              <w:top w:w="120" w:type="dxa"/>
              <w:start w:w="120" w:type="dxa"/>
              <w:bottom w:w="120" w:type="dxa"/>
              <w:end w:w="120" w:type="dxa"/>
            </w:tcMar>
            <w:shd w:fill="1F4E79" w:val="clear" w:color="auto"/>
          </w:tcPr>
          <w:p>
            <w:pPr>
              <w:spacing w:after="40" w:line="240" w:lineRule="auto" w:before="0"/>
            </w:pPr>
            <w:r>
              <w:rPr>
                <w:b/>
                <w:color w:val="FFFFFF"/>
                <w:sz w:val="20"/>
              </w:rPr>
              <w:t>Notion</w:t>
            </w:r>
          </w:p>
        </w:tc>
        <w:tc>
          <w:tcPr>
            <w:tcW w:type="dxa" w:w="6984"/>
            <w:tcMar>
              <w:top w:w="120" w:type="dxa"/>
              <w:start w:w="120" w:type="dxa"/>
              <w:bottom w:w="120" w:type="dxa"/>
              <w:end w:w="120" w:type="dxa"/>
            </w:tcMar>
            <w:shd w:fill="1F4E79" w:val="clear" w:color="auto"/>
          </w:tcPr>
          <w:p>
            <w:pPr>
              <w:spacing w:after="40" w:line="240" w:lineRule="auto" w:before="0"/>
            </w:pPr>
            <w:r>
              <w:rPr>
                <w:b/>
                <w:color w:val="FFFFFF"/>
                <w:sz w:val="20"/>
              </w:rPr>
              <w:t>Définition opérationnelle pour le rapport</w:t>
            </w:r>
          </w:p>
        </w:tc>
      </w:tr>
      <w:tr>
        <w:tc>
          <w:tcPr>
            <w:tcW w:type="dxa" w:w="2520"/>
            <w:tcMar>
              <w:top w:w="120" w:type="dxa"/>
              <w:start w:w="120" w:type="dxa"/>
              <w:bottom w:w="120" w:type="dxa"/>
              <w:end w:w="120" w:type="dxa"/>
            </w:tcMar>
          </w:tcPr>
          <w:p>
            <w:pPr>
              <w:spacing w:after="40" w:line="240" w:lineRule="auto" w:before="0"/>
            </w:pPr>
            <w:r>
              <w:rPr>
                <w:sz w:val="20"/>
              </w:rPr>
              <w:t>Acte IV</w:t>
            </w:r>
          </w:p>
        </w:tc>
        <w:tc>
          <w:tcPr>
            <w:tcW w:type="dxa" w:w="6984"/>
            <w:tcMar>
              <w:top w:w="120" w:type="dxa"/>
              <w:start w:w="120" w:type="dxa"/>
              <w:bottom w:w="120" w:type="dxa"/>
              <w:end w:w="120" w:type="dxa"/>
            </w:tcMar>
          </w:tcPr>
          <w:p>
            <w:pPr>
              <w:spacing w:after="40" w:line="240" w:lineRule="auto" w:before="0"/>
            </w:pPr>
            <w:r>
              <w:rPr>
                <w:sz w:val="20"/>
              </w:rPr>
              <w:t>Fenêtre de réforme destinée à corriger les ambiguïtés de l’Acte III, notamment sur les compétences, les ressources, les pôles territoriaux et la performance publique locale.</w:t>
            </w:r>
          </w:p>
        </w:tc>
      </w:tr>
      <w:tr>
        <w:tc>
          <w:tcPr>
            <w:tcW w:type="dxa" w:w="2520"/>
            <w:tcMar>
              <w:top w:w="120" w:type="dxa"/>
              <w:start w:w="120" w:type="dxa"/>
              <w:bottom w:w="120" w:type="dxa"/>
              <w:end w:w="120" w:type="dxa"/>
            </w:tcMar>
          </w:tcPr>
          <w:p>
            <w:pPr>
              <w:spacing w:after="40" w:line="240" w:lineRule="auto" w:before="0"/>
            </w:pPr>
            <w:r>
              <w:rPr>
                <w:sz w:val="20"/>
              </w:rPr>
              <w:t>District spécial de Dakar</w:t>
            </w:r>
          </w:p>
        </w:tc>
        <w:tc>
          <w:tcPr>
            <w:tcW w:type="dxa" w:w="6984"/>
            <w:tcMar>
              <w:top w:w="120" w:type="dxa"/>
              <w:start w:w="120" w:type="dxa"/>
              <w:bottom w:w="120" w:type="dxa"/>
              <w:end w:w="120" w:type="dxa"/>
            </w:tcMar>
          </w:tcPr>
          <w:p>
            <w:pPr>
              <w:spacing w:after="40" w:line="240" w:lineRule="auto" w:before="0"/>
            </w:pPr>
            <w:r>
              <w:rPr>
                <w:sz w:val="20"/>
              </w:rPr>
              <w:t>Scénario de statut différencié donnant à Dakar des compétences de capitale et de métropole, avec autonomie financière renforcée, sans supprimer la libre administration des communes.</w:t>
            </w:r>
          </w:p>
        </w:tc>
      </w:tr>
      <w:tr>
        <w:tc>
          <w:tcPr>
            <w:tcW w:type="dxa" w:w="2520"/>
            <w:tcMar>
              <w:top w:w="120" w:type="dxa"/>
              <w:start w:w="120" w:type="dxa"/>
              <w:bottom w:w="120" w:type="dxa"/>
              <w:end w:w="120" w:type="dxa"/>
            </w:tcMar>
          </w:tcPr>
          <w:p>
            <w:pPr>
              <w:spacing w:after="40" w:line="240" w:lineRule="auto" w:before="0"/>
            </w:pPr>
            <w:r>
              <w:rPr>
                <w:sz w:val="20"/>
              </w:rPr>
              <w:t>Pôle urbain métropolitain</w:t>
            </w:r>
          </w:p>
        </w:tc>
        <w:tc>
          <w:tcPr>
            <w:tcW w:type="dxa" w:w="6984"/>
            <w:tcMar>
              <w:top w:w="120" w:type="dxa"/>
              <w:start w:w="120" w:type="dxa"/>
              <w:bottom w:w="120" w:type="dxa"/>
              <w:end w:w="120" w:type="dxa"/>
            </w:tcMar>
          </w:tcPr>
          <w:p>
            <w:pPr>
              <w:spacing w:after="40" w:line="240" w:lineRule="auto" w:before="0"/>
            </w:pPr>
            <w:r>
              <w:rPr>
                <w:sz w:val="20"/>
              </w:rPr>
              <w:t>Option qui reconnaît Dakar comme noyau urbain du pôle territorial ouest et organise les fonctions d’échelle : mobilité, fiscalité urbaine, grands équipements, données, climat et attractivité.</w:t>
            </w:r>
          </w:p>
        </w:tc>
      </w:tr>
      <w:tr>
        <w:tc>
          <w:tcPr>
            <w:tcW w:type="dxa" w:w="2520"/>
            <w:tcMar>
              <w:top w:w="120" w:type="dxa"/>
              <w:start w:w="120" w:type="dxa"/>
              <w:bottom w:w="120" w:type="dxa"/>
              <w:end w:w="120" w:type="dxa"/>
            </w:tcMar>
          </w:tcPr>
          <w:p>
            <w:pPr>
              <w:spacing w:after="40" w:line="240" w:lineRule="auto" w:before="0"/>
            </w:pPr>
            <w:r>
              <w:rPr>
                <w:sz w:val="20"/>
              </w:rPr>
              <w:t>Compétence d’échelle métropolitaine</w:t>
            </w:r>
          </w:p>
        </w:tc>
        <w:tc>
          <w:tcPr>
            <w:tcW w:type="dxa" w:w="6984"/>
            <w:tcMar>
              <w:top w:w="120" w:type="dxa"/>
              <w:start w:w="120" w:type="dxa"/>
              <w:bottom w:w="120" w:type="dxa"/>
              <w:end w:w="120" w:type="dxa"/>
            </w:tcMar>
          </w:tcPr>
          <w:p>
            <w:pPr>
              <w:spacing w:after="40" w:line="240" w:lineRule="auto" w:before="0"/>
            </w:pPr>
            <w:r>
              <w:rPr>
                <w:sz w:val="20"/>
              </w:rPr>
              <w:t>Compétence qui ne peut pas être gérée efficacement commune par commune : voirie structurante, mobilité, déchets, stationnement, planification, données, fiscalité de l’économie urbaine.</w:t>
            </w:r>
          </w:p>
        </w:tc>
      </w:tr>
      <w:tr>
        <w:tc>
          <w:tcPr>
            <w:tcW w:type="dxa" w:w="2520"/>
            <w:tcMar>
              <w:top w:w="120" w:type="dxa"/>
              <w:start w:w="120" w:type="dxa"/>
              <w:bottom w:w="120" w:type="dxa"/>
              <w:end w:w="120" w:type="dxa"/>
            </w:tcMar>
          </w:tcPr>
          <w:p>
            <w:pPr>
              <w:spacing w:after="40" w:line="240" w:lineRule="auto" w:before="0"/>
            </w:pPr>
            <w:r>
              <w:rPr>
                <w:sz w:val="20"/>
              </w:rPr>
              <w:t>Data room territoriale</w:t>
            </w:r>
          </w:p>
        </w:tc>
        <w:tc>
          <w:tcPr>
            <w:tcW w:type="dxa" w:w="6984"/>
            <w:tcMar>
              <w:top w:w="120" w:type="dxa"/>
              <w:start w:w="120" w:type="dxa"/>
              <w:bottom w:w="120" w:type="dxa"/>
              <w:end w:w="120" w:type="dxa"/>
            </w:tcMar>
          </w:tcPr>
          <w:p>
            <w:pPr>
              <w:spacing w:after="40" w:line="240" w:lineRule="auto" w:before="0"/>
            </w:pPr>
            <w:r>
              <w:rPr>
                <w:sz w:val="20"/>
              </w:rPr>
              <w:t>Espace organisé de données fiscales, foncières, climatiques, budgétaires et de projets permettant de documenter les décisions, les financements et la redevabilité.</w:t>
            </w:r>
          </w:p>
        </w:tc>
      </w:tr>
      <w:tr>
        <w:tc>
          <w:tcPr>
            <w:tcW w:type="dxa" w:w="2520"/>
            <w:tcMar>
              <w:top w:w="120" w:type="dxa"/>
              <w:start w:w="120" w:type="dxa"/>
              <w:bottom w:w="120" w:type="dxa"/>
              <w:end w:w="120" w:type="dxa"/>
            </w:tcMar>
          </w:tcPr>
          <w:p>
            <w:pPr>
              <w:spacing w:after="40" w:line="240" w:lineRule="auto" w:before="0"/>
            </w:pPr>
            <w:r>
              <w:rPr>
                <w:sz w:val="20"/>
              </w:rPr>
              <w:t>E-taxe</w:t>
            </w:r>
          </w:p>
        </w:tc>
        <w:tc>
          <w:tcPr>
            <w:tcW w:type="dxa" w:w="6984"/>
            <w:tcMar>
              <w:top w:w="120" w:type="dxa"/>
              <w:start w:w="120" w:type="dxa"/>
              <w:bottom w:w="120" w:type="dxa"/>
              <w:end w:w="120" w:type="dxa"/>
            </w:tcMar>
          </w:tcPr>
          <w:p>
            <w:pPr>
              <w:spacing w:after="40" w:line="240" w:lineRule="auto" w:before="0"/>
            </w:pPr>
            <w:r>
              <w:rPr>
                <w:sz w:val="20"/>
              </w:rPr>
              <w:t>Chaîne numérique de recensement, notification, paiement, relance, suivi et contrôle des recettes locales.</w:t>
            </w:r>
          </w:p>
        </w:tc>
      </w:tr>
      <w:tr>
        <w:tc>
          <w:tcPr>
            <w:tcW w:type="dxa" w:w="2520"/>
            <w:tcMar>
              <w:top w:w="120" w:type="dxa"/>
              <w:start w:w="120" w:type="dxa"/>
              <w:bottom w:w="120" w:type="dxa"/>
              <w:end w:w="120" w:type="dxa"/>
            </w:tcMar>
          </w:tcPr>
          <w:p>
            <w:pPr>
              <w:spacing w:after="40" w:line="240" w:lineRule="auto" w:before="0"/>
            </w:pPr>
            <w:r>
              <w:rPr>
                <w:sz w:val="20"/>
              </w:rPr>
              <w:t>Fiscalité événementielle</w:t>
            </w:r>
          </w:p>
        </w:tc>
        <w:tc>
          <w:tcPr>
            <w:tcW w:type="dxa" w:w="6984"/>
            <w:tcMar>
              <w:top w:w="120" w:type="dxa"/>
              <w:start w:w="120" w:type="dxa"/>
              <w:bottom w:w="120" w:type="dxa"/>
              <w:end w:w="120" w:type="dxa"/>
            </w:tcMar>
          </w:tcPr>
          <w:p>
            <w:pPr>
              <w:spacing w:after="40" w:line="240" w:lineRule="auto" w:before="0"/>
            </w:pPr>
            <w:r>
              <w:rPr>
                <w:sz w:val="20"/>
              </w:rPr>
              <w:t>Redevances, autorisations et mécanismes de captation de valeur liés aux événements sportifs, culturels, économiques et à l’occupation temporaire du domaine public.</w:t>
            </w:r>
          </w:p>
        </w:tc>
      </w:tr>
      <w:tr>
        <w:tc>
          <w:tcPr>
            <w:tcW w:type="dxa" w:w="2520"/>
            <w:tcMar>
              <w:top w:w="120" w:type="dxa"/>
              <w:start w:w="120" w:type="dxa"/>
              <w:bottom w:w="120" w:type="dxa"/>
              <w:end w:w="120" w:type="dxa"/>
            </w:tcMar>
          </w:tcPr>
          <w:p>
            <w:pPr>
              <w:spacing w:after="40" w:line="240" w:lineRule="auto" w:before="0"/>
            </w:pPr>
            <w:r>
              <w:rPr>
                <w:sz w:val="20"/>
              </w:rPr>
              <w:t>Projet bancable</w:t>
            </w:r>
          </w:p>
        </w:tc>
        <w:tc>
          <w:tcPr>
            <w:tcW w:type="dxa" w:w="6984"/>
            <w:tcMar>
              <w:top w:w="120" w:type="dxa"/>
              <w:start w:w="120" w:type="dxa"/>
              <w:bottom w:w="120" w:type="dxa"/>
              <w:end w:w="120" w:type="dxa"/>
            </w:tcMar>
          </w:tcPr>
          <w:p>
            <w:pPr>
              <w:spacing w:after="40" w:line="240" w:lineRule="auto" w:before="0"/>
            </w:pPr>
            <w:r>
              <w:rPr>
                <w:sz w:val="20"/>
              </w:rPr>
              <w:t>Projet doté d’un besoin clair, d’études, de coûts, d’impacts, de risques, de revenus ou bénéfices attendus, et d’un montage juridique et financier crédible.</w:t>
            </w:r>
          </w:p>
        </w:tc>
      </w:tr>
    </w:tbl>
    <w:p>
      <w:pPr>
        <w:pStyle w:val="Heading1"/>
      </w:pPr>
      <w:r>
        <w:t>Note de décision – Ce que le Maire doit décider dans les 6 prochains mois</w:t>
      </w:r>
    </w:p>
    <w:p>
      <w:r>
        <w:t>Cette note de décision transforme les principales recommandations du rapport en arbitrages immédiats. Elle ne remplace pas le rapport complet ; elle sert de porte d’entrée pour la décision municipale. Les décisions proposées sont concentrées sur les six prochains mois, période critique pour passer de la capitalisation des Journées scientifiques à une trajectoire institutionnelle suivie.</w:t>
      </w:r>
      <w:r>
        <w:rPr>
          <w:rStyle w:val="FootnoteReference"/>
        </w:rPr>
        <w:footnoteReference w:id="2"/>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b/>
                <w:color w:val="1F4E79"/>
                <w:sz w:val="20"/>
              </w:rPr>
              <w:t>DÉCISION CENTRALE</w:t>
              <w:br/>
              <w:t>Valider un paquet municipal de transformation en huit décisions : Plan stratégique Dakar 2035-2050, scénario de statut différencié de Dakar dans l’Acte IV, programme GAR-données-projets, réformes fiscales territoriales, programme numérique municipal, programme transition écologique-PCET, portefeuille de projets bancables et attractivité fondée sur l’histoire de Dakar.</w:t>
            </w:r>
          </w:p>
        </w:tc>
      </w:tr>
    </w:tbl>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50"/>
        <w:gridCol w:w="1650"/>
        <w:gridCol w:w="1550"/>
        <w:gridCol w:w="2450"/>
        <w:gridCol w:w="1560"/>
      </w:tblGrid>
      <w:tr>
        <w:trPr>
          <w:tblHeader w:val="true"/>
        </w:trPr>
        <w:tc>
          <w:tcPr>
            <w:tcW w:type="dxa" w:w="21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Décision dans les 6 mois</w:t>
            </w:r>
          </w:p>
        </w:tc>
        <w:tc>
          <w:tcPr>
            <w:tcW w:type="dxa" w:w="16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Responsable proposé</w:t>
            </w:r>
          </w:p>
        </w:tc>
        <w:tc>
          <w:tcPr>
            <w:tcW w:type="dxa" w:w="15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Coût indicatif de démarrage</w:t>
            </w:r>
          </w:p>
        </w:tc>
        <w:tc>
          <w:tcPr>
            <w:tcW w:type="dxa" w:w="24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Indicateur SMART</w:t>
            </w:r>
          </w:p>
        </w:tc>
        <w:tc>
          <w:tcPr>
            <w:tcW w:type="dxa" w:w="15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Moyen de vérification</w:t>
            </w:r>
          </w:p>
        </w:tc>
      </w:tr>
      <w:tr>
        <w:tc>
          <w:tcPr>
            <w:tcW w:type="dxa" w:w="2150"/>
            <w:tcMar>
              <w:top w:w="120" w:type="dxa"/>
              <w:start w:w="120" w:type="dxa"/>
              <w:bottom w:w="120" w:type="dxa"/>
              <w:end w:w="120" w:type="dxa"/>
            </w:tcMar>
            <w:vAlign w:val="center"/>
          </w:tcPr>
          <w:p>
            <w:pPr>
              <w:spacing w:after="40" w:line="240" w:lineRule="auto" w:before="0"/>
            </w:pPr>
            <w:r>
              <w:rPr>
                <w:sz w:val="20"/>
              </w:rPr>
              <w:t>Valider une position officielle de Dakar sur l’Acte IV : District spécial, pôle urbain métropolitain ou ville-capitale à compétences renforcées, avec articulation claire Ville-communes-pôle-État.</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Cabinet du Maire, Secrétariat général, affaires juridiques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Faible à moyen : atelier juridique, note d’expertise, concertations</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Une note de position validée avant M+3 ; au moins deux séances Ville-communes tenues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Note adoptée, procès-verbaux, liste de compétences problématiques et propositions transmises.</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Doter Dakar d’un Plan stratégique 2035-2050 intégrant PNADT, PCET, Acte IV, Code des CL, budget-programme et agenda de transformation.</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Cabinet du Maire, Secrétariat général, planification, finances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ateliers, assistance technique, concertation, rédaction</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Note de cadrage validée avant M+2 ; comité de rédaction installé ; architecture du plan disponible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Décision de lancement, calendrier, note de cadrage, plan de consultation.</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Créer la cellule interdirectionnelle GAR-données-projets et lui confier la gouvernance des données municipales et le tableau de bord.</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Secrétariat général, finances, planification, directions techniques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organisation interne, formation, outil de tableau de bord</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Cellule installée avant M+2 ; premier tableau de bord produit avant M+5 ; 7 programmes suivis.</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Décision de création, désignation des points focaux, tableau de bord et rapport de première revue.</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Lancer un programme numérique municipal distinct : e-services, interopérabilité, SIG, e-taxe, archivage et tableaux de bord.</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Secrétariat général, numérique/SIG, finances, directions métiers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cadrage fonctionnel, outils, formation, interopérabilité</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Feuille de route numérique validée avant M+3 ; 5 services prioritaires cadrés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Feuille de route, cartographie applicative, protocole de données, fiches services.</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Lancer un programme transition écologique-PCET distinct : projets verts, MRV, finance climat et résilience.</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Environnement, planification, finances, directions techniques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à élevé : portefeuille vert, MRV, études de préparation</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5 projets verts priorisés avant M+6 ; indicateurs MRV définis ; deux dossiers de financement préparés.</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PCET, liste d’indicateurs, fiches projets climat, note finance verte.</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Accélérer le recensement fiscal foncier et la feuille de route e-taxe avec la DGID.</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Finances, recettes municipales, DGID, communes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base de données, géolocalisation, paiement numérique</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Plan e-taxe validé avant M+4 ; zone pilote choisie ; au moins un tableau de suivi des contribuables produit.</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Protocole DGID-Ville, cartographie pilote, tableau de recouvrement et rapport d’assiette.</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Prioriser un portefeuille initial de projets bancables.</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Cellule projets, finances, directions techniques, partenaires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Moyen : études rapides et fiches projets</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10 projets classés par maturité avant M+4 ; 3 fiches bancables préparées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validé, fiches projets, niveaux de maturité, matrice de risques et options de financement.</w:t>
            </w:r>
          </w:p>
        </w:tc>
      </w:tr>
      <w:tr>
        <w:tc>
          <w:tcPr>
            <w:tcW w:type="dxa" w:w="2150"/>
            <w:tcMar>
              <w:top w:w="120" w:type="dxa"/>
              <w:start w:w="120" w:type="dxa"/>
              <w:bottom w:w="120" w:type="dxa"/>
              <w:end w:w="120" w:type="dxa"/>
            </w:tcMar>
            <w:vAlign w:val="center"/>
          </w:tcPr>
          <w:p>
            <w:pPr>
              <w:spacing w:after="40" w:line="240" w:lineRule="auto" w:before="0"/>
            </w:pPr>
            <w:r>
              <w:rPr>
                <w:rFonts w:ascii="Calibri" w:hAnsi="Calibri"/>
                <w:color w:val="232323"/>
                <w:sz w:val="20"/>
              </w:rPr>
              <w:t>Intégrer l’histoire de Dakar dans la stratégie d’attractivité.</w:t>
            </w:r>
          </w:p>
        </w:tc>
        <w:tc>
          <w:tcPr>
            <w:tcW w:type="dxa" w:w="1650"/>
            <w:tcMar>
              <w:top w:w="120" w:type="dxa"/>
              <w:start w:w="120" w:type="dxa"/>
              <w:bottom w:w="120" w:type="dxa"/>
              <w:end w:w="120" w:type="dxa"/>
            </w:tcMar>
            <w:vAlign w:val="center"/>
          </w:tcPr>
          <w:p>
            <w:pPr>
              <w:spacing w:after="40" w:line="240" w:lineRule="auto" w:before="0"/>
            </w:pPr>
            <w:r>
              <w:rPr>
                <w:rFonts w:ascii="Calibri" w:hAnsi="Calibri"/>
                <w:color w:val="232323"/>
                <w:sz w:val="20"/>
              </w:rPr>
              <w:t>Culture, coopération, communication, tourisme, communes</w:t>
            </w:r>
          </w:p>
        </w:tc>
        <w:tc>
          <w:tcPr>
            <w:tcW w:type="dxa" w:w="1550"/>
            <w:tcMar>
              <w:top w:w="120" w:type="dxa"/>
              <w:start w:w="120" w:type="dxa"/>
              <w:bottom w:w="120" w:type="dxa"/>
              <w:end w:w="120" w:type="dxa"/>
            </w:tcMar>
            <w:vAlign w:val="center"/>
          </w:tcPr>
          <w:p>
            <w:pPr>
              <w:spacing w:after="40" w:line="240" w:lineRule="auto" w:before="0"/>
            </w:pPr>
            <w:r>
              <w:rPr>
                <w:rFonts w:ascii="Calibri" w:hAnsi="Calibri"/>
                <w:color w:val="232323"/>
                <w:sz w:val="20"/>
              </w:rPr>
              <w:t>Faible à moyen : récit institutionnel, circuits, signalétique pilote</w:t>
            </w:r>
          </w:p>
        </w:tc>
        <w:tc>
          <w:tcPr>
            <w:tcW w:type="dxa" w:w="2450"/>
            <w:tcMar>
              <w:top w:w="120" w:type="dxa"/>
              <w:start w:w="120" w:type="dxa"/>
              <w:bottom w:w="120" w:type="dxa"/>
              <w:end w:w="120" w:type="dxa"/>
            </w:tcMar>
            <w:vAlign w:val="center"/>
          </w:tcPr>
          <w:p>
            <w:pPr>
              <w:spacing w:after="40" w:line="240" w:lineRule="auto" w:before="0"/>
            </w:pPr>
            <w:r>
              <w:rPr>
                <w:rFonts w:ascii="Calibri" w:hAnsi="Calibri"/>
                <w:color w:val="232323"/>
                <w:sz w:val="20"/>
              </w:rPr>
              <w:t>Récit historique validé avant M+4 ; 3 circuits mémoriels ou culturels esquissés avant M+6.</w:t>
            </w:r>
          </w:p>
        </w:tc>
        <w:tc>
          <w:tcPr>
            <w:tcW w:type="dxa" w:w="1560"/>
            <w:tcMar>
              <w:top w:w="120" w:type="dxa"/>
              <w:start w:w="120" w:type="dxa"/>
              <w:bottom w:w="120" w:type="dxa"/>
              <w:end w:w="120" w:type="dxa"/>
            </w:tcMar>
            <w:vAlign w:val="center"/>
          </w:tcPr>
          <w:p>
            <w:pPr>
              <w:spacing w:after="40" w:line="240" w:lineRule="auto" w:before="0"/>
            </w:pPr>
            <w:r>
              <w:rPr>
                <w:rFonts w:ascii="Calibri" w:hAnsi="Calibri"/>
                <w:color w:val="232323"/>
                <w:sz w:val="20"/>
              </w:rPr>
              <w:t>Document Dakar historique, carte des circuits, calendrier culturel et note Dakar Brand.</w:t>
            </w:r>
          </w:p>
        </w:tc>
      </w:tr>
      <w:tr>
        <w:tc>
          <w:tcPr>
            <w:tcW w:type="dxa" w:w="2150"/>
            <w:tcMar>
              <w:top w:w="120" w:type="dxa"/>
              <w:start w:w="120" w:type="dxa"/>
              <w:bottom w:w="120" w:type="dxa"/>
              <w:end w:w="120" w:type="dxa"/>
            </w:tcMar>
          </w:tcPr>
          <w:p>
            <w:pPr>
              <w:spacing w:after="40" w:line="240" w:lineRule="auto" w:before="0"/>
            </w:pPr>
            <w:r>
              <w:rPr>
                <w:sz w:val="20"/>
              </w:rPr>
              <w:t>Préparer un pacte de compétences nouvelles pour Dakar : fiscalité urbaine, mobilité, transport, données, PPP, finance climat, levée de fonds et valorisation patrimoniale.</w:t>
            </w:r>
          </w:p>
        </w:tc>
        <w:tc>
          <w:tcPr>
            <w:tcW w:type="dxa" w:w="1650"/>
            <w:tcMar>
              <w:top w:w="120" w:type="dxa"/>
              <w:start w:w="120" w:type="dxa"/>
              <w:bottom w:w="120" w:type="dxa"/>
              <w:end w:w="120" w:type="dxa"/>
            </w:tcMar>
          </w:tcPr>
          <w:p>
            <w:pPr>
              <w:spacing w:after="40" w:line="240" w:lineRule="auto" w:before="0"/>
            </w:pPr>
            <w:r>
              <w:rPr>
                <w:sz w:val="20"/>
              </w:rPr>
              <w:t>Cabinet du Maire, Secrétariat général, finances, juridique, planification, mobilité</w:t>
            </w:r>
          </w:p>
        </w:tc>
        <w:tc>
          <w:tcPr>
            <w:tcW w:type="dxa" w:w="1550"/>
            <w:tcMar>
              <w:top w:w="120" w:type="dxa"/>
              <w:start w:w="120" w:type="dxa"/>
              <w:bottom w:w="120" w:type="dxa"/>
              <w:end w:w="120" w:type="dxa"/>
            </w:tcMar>
          </w:tcPr>
          <w:p>
            <w:pPr>
              <w:spacing w:after="40" w:line="240" w:lineRule="auto" w:before="0"/>
            </w:pPr>
            <w:r>
              <w:rPr>
                <w:sz w:val="20"/>
              </w:rPr>
              <w:t>Faible à moyen : expertise, ateliers État-Ville-communes, note comparative</w:t>
            </w:r>
          </w:p>
        </w:tc>
        <w:tc>
          <w:tcPr>
            <w:tcW w:type="dxa" w:w="2450"/>
            <w:tcMar>
              <w:top w:w="120" w:type="dxa"/>
              <w:start w:w="120" w:type="dxa"/>
              <w:bottom w:w="120" w:type="dxa"/>
              <w:end w:w="120" w:type="dxa"/>
            </w:tcMar>
          </w:tcPr>
          <w:p>
            <w:pPr>
              <w:spacing w:after="40" w:line="240" w:lineRule="auto" w:before="0"/>
            </w:pPr>
            <w:r>
              <w:rPr>
                <w:sz w:val="20"/>
              </w:rPr>
              <w:t>Un projet de pacte disponible avant M+4 ; au moins 6 blocs de compétences cartographiés.</w:t>
            </w:r>
          </w:p>
        </w:tc>
        <w:tc>
          <w:tcPr>
            <w:tcW w:type="dxa" w:w="1560"/>
            <w:tcMar>
              <w:top w:w="120" w:type="dxa"/>
              <w:start w:w="120" w:type="dxa"/>
              <w:bottom w:w="120" w:type="dxa"/>
              <w:end w:w="120" w:type="dxa"/>
            </w:tcMar>
          </w:tcPr>
          <w:p>
            <w:pPr>
              <w:spacing w:after="40" w:line="240" w:lineRule="auto" w:before="0"/>
            </w:pPr>
            <w:r>
              <w:rPr>
                <w:sz w:val="20"/>
              </w:rPr>
              <w:t>Pacte de compétences, cartographie, PV de concertation, note Acte IV.</w:t>
            </w:r>
          </w:p>
        </w:tc>
      </w:tr>
    </w:tbl>
    <w:p>
      <w:pPr>
        <w:pStyle w:val="Heading2"/>
      </w:pPr>
      <w:r>
        <w:t>Décisions par nature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900"/>
        <w:gridCol w:w="4400"/>
        <w:gridCol w:w="3060"/>
      </w:tblGrid>
      <w:tr>
        <w:trPr>
          <w:tblHeader w:val="true"/>
        </w:trPr>
        <w:tc>
          <w:tcPr>
            <w:tcW w:type="dxa" w:w="1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Nature</w:t>
            </w:r>
          </w:p>
        </w:tc>
        <w:tc>
          <w:tcPr>
            <w:tcW w:type="dxa" w:w="4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Décisions concernées</w:t>
            </w:r>
          </w:p>
        </w:tc>
        <w:tc>
          <w:tcPr>
            <w:tcW w:type="dxa" w:w="30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Traitement recommandé</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Décisions immédiates</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Plan stratégique Dakar 2035-2050 ; cellule GAR-données-projets ; réformes fiscales territoriales ; programmes numérique et transition écologique ; portefeuille initial de projets.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Décision municipale rapide, mandat écrit, points focaux, calendrier court.</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Réformes à arbitrage politique</w:t>
            </w:r>
          </w:p>
        </w:tc>
        <w:tc>
          <w:tcPr>
            <w:tcW w:type="dxa" w:w="4400"/>
            <w:tcMar>
              <w:top w:w="80" w:type="dxa"/>
              <w:start w:w="120" w:type="dxa"/>
              <w:bottom w:w="80" w:type="dxa"/>
              <w:end w:w="120" w:type="dxa"/>
            </w:tcMar>
            <w:vAlign w:val="center"/>
          </w:tcPr>
          <w:p>
            <w:pPr>
              <w:spacing w:after="40" w:before="0" w:line="240" w:lineRule="auto"/>
            </w:pPr>
            <w:r>
              <w:rPr>
                <w:sz w:val="20"/>
              </w:rPr>
              <w:t>Statut de Dakar, Acte IV, option District spécial ou pôle urbain métropolitain, compétences nouvelles, financement local, relations Ville-communes.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Note de position, concertation institutionnelle, transmission aux instances nationales.</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Mesures techniques internes</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Tableau de bord, gouvernance des données, e-taxe pilote, indicateurs SMART, fiches projets.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Pilotage par le Secrétariat général et les directions concernées.</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Actions dépendant de l’État</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Partage des données fiscales, cadre d’emprunt, normes numériques, réforme de la fiscalité locale.</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Dialogue formalisé avec ministères, DGID, Trésor et structures d’appui.</w:t>
            </w:r>
          </w:p>
        </w:tc>
      </w:tr>
      <w:tr>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Actions portables par la Ville</w:t>
            </w:r>
          </w:p>
        </w:tc>
        <w:tc>
          <w:tcPr>
            <w:tcW w:type="dxa" w:w="4400"/>
            <w:tcMar>
              <w:top w:w="80" w:type="dxa"/>
              <w:start w:w="120" w:type="dxa"/>
              <w:bottom w:w="80" w:type="dxa"/>
              <w:end w:w="120" w:type="dxa"/>
            </w:tcMar>
            <w:vAlign w:val="center"/>
          </w:tcPr>
          <w:p>
            <w:pPr>
              <w:spacing w:after="40" w:line="240" w:lineRule="auto" w:before="0"/>
            </w:pPr>
            <w:r>
              <w:rPr>
                <w:rFonts w:ascii="Calibri" w:hAnsi="Calibri"/>
                <w:color w:val="232323"/>
                <w:sz w:val="20"/>
              </w:rPr>
              <w:t>Planification stratégique, portefeuille projets, stratégie Dakar Brand, histoire de Dakar, PCET, programme numérique, recensement des actifs.</w:t>
            </w:r>
          </w:p>
        </w:tc>
        <w:tc>
          <w:tcPr>
            <w:tcW w:type="dxa" w:w="3060"/>
            <w:tcMar>
              <w:top w:w="80" w:type="dxa"/>
              <w:start w:w="120" w:type="dxa"/>
              <w:bottom w:w="80" w:type="dxa"/>
              <w:end w:w="120" w:type="dxa"/>
            </w:tcMar>
            <w:vAlign w:val="center"/>
          </w:tcPr>
          <w:p>
            <w:pPr>
              <w:spacing w:after="40" w:line="240" w:lineRule="auto" w:before="0"/>
            </w:pPr>
            <w:r>
              <w:rPr>
                <w:rFonts w:ascii="Calibri" w:hAnsi="Calibri"/>
                <w:color w:val="232323"/>
                <w:sz w:val="20"/>
              </w:rPr>
              <w:t>Lancement par décision municipale et revue trimestrielle.</w:t>
            </w:r>
          </w:p>
        </w:tc>
      </w:tr>
    </w:tbl>
    <w:p>
      <w:pPr>
        <w:pStyle w:val="Heading1"/>
      </w:pPr>
      <w:r>
        <w:t>Plan détaillé paginé proposé</w:t>
      </w:r>
    </w:p>
    <w:p>
      <w:r>
        <w:t>Le présent rapport est conçu comme une version institutionnelle solide, destinée à tenir dans un format de 40 à 50 pages hors annexes. La pagination indiquée ci-dessous constitue une cible éditoriale : elle organise l’équilibre entre restitution des travaux, analyse stratégique, recommandations et dispositif de mise en œuvre. Elle peut varier légèrement selon la mise en page finale, l’insertion éventuelle de photos, de logos, de signatures ou de documents annexes.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00"/>
        <w:gridCol w:w="1200"/>
        <w:gridCol w:w="3650"/>
        <w:gridCol w:w="2810"/>
      </w:tblGrid>
      <w:tr>
        <w:trPr>
          <w:tblHeader w:val="true"/>
        </w:trPr>
        <w:tc>
          <w:tcPr>
            <w:tcW w:type="dxa" w:w="17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Partie</w:t>
            </w:r>
          </w:p>
        </w:tc>
        <w:tc>
          <w:tcPr>
            <w:tcW w:type="dxa" w:w="1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Pages cibles</w:t>
            </w:r>
          </w:p>
        </w:tc>
        <w:tc>
          <w:tcPr>
            <w:tcW w:type="dxa" w:w="36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Contenu principal</w:t>
            </w:r>
          </w:p>
        </w:tc>
        <w:tc>
          <w:tcPr>
            <w:tcW w:type="dxa" w:w="28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Fonction dans le rapport</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Pages liminaires</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1-5</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Couverture, avant-propos, positionnement institutionnel, note de décision, sigles, note de méthode et plan paginé.</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Installer le caractère institutionnel du document et préciser le périmètre d’analyse.</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Résumé exécutif</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6-10</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Messages majeurs, enjeux transversaux, synthèse des leviers et conclusions principales.</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Permettre une lecture rapide par les décideurs et partenaires.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Introduction, contexte et cadrage documentaire</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11-19</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Trajectoire de la décentralisation, Acte IV, pôles territoriaux, Dakar capitale, Vision Sénégal 2050, Budget 2024, PNADT, PCET, Acte III, GAR et PPP.</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Situer les Journées scientifiques dans les réformes nationales en cours et consolider les apports des documents de soutien.</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Diagnostic transversal</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20-23</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Atouts, contraintes, enjeux d’intégration, confiance institutionnelle et besoin de pilotage.</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Faire apparaître les problèmes communs aux six panels.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Synthèse des panels</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24-34</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Liste des panels, panélistes, problématiques, apports, messages clés et recommandations par panel.</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Capitaliser les contributions sans reproduire les transcriptions.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Approfondissements stratégiques</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35-41</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Statut de Dakar, GAR, autonomie financière, projets bancables, capital humain et attractivité.</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Transformer les débats en orientations structurantes.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Programme de transformation</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42-46</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Programmes prioritaires, réformes fiscales territoriales, programme numérique municipal, programme transition écologique-PCET, livrables, indicateurs, risques et responsabilités de suivi.</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Passer de la réflexion à l’action municipale.</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Recommandations et feuille de route</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47-49</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Recommandations par acteur, matrice des priorités, horizons 0-6 mois, 6-18 mois et 18-36 mois.</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Donner une trajectoire claire aux décideurs.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Conclusion</w:t>
            </w:r>
          </w:p>
        </w:tc>
        <w:tc>
          <w:tcPr>
            <w:tcW w:type="dxa" w:w="1200"/>
            <w:tcMar>
              <w:top w:w="80" w:type="dxa"/>
              <w:start w:w="120" w:type="dxa"/>
              <w:bottom w:w="80" w:type="dxa"/>
              <w:end w:w="120" w:type="dxa"/>
            </w:tcMar>
            <w:vAlign w:val="center"/>
          </w:tcPr>
          <w:p>
            <w:pPr>
              <w:spacing w:after="40" w:line="240" w:lineRule="auto" w:before="0"/>
            </w:pPr>
            <w:r>
              <w:rPr>
                <w:rFonts w:ascii="Calibri" w:hAnsi="Calibri"/>
                <w:color w:val="232323"/>
                <w:sz w:val="20"/>
              </w:rPr>
              <w:t>50</w:t>
            </w:r>
          </w:p>
        </w:tc>
        <w:tc>
          <w:tcPr>
            <w:tcW w:type="dxa" w:w="3650"/>
            <w:tcMar>
              <w:top w:w="80" w:type="dxa"/>
              <w:start w:w="120" w:type="dxa"/>
              <w:bottom w:w="80" w:type="dxa"/>
              <w:end w:w="120" w:type="dxa"/>
            </w:tcMar>
            <w:vAlign w:val="center"/>
          </w:tcPr>
          <w:p>
            <w:pPr>
              <w:spacing w:after="40" w:line="240" w:lineRule="auto" w:before="0"/>
            </w:pPr>
            <w:r>
              <w:rPr>
                <w:rFonts w:ascii="Calibri" w:hAnsi="Calibri"/>
                <w:color w:val="232323"/>
                <w:sz w:val="20"/>
              </w:rPr>
              <w:t>Synthèse politique et institutionnelle, appel à la continuité et à la mise en œuvre.</w:t>
            </w:r>
          </w:p>
        </w:tc>
        <w:tc>
          <w:tcPr>
            <w:tcW w:type="dxa" w:w="2810"/>
            <w:tcMar>
              <w:top w:w="80" w:type="dxa"/>
              <w:start w:w="120" w:type="dxa"/>
              <w:bottom w:w="80" w:type="dxa"/>
              <w:end w:w="120" w:type="dxa"/>
            </w:tcMar>
            <w:vAlign w:val="center"/>
          </w:tcPr>
          <w:p>
            <w:pPr>
              <w:spacing w:after="40" w:line="240" w:lineRule="auto" w:before="0"/>
            </w:pPr>
            <w:r>
              <w:rPr>
                <w:rFonts w:ascii="Calibri" w:hAnsi="Calibri"/>
                <w:color w:val="232323"/>
                <w:sz w:val="20"/>
              </w:rPr>
              <w:t>Clore sur une perspective d’action collective.</w:t>
            </w:r>
          </w:p>
        </w:tc>
      </w:tr>
    </w:tbl>
    <w:p>
      <w:pPr>
        <w:pStyle w:val="Heading2"/>
      </w:pPr>
      <w:r>
        <w:t>Lecture de la pagination</w:t>
      </w:r>
    </w:p>
    <w:p>
      <w:r>
        <w:t>La structure proposée assume un choix : ne pas produire de simples actes de séminaire, mais un rapport d’aide à la décision. La partie consacrée aux panels reste suffisamment développée pour respecter la richesse des contributions ; elle est complétée par des approfondissements qui donnent au document une portée stratégique et par une feuille de route qui prépare le suivi institutionnel.</w:t>
      </w:r>
    </w:p>
    <w:p>
      <w:pPr>
        <w:pStyle w:val="ListBullet"/>
      </w:pPr>
      <w:r>
        <w:t>La pagination hors annexes doit rester lisible pour les autorités municipales, les services techniques et les partenaires.</w:t>
      </w:r>
    </w:p>
    <w:p>
      <w:pPr>
        <w:pStyle w:val="ListBullet"/>
      </w:pPr>
      <w:r>
        <w:t>Les annexes peuvent accueillir les listes de présence, les supports, les documents sources, les matrices détaillées et les transcriptions nettoyées.</w:t>
      </w:r>
    </w:p>
    <w:p>
      <w:pPr>
        <w:pStyle w:val="ListBullet"/>
      </w:pPr>
      <w:r>
        <w:t>Le rapport principal doit conserver un équilibre entre analyse, décision et opérationnalisation.</w:t>
      </w:r>
    </w:p>
    <w:p>
      <w:pPr>
        <w:pStyle w:val="ListBullet"/>
      </w:pPr>
      <w:r>
        <w:t>Les tableaux doivent être utilisés pour clarifier les responsabilités, les indicateurs et les horizons de mise en œuvre.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FORMAT RECOMMANDÉ</w:t>
            </w:r>
          </w:p>
          <w:p>
            <w:pPr>
              <w:spacing w:after="40" w:line="252" w:lineRule="auto"/>
            </w:pPr>
            <w:r>
              <w:rPr>
                <w:sz w:val="20"/>
              </w:rPr>
              <w:t>Le format 40 à 50 pages hors annexes est pertinent pour une version institutionnelle : il permet d’être complet sans devenir un dossier technique difficile à lire. Les annexes peuvent ensuite absorber les détails documentaires.</w:t>
            </w:r>
          </w:p>
        </w:tc>
      </w:tr>
    </w:tbl>
    <w:p>
      <w:pPr>
        <w:pStyle w:val="Heading1"/>
      </w:pPr>
      <w:r>
        <w:t>Résumé exécutif</w:t>
      </w:r>
    </w:p>
    <w:p>
      <w:r>
        <w:t>Les Journées scientifiques de contribution de l’APEC se sont tenues dans un contexte où Dakar doit simultanément clarifier sa place dans l’architecture territoriale nationale, renforcer son autonomie financière, moderniser sa gouvernance, valoriser ses ressources humaines et consolider son attractivité internationale. Le thème général, centré sur le financement, la gouvernance et la transformation de la Ville à l’ère des pôles territoriaux et de l’Acte IV de la décentralisation, a permis d’ouvrir un débat de fond sur la vocation métropolitaine de Dakar.</w:t>
      </w:r>
    </w:p>
    <w:p>
      <w:r>
        <w:t>Les travaux ont mis en évidence un paradoxe majeur. Dakar demeure la capitale politique, économique, administrative, culturelle et internationale du Sénégal ; elle concentre des fonctions stratégiques, des infrastructures, des réseaux et une expertise municipale reconnue. Pourtant, son cadre institutionnel, ses compétences, ses ressources fiscales et ses instruments de pilotage restent insuffisamment adaptés à cette vocation. La Ville est appelée à jouer un rôle de locomotive, mais elle ne dispose pas toujours des leviers juridiques, financiers et opérationnels correspondant à cette responsabilité.</w:t>
      </w:r>
    </w:p>
    <w:p>
      <w:r>
        <w:t>Le premier message fort concerne le statut de Dakar. Les communications analysées soulignent l’ambiguïté du régime actuel de la ville, la fragmentation des compétences, les chevauchements entre la Ville, les communes, les services de l’État et les agences, ainsi que la difficulté à construire une gouvernance métropolitaine cohérente. L’Acte IV et les pôles territoriaux sont perçus comme une opportunité de clarification, à condition qu’ils ne produisent pas une strate institutionnelle supplémentaire sans arbitrage clair.</w:t>
      </w:r>
    </w:p>
    <w:p>
      <w:r>
        <w:t>Le deuxième message porte sur la gouvernance orientée résultats. Les travaux convergent sur la nécessité de sortir d’un budget de moyens pour aller vers un budget-programme, adossé à des objectifs, des indicateurs, des responsables de programme, des tableaux de bord et des rapports de performance. La GAR apparaît comme un instrument de crédibilité politique, de transparence budgétaire, de redevabilité citoyenne et d’accès aux financements structurants.</w:t>
      </w:r>
    </w:p>
    <w:p>
      <w:r>
        <w:t>Le troisième message concerne la mobilisation des ressources. Les débats montrent que l’autonomie financière de Dakar ne peut pas reposer uniquement sur les recettes fiscales classiques ni sur les transferts. La Ville doit mieux connaître son assiette, moderniser son cadastre fiscal, digitaliser le recouvrement, simplifier les procédures, exploiter les niches existantes, valoriser son patrimoine et renforcer l’ingénierie financière. La fiscalité foncière, le stationnement, les services urbains, l’économie événementielle et les actifs municipaux constituent des leviers à structurer.</w:t>
      </w:r>
    </w:p>
    <w:p>
      <w:r>
        <w:t>Le quatrième message concerne les financements innovants. Les PPP, la finance climat, les fonds verts, les financements mixtes et les marchés financiers sont présentés comme des opportunités réelles, mais exigeantes. Ils supposent des projets bancables, une documentation technique solide, un partage des risques équilibré, une visibilité pour le secteur privé et une capacité municipale à négocier avec des partenaires mieux outillés. L’idée d’un véhicule de développement et de financement du patrimoine communal, de type Dakar Financial Corporation, constitue une piste structurante.</w:t>
      </w:r>
    </w:p>
    <w:p>
      <w:r>
        <w:t>Le cinquième message réaffirme que le capital humain municipal est le premier actif stratégique de Dakar. La performance institutionnelle ne dépend pas seulement des textes, des budgets ou des infrastructures ; elle dépend d’abord de la qualité des femmes et des hommes qui conçoivent, administrent, contrôlent, évaluent et innovent. La formation continue, la GPEC, la digitalisation RH, la mobilité interne, la valorisation des acquis, la motivation des agents et la modernisation du leadership public sont des conditions de réussite.</w:t>
      </w:r>
    </w:p>
    <w:p>
      <w:r>
        <w:t>Enfin, les travaux ont replacé Dakar dans la compétition entre métropoles africaines et mondiales. Son histoire, sa position géographique, son patrimoine culturel, ses réseaux internationaux, sa diplomatie territoriale, sa capacité d’accueil d’événements et son rôle dans les politiques climatiques peuvent constituer une marque territoriale forte. Mais ce rayonnement doit être organisé : une ville attractive se construit par des choix de gouvernance, de planification, d’image, de partenariats et de qualité de vie.</w:t>
      </w:r>
    </w:p>
    <w:p>
      <w:pPr>
        <w:pStyle w:val="Heading2"/>
      </w:pPr>
      <w:r>
        <w:t>Données de cadrage à retenir</w:t>
      </w:r>
    </w:p>
    <w:p>
      <w:r>
        <w:t>Les données disponibles dans les supports confirment que la transformation de Dakar doit être pensée à partir d’ordres de grandeur précis. Elles montrent une concentration exceptionnelle des populations, des activités et des fonctions économiques sur un espace réduit, mais aussi une capacité financière locale encore insuffisamment outillée pour soutenir une stratégie métropolitaine durable.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800"/>
        <w:gridCol w:w="4250"/>
        <w:gridCol w:w="3310"/>
      </w:tblGrid>
      <w:tr>
        <w:trPr>
          <w:tblHeader w:val="true"/>
        </w:trPr>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w:t>
            </w:r>
          </w:p>
        </w:tc>
        <w:tc>
          <w:tcPr>
            <w:tcW w:type="dxa" w:w="42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Donnée issue des supports</w:t>
            </w:r>
          </w:p>
        </w:tc>
        <w:tc>
          <w:tcPr>
            <w:tcW w:type="dxa" w:w="33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Lecture stratégique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Poids territorial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Dakar concentre environ 22% de la population nationale sur moins de 0,28% du territoire national ; la densité est présentée comme plus de 80 fois supérieure à la moyenne du pays.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capitale supporte une pression urbaine qui exige un statut, des ressources et des outils de gestion différenciés.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Poids économique</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supports évoquent 80% des activités économiques et un poids économique d’environ 46,6% ; la présentation sur les pôles territoriaux mentionne 46,2% du PIB pour le pôle Dakar en 2022.</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place économique de Dakar justifie une fiscalité locale mieux corrélée à la richesse réellement produite sur le territoire.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Budget municipal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présentations mentionnent un budget global d’environ 88,5 milliards FCFA, dont environ 56,5 milliards de fonctionnement et 32 milliards d’investissement.</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 budget existe, mais sa structure doit être convertie en programmes, résultats et portefeuille de projets finançables.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Budget officiel 2024</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 Rapport Budget 2024 arrête le budget à 69.478.506.843 FCFA ; le budget réel hors mouvements financiers est de 46.855.999.413 FCFA ; 53% du budget réel est orienté vers l’investissement.</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stratégie doit distinguer la capacité nominale, le budget réellement mobilisable et la part effectivement programmable en investissements.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Structure fiscale 2024</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impôts locaux représentent 34.800.000.000 FCFA, soit 77,48% des recettes propres de fonctionnement ; l’impôt foncier bâti est prévu à 7.000.000.000 FCFA, avec un potentiel signalé d’au moins 10 milliards.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L’élargissement de l’assiette foncière, le recensement des redevables et la coopération avec la DGID sont des priorités de court terme.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Cadrage territorial national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 PNADT indique que Dakar concentrait 23,2% de la population nationale en 2013, 80% de l’activité industrielle et plus de 29% de la population active ; la surface urbanisée est passée de 14.940 à 18.300 hectares entre 2000 et 2010.</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 statut différencié de Dakar doit être justifié par sa fonction réelle dans l’armature nationale et non par un argument symbolique.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Transition climatique</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 PCET de Dakar porte une vision 2050 et structure 7 axes et 22 actions autour des risques, de l’aménagement, de l’énergie, de la mobilité, des déchets, de la finance verte et de la gouvernance climatique.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transition écologique doit être traduite en programme budgétaire, portefeuille de projets bancables, dispositif MRV et tableau de bord.</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Ressources locales</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recettes fiscales sont estimées autour de 43,4 milliards FCFA ; les recettes d’exploitation autour de 9,2 milliards ; les emprunts sont indiqués à zéro dans la structuration budgétaire présentée.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L’autonomie financière doit reposer sur l’assiette, la digitalisation du recouvrement, l’e-taxe, le patrimoine et les financements externes.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La DRH présente 1 616 agents ; les dépenses de personnel sont indiquées à 7,298 milliards FCFA, soit 12,50% des recettes ordinaires ; les femmes représentent 44% de l’effectif.</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La transformation institutionnelle doit investir dans les compétences, les données RH, la formation et la performance des services.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Financement territorial</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supports sur les financements mobilisés par l’État indiquent 294 conventions signées entre 2019 et 2024, 8 421 milliards FCFA mobilisés, mais seulement 82,1 milliards FCFA identifiés dans le champ développement communautaire et collectivités territoriales, soit 0,98% du total.</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Dakar doit se doter d’une ingénierie de portefeuille pour capter une part plus structurée des financements publics, PPP et climat.</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Fiscalité foncière</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échanges signalent qu’environ 20% des propriétés auraient été recensées et 12% auraient effectivement payé dans une expérimentation citée ; un benchmark marocain évoque un gain de 15% de recettes dès la première année de digitalisation fiscale.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L’e-taxe et le cadastre fiscal géolocalisé doivent devenir des priorités immédiates d’élargissement de l’assiette.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w:t>
            </w:r>
          </w:p>
        </w:tc>
        <w:tc>
          <w:tcPr>
            <w:tcW w:type="dxa" w:w="4250"/>
            <w:tcMar>
              <w:top w:w="80" w:type="dxa"/>
              <w:start w:w="120" w:type="dxa"/>
              <w:bottom w:w="80" w:type="dxa"/>
              <w:end w:w="120" w:type="dxa"/>
            </w:tcMar>
            <w:vAlign w:val="center"/>
          </w:tcPr>
          <w:p>
            <w:pPr>
              <w:spacing w:after="40" w:line="240" w:lineRule="auto" w:before="0"/>
            </w:pPr>
            <w:r>
              <w:rPr>
                <w:rFonts w:ascii="Calibri" w:hAnsi="Calibri"/>
                <w:color w:val="232323"/>
                <w:sz w:val="20"/>
              </w:rPr>
              <w:t>Les supports sur le rayonnement mentionnent le trafic du Port de Dakar en 2025 à 29,66 millions de tonnes, soit 85,6 milliards FCFA, et rappellent les JOJ 2026 comme opportunité d’héritage.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L’événementiel, la culture, le sport et le tourisme doivent être traités comme des leviers économiques et fiscaux, pas seulement comme des activités d’image.</w:t>
            </w:r>
          </w:p>
        </w:tc>
      </w:tr>
    </w:tbl>
    <w:p>
      <w:pPr>
        <w:pStyle w:val="Heading2"/>
      </w:pPr>
      <w:r>
        <w:t>Synthèse opérationnelle enrichie</w:t>
      </w:r>
    </w:p>
    <w:p>
      <w:r>
        <w:t>La lecture croisée de ces chiffres conduit à une conclusion opérationnelle : Dakar n’a pas seulement besoin de ressources supplémentaires ; elle doit transformer sa manière de produire, organiser et utiliser l’information publique. Le budget d’environ 88,5 milliards FCFA, l’absence d’emprunt, le poids du fonctionnement, le potentiel fiscal non capté et la faible part des financements explicitement orientés vers les collectivités montrent que la priorité doit être la performance documentée.</w:t>
      </w:r>
    </w:p>
    <w:p>
      <w:pPr>
        <w:pStyle w:val="ListBullet"/>
      </w:pPr>
      <w:r>
        <w:t>Décision prioritaire 1 : faire de la GAR une norme de l’Acte IV afin que les ressources soient reliées à des programmes, indicateurs, responsables et résultats mesurables.</w:t>
      </w:r>
    </w:p>
    <w:p>
      <w:pPr>
        <w:pStyle w:val="ListBullet"/>
      </w:pPr>
      <w:r>
        <w:t>Décision prioritaire 2 : financer d’abord la donnée municipale, car le cadastre fiscal, l’e-taxe, le SIG, le SIRH, la data room et le tableau de bord conditionnent les recettes et les financements.</w:t>
      </w:r>
    </w:p>
    <w:p>
      <w:pPr>
        <w:pStyle w:val="ListBullet"/>
      </w:pPr>
      <w:r>
        <w:t>Décision prioritaire 3 : gérer les projets comme un portefeuille classé par maturité, afin de distinguer les idées, les projets à étudier, les projets bancables et les projets prêts à financer.</w:t>
      </w:r>
    </w:p>
    <w:p>
      <w:pPr>
        <w:pStyle w:val="ListBullet"/>
      </w:pPr>
      <w:r>
        <w:t>Décision prioritaire 4 : élargir l’assiette sans alourdir aveuglément la pression fiscale, grâce à l’e-taxe, au foncier, à l’événementiel, au patrimoine, au stationnement et aux services urbains.</w:t>
      </w:r>
    </w:p>
    <w:p>
      <w:pPr>
        <w:pStyle w:val="ListBullet"/>
      </w:pPr>
      <w:r>
        <w:t>Décision prioritaire 5 : inscrire le numérique et la transition écologique comme normes de transformation, pas comme rubriques secondaires.</w:t>
      </w:r>
    </w:p>
    <w:p>
      <w:pPr>
        <w:pStyle w:val="ListBullet"/>
      </w:pPr>
      <w:r>
        <w:t>Décision prioritaire 6 : arbitrer le futur statut de Dakar dans l’Acte IV, en testant trois scénarios : District spécial de Dakar, pôle urbain métropolitain ou ville-capitale renforcée.</w:t>
      </w:r>
    </w:p>
    <w:p>
      <w:pPr>
        <w:pStyle w:val="Heading2"/>
      </w:pPr>
      <w:r>
        <w:t>Messages clés consolidés</w:t>
      </w:r>
    </w:p>
    <w:p>
      <w:pPr>
        <w:pStyle w:val="ListBullet"/>
      </w:pPr>
      <w:r>
        <w:t>Dakar doit être repositionnée comme pivot du pôle territorial ouest et comme métropole-capitale dotée d’un cadre institutionnel adapté : District spécial, pôle urbain métropolitain ou ville-capitale renforcée.</w:t>
      </w:r>
    </w:p>
    <w:p>
      <w:pPr>
        <w:pStyle w:val="ListBullet"/>
      </w:pPr>
      <w:r>
        <w:t>La GAR doit être normalisée dans l’Acte IV et généralisée comme outil de gestion de la performance, connectant vision, programmes, budgets, indicateurs et redevabilité.</w:t>
      </w:r>
    </w:p>
    <w:p>
      <w:pPr>
        <w:pStyle w:val="ListBullet"/>
      </w:pPr>
      <w:r>
        <w:t>La gouvernance des données doit devenir une priorité de financement : sans données fiscales, foncières, climatiques, RH et de projets, Dakar ne pourra pas constituer un portefeuille crédible de projets bancables.</w:t>
      </w:r>
    </w:p>
    <w:p>
      <w:pPr>
        <w:pStyle w:val="ListBullet"/>
      </w:pPr>
      <w:r>
        <w:t>L’autonomie financière passe par la maîtrise de l’assiette, l’e-taxe, le cadastre fiscal, la digitalisation du recouvrement, la fiscalité événementielle, la valorisation des actifs et l’ingénierie de projets.</w:t>
      </w:r>
    </w:p>
    <w:p>
      <w:pPr>
        <w:pStyle w:val="ListBullet"/>
      </w:pPr>
      <w:r>
        <w:t>Les PPP et la finance climat sont des leviers utiles seulement si la Ville sait structurer un portefeuille de projets réalistes, documentés, bancables et suivis par des indicateurs.</w:t>
      </w:r>
    </w:p>
    <w:p>
      <w:pPr>
        <w:pStyle w:val="ListBullet"/>
      </w:pPr>
      <w:r>
        <w:t>Le numérique doit être intégré dans l’Acte IV comme une norme de gouvernance territoriale : données partagées, systèmes interopérables, services en ligne, tableaux de bord et redevabilité.</w:t>
      </w:r>
    </w:p>
    <w:p>
      <w:pPr>
        <w:pStyle w:val="ListBullet"/>
      </w:pPr>
      <w:r>
        <w:t>La transition écologique doit être traitée comme un axe de financement et de performance urbaine : inondations, littoral, espaces verts, énergie, mobilité décarbonée et résilience des quartiers.</w:t>
      </w:r>
    </w:p>
    <w:p>
      <w:pPr>
        <w:pStyle w:val="ListBullet"/>
      </w:pPr>
      <w:r>
        <w:t>La transformation municipale doit investir prioritairement dans le capital humain, les compétences numériques, le leadership et la motivation.</w:t>
      </w:r>
    </w:p>
    <w:p>
      <w:pPr>
        <w:pStyle w:val="ListBullet"/>
      </w:pPr>
      <w:r>
        <w:t>Le rayonnement international de Dakar doit s’appuyer sur une marque territoriale, des partenariats pragmatiques et une stratégie d’attractivité mesurable.</w:t>
      </w:r>
    </w:p>
    <w:p>
      <w:pPr>
        <w:pStyle w:val="Heading1"/>
      </w:pPr>
      <w:r>
        <w:t>Introduction générale</w:t>
      </w:r>
    </w:p>
    <w:p>
      <w:r>
        <w:t>Dakar occupe une place singulière dans l’histoire institutionnelle, économique, culturelle et diplomatique du Sénégal. Ville capitale, ancienne commune de plein exercice, centre de décision national, pôle économique majeur, espace de concentration des infrastructures stratégiques et vitrine internationale du pays, elle porte une responsabilité qui dépasse largement ses limites administratives. Les transformations territoriales en cours obligent à repenser cette responsabilité dans un cadre nouveau.</w:t>
      </w:r>
    </w:p>
    <w:p>
      <w:r>
        <w:t>L’Acte III de la décentralisation a marqué une rupture importante avec la communalisation intégrale et la transformation des communes d’arrondissement en communes de plein exercice. Cette évolution a renforcé certaines logiques de proximité, mais elle a aussi produit des effets de fragmentation. Les compétences, les ressources et les responsabilités se sont trouvées dispersées entre plusieurs niveaux d’acteurs, souvent sans mécanisme d’arbitrage suffisamment clair. L’analyse des panels montre que cette situation pèse directement sur l’urbanisme, la fiscalité, la voirie, la santé, les déchets, la planification et la capacité de la Ville à exercer un leadership métropolitain.</w:t>
      </w:r>
    </w:p>
    <w:p>
      <w:r>
        <w:t>L’Acte IV annoncé et la perspective des pôles territoriaux ouvrent donc une fenêtre de réforme. Mais cette fenêtre comporte deux risques : reproduire les ambiguïtés précédentes avec de nouveaux mots, ou ajouter une couche institutionnelle de plus sans résoudre les problèmes de compétences, de financement et de responsabilité. Les Journées scientifiques ont justement permis de poser les questions structurantes avant que les choix ne se cristallisent : quel statut pour Dakar ? Quelle articulation avec les communes ? Quelle relation avec l’État ? Quelle place dans le pôle territorial ouest ? Quelle capacité de mobilisation des ressources ?</w:t>
      </w:r>
    </w:p>
    <w:p>
      <w:r>
        <w:t>Le thème général des journées invitait à articuler trois verbes : financer, gouverner et transformer. Financer, parce que la transformation urbaine ne peut être portée seulement par les recettes ordinaires ; gouverner, parce que les ressources sans vision et sans indicateurs ne produisent pas mécaniquement des impacts ; transformer, parce que Dakar doit se projeter comme métropole durable, compétitive, inclusive et résiliente. Ces trois verbes forment le fil directeur du présent rapport.</w:t>
      </w:r>
    </w:p>
    <w:p>
      <w:r>
        <w:t>La méthodologie adoptée repose sur une analyse documentaire interne. Les supports de présentation, l’agenda, le pré-rapport, la synthèse des recommandations, les notes d’intervention, les transcriptions et les documents de soutien nouvellement intégrés ont été analysés et recoupés. Les documents doublons ont été identifiés afin d’éviter les répétitions. Les transcriptions, issues d’un traitement automatique, ont été utilisées principalement pour repérer les échanges, confirmer les intervenants effectifs et enrichir les messages clés lorsqu’elles confirmaient les supports écrits.</w:t>
      </w:r>
    </w:p>
    <w:p>
      <w:r>
        <w:t>Le rapport est organisé en quatre mouvements. Le premier présente le contexte institutionnel et territorial de Dakar. Le deuxième propose un diagnostic transversal des atouts et contraintes mis en débat. Le troisième restitue les six panels sous forme analytique, en distinguant les problématiques, les apports et les messages clés. Le quatrième consolide les recommandations, les traduit en axes stratégiques et propose une feuille de route opérationnelle.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POSITIONNEMENT RÉDACTIONNEL</w:t>
            </w:r>
          </w:p>
          <w:p>
            <w:pPr>
              <w:spacing w:after="40" w:line="252" w:lineRule="auto"/>
            </w:pPr>
            <w:r>
              <w:rPr>
                <w:sz w:val="20"/>
              </w:rPr>
              <w:t>Le rapport privilégie une synthèse institutionnelle et stratégique plutôt qu’une transcription exhaustive. Il adopte un ton neutre, analytique et professionnel afin d’être exploitable par les services municipaux, les décideurs et les partenaires.</w:t>
            </w:r>
          </w:p>
        </w:tc>
      </w:tr>
    </w:tbl>
    <w:p>
      <w:pPr>
        <w:pStyle w:val="Heading1"/>
      </w:pPr>
      <w:r>
        <w:t>Contexte institutionnel et territorial</w:t>
      </w:r>
    </w:p>
    <w:p>
      <w:pPr>
        <w:pStyle w:val="Heading2"/>
      </w:pPr>
      <w:r>
        <w:t>Dakar dans la trajectoire de la décentralisation</w:t>
      </w:r>
    </w:p>
    <w:p>
      <w:r>
        <w:t>La décentralisation sénégalaise s’inscrit dans une histoire longue et progressive. Depuis les premières communes, les réformes successives ont cherché à concilier un État unitaire fort, la nécessité de rapprocher la décision publique des citoyens et l’impératif de développement territorial. La déconcentration et la décentralisation sont présentées comme deux logiques complémentaires : l’une permet à l’État d’agir dans les territoires, l’autre reconnaît aux collectivités une autonomie juridique, budgétaire et politique.</w:t>
      </w:r>
    </w:p>
    <w:p>
      <w:r>
        <w:t>Cette trajectoire n’a jamais été totalement achevée. Chaque réforme a corrigé certains déséquilibres tout en en créant de nouveaux. L’Acte III, en particulier, a donné une existence de plein exercice aux communes d’arrondissement, mais il a aussi affaibli la lisibilité du rôle de la Ville. Le débat sur l’Acte IV ne doit donc pas être compris comme une simple étape administrative ; il doit être abordé comme une occasion de mieux aligner les institutions locales sur les fonctions réelles des territoires.</w:t>
      </w:r>
    </w:p>
    <w:p>
      <w:r>
        <w:t>Dakar est au cœur de cette réflexion parce qu’elle n’est pas une collectivité ordinaire. Elle concentre des fonctions nationales et internationales, accueille des infrastructures stratégiques, porte l’image du Sénégal et polarise une partie importante des activités économiques. Cette vocation nationale justifie une réflexion spécifique sur son statut, ses ressources et ses instruments de gouvernance.</w:t>
      </w:r>
    </w:p>
    <w:p>
      <w:pPr>
        <w:pStyle w:val="Heading2"/>
      </w:pPr>
      <w:r>
        <w:t>Les pôles territoriaux comme opportunité et comme défi</w:t>
      </w:r>
    </w:p>
    <w:p>
      <w:r>
        <w:t>La logique des pôles territoriaux vise à dépasser l’émiettement communal et à organiser l’action publique à des échelles plus fonctionnelles. Elle peut permettre de mutualiser les ressources, de coordonner les infrastructures, de mieux planifier les investissements et de construire des complémentarités entre territoires. Pour Dakar, cette approche peut renforcer le pilotage métropolitain si elle clarifie les rôles au lieu de les superposer.</w:t>
      </w:r>
    </w:p>
    <w:p>
      <w:r>
        <w:t>Les panels ont toutefois souligné que la question essentielle n’est pas seulement la création des pôles, mais leur gouvernance. Qui décide ? Qui finance ? Qui planifie ? Qui exécute ? Qui évalue ? Sans réponses claires, les pôles pourraient devenir une strate supplémentaire dans un paysage déjà complexe. La Ville de Dakar doit donc contribuer activement à la définition des règles du jeu et défendre une articulation cohérente entre État, pôle, Ville et communes.</w:t>
      </w:r>
    </w:p>
    <w:p>
      <w:r>
        <w:t>Dakar est appelée à être le noyau du pôle territorial ouest. Cette position doit être pensée dans une double logique : être locomotive sans écraser les territoires périphériques, et être capitale nationale sans entrer dans une concurrence stérile avec les autres pôles. L’analyse comparative avec les grandes métropoles africaines comme Abidjan, Kigali, Lagos ou Nairobi doit être articulée à une solidarité territoriale avec les communes et les territoires environnants.</w:t>
      </w:r>
    </w:p>
    <w:p>
      <w:pPr/>
      <w:r>
        <w:t>Dans cette perspective, le débat ne doit pas se limiter à savoir si Dakar appartient à un pôle. Il doit déterminer quel type de pôle Dakar doit devenir : un simple territoire de coordination, un pôle urbain métropolitain doté de compétences propres, ou un District spécial de capitale capable d’organiser les fonctions qui dépassent l’échelle communale. La réponse devra respecter la libre administration locale, mais elle devra aussi reconnaître que la capitale concentre des charges nationales, diplomatiques, économiques, événementielles et climatiques qui exigent des ressources différenciées.</w:t>
      </w:r>
      <w:r>
        <w:rPr>
          <w:rStyle w:val="FootnoteReference"/>
        </w:rPr>
        <w:footnoteReference w:id="16"/>
      </w:r>
    </w:p>
    <w:p>
      <w:pPr>
        <w:pStyle w:val="Heading2"/>
      </w:pPr>
      <w:r>
        <w:t>Vision Sénégal 2050 et transformation municipale</w:t>
      </w:r>
    </w:p>
    <w:p>
      <w:r>
        <w:t>La Vision Sénégal 2050 donne un horizon national à la transformation des territoires. Pour Dakar, cet horizon doit être traduit en programmes municipaux concrets : gouvernance orientée résultats, planification spatiale intégrée, mobilisation de ressources propres, transition écologique, inclusion sociale, digitalisation, attractivité économique et renforcement du capital humain. La Ville ne peut pas rester seulement bénéficiaire de politiques nationales ; elle doit être productrice de solutions territoriales.</w:t>
      </w:r>
    </w:p>
    <w:p>
      <w:r>
        <w:t>Les JOJ 2026 constituent à cet égard une opportunité stratégique. Ils placent Dakar au centre de l’attention continentale et internationale. Mais l’événement ne doit pas être réduit à une échéance sportive ; il doit devenir un accélérateur de transformation urbaine, de marketing territorial, de modernisation des services, d’héritage sportif, de rayonnement culturel et de mobilisation citoyenne.</w:t>
      </w:r>
    </w:p>
    <w:p>
      <w:pPr>
        <w:pStyle w:val="Heading1"/>
      </w:pPr>
      <w:r>
        <w:t>Apports des documents de soutien intégrés</w:t>
      </w:r>
    </w:p>
    <w:p>
      <w:r>
        <w:t>Les nouveaux documents ajoutés au corpus renforcent fortement le rapport. Ils ne modifient pas la logique générale issue des panels, mais ils donnent au document une assise institutionnelle plus robuste : cadrage budgétaire 2024, planification municipale, transition climatique, réforme de la décentralisation, gestion axée sur les résultats, normes UEMOA, fiscalité locale, investissement et partenariats public-privé.</w:t>
      </w:r>
      <w:r>
        <w:rPr>
          <w:rStyle w:val="FootnoteReference"/>
        </w:rPr>
        <w:footnoteReference w:id="3"/>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00"/>
        <w:gridCol w:w="3800"/>
        <w:gridCol w:w="3260"/>
      </w:tblGrid>
      <w:tr>
        <w:trPr>
          <w:tblHeader w:val="true"/>
        </w:trPr>
        <w:tc>
          <w:tcPr>
            <w:tcW w:type="dxa" w:w="2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Document de soutien</w:t>
            </w:r>
          </w:p>
        </w:tc>
        <w:tc>
          <w:tcPr>
            <w:tcW w:type="dxa" w:w="3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Apport principal</w:t>
            </w:r>
          </w:p>
        </w:tc>
        <w:tc>
          <w:tcPr>
            <w:tcW w:type="dxa" w:w="32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Conséquence pour le rapport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Budget 2024 de la Ville de Dakar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Budget équilibré à 69.478.506.843 FCFA ; budget réel hors mouvements financiers de 46.855.999.413 FCFA ; 53% du budget réel orienté vers l’investissement.</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 rapport peut désormais distinguer les données issues des présentations et les données budgétaires officielles 2024.</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Détail du budget d’investissement 2024</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Crédits significatifs sur voirie, éclairage public, jardins, équipements sanitaires, toilettes publiques, éducation, jeunesse, culture, sport, études et remboursement d’emprunt.</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recommandations sur le portefeuille de projets peuvent être reliées à des lignes d’investissement concrètes.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Système de planification de la Ville de Dakar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Constat d’un déficit de circulation de l’information, d’une faible articulation entre vision, projets, budgets et suivi, et proposition d’une cellule horizontale de planification.</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La cellule GAR proposée dans le rapport peut être alignée sur l’architecture déjà pensée par la Ville.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Plan Climat Énergie Territorial de Dakar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Vision Dakar 2050, 7 axes, 22 actions, gouvernance climatique, MRV, progiciel de suivi, finance verte et projets bancables.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La transition écologique devient un programme opérationnel avec indicateurs, gouvernance et stratégie de financement.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Plan national d’aménagement et de développement territorial</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Horizon 2035, 20 orientations, 63 objectifs, 214 actions ; reconnaissance du poids spécifique de Dakar dans l’économie et l’armature nationale.</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 statut de Dakar et son rôle de hub international peuvent être justifiés par un cadrage national.</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Rapport d’évaluation de l’Acte III</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Identification des limites de cohérence territoriale, de financement, de fiscalité, de gouvernance participative et de territorialisation des politiques publiques.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propositions Acte IV du rapport sont désormais adossées à des recommandations déjà formulées à l’échelle nationale.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Guide GAR UEMOA et supports GAR</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Passage du budget de moyens au budget de résultats, chaîne de résultats, budget-programme, PAP, RAP, PTA, contrats annuels de performance et indicateurs.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La GAR est traitée comme un standard de gestion publique, pas comme une simple recommandation interne.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Réforme comptable UEMOA</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Modernisation des finances publiques, transparence, comparabilité des données, plan comptable, tableau des opérations financières et comptabilité modernisée.</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 rapport relie performance, budget, reporting et crédibilité financière.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Loi n° 2021-23 sur les PPP</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Cadre unifié des partenariats public-privé, unité nationale d’appui, comité interministériel, fonds d’appui, accords-programmes et offres d’initiative privée.</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PPP sont présentés comme une piste exigeante nécessitant maturation, appui technique et partage équilibré des risques.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Code général des Collectivités locales, codes fiscal et investissement</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Référentiels juridiques permettant d’encadrer statut de la ville, mutualisation, compétences, fiscalité, investissement, recettes et mécanismes financiers.</w:t>
            </w:r>
          </w:p>
        </w:tc>
        <w:tc>
          <w:tcPr>
            <w:tcW w:type="dxa" w:w="3260"/>
            <w:tcMar>
              <w:top w:w="80" w:type="dxa"/>
              <w:start w:w="120" w:type="dxa"/>
              <w:bottom w:w="80" w:type="dxa"/>
              <w:end w:w="120" w:type="dxa"/>
            </w:tcMar>
            <w:vAlign w:val="center"/>
          </w:tcPr>
          <w:p>
            <w:pPr>
              <w:spacing w:after="40" w:line="240" w:lineRule="auto" w:before="0"/>
            </w:pPr>
            <w:r>
              <w:rPr>
                <w:rFonts w:ascii="Calibri" w:hAnsi="Calibri"/>
                <w:color w:val="232323"/>
                <w:sz w:val="20"/>
              </w:rPr>
              <w:t>Les propositions fiscales et financières sont replacées dans un environnement normatif exploitable.</w:t>
            </w:r>
          </w:p>
        </w:tc>
      </w:tr>
    </w:tbl>
    <w:p>
      <w:pPr>
        <w:pStyle w:val="Heading2"/>
      </w:pPr>
      <w:r>
        <w:t>Prise en compte renforcée des présentations et transcriptions</w:t>
      </w:r>
    </w:p>
    <w:p>
      <w:r>
        <w:t>Les présentations et transcriptions ont été davantage mobilisées pour consolider les thèmes abordés, les messages clés, les préoccupations exprimées pendant les échanges et les recommandations opérationnelles. Les présentations ont servi de base structurée ; les transcriptions ont permis de repérer les nuances, les préoccupations récurrentes et les convergences entre panels.</w:t>
      </w:r>
      <w:r>
        <w:rPr>
          <w:rStyle w:val="FootnoteReference"/>
        </w:rPr>
        <w:footnoteReference w:id="4"/>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200"/>
        <w:gridCol w:w="3800"/>
        <w:gridCol w:w="3360"/>
      </w:tblGrid>
      <w:tr>
        <w:trPr>
          <w:tblHeader w:val="true"/>
        </w:trPr>
        <w:tc>
          <w:tcPr>
            <w:tcW w:type="dxa" w:w="2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Source exploitée</w:t>
            </w:r>
          </w:p>
        </w:tc>
        <w:tc>
          <w:tcPr>
            <w:tcW w:type="dxa" w:w="3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Mode d’utilisation dans le rapport</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Effet sur la rédaction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Présentations des panels</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Identification des thèmes, problématiques, données chiffrées, outils proposés et recommandations par panel.</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Structuration de la synthèse analytique des panels et des programmes de transformation.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Transcriptions longues</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Repérage des préoccupations récurrentes, des formulations fortes, des exemples évoqués et des points de débat.</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Enrichissement des messages clés, des risques à maîtriser et des propositions opérationnelles.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Synthèse des vidéos</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Vérification des convergences entre les échanges oraux et les supports écrits.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Consolidation des conclusions transversales et de la feuille de route.</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Notes d’intervention</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Approfondissement de certains volets spécialisés, notamment capital humain, fonction publique locale, formation et gouvernance.</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Renforcement des recommandations thématiques sans personnalisation de la rédaction.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Documents de soutien</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Mise en cohérence des recommandations avec les cadres budgétaires, climatiques, territoriaux, fiscaux et juridiques.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Professionnalisation de l’argumentaire et ajout d’une base bibliographique.</w:t>
            </w:r>
          </w:p>
        </w:tc>
      </w:tr>
    </w:tbl>
    <w:p>
      <w:pPr>
        <w:pStyle w:val="Heading2"/>
      </w:pPr>
      <w:r>
        <w:t>Lecture budgétaire 2024</w:t>
      </w:r>
    </w:p>
    <w:p>
      <w:r>
        <w:t>Le Budget 2024 donne une base chiffrée plus précise que les seules présentations des panels. Il arrête les recettes et dépenses à 69.478.506.843 FCFA, soit une progression de 828.829.527 FCFA par rapport au budget initial 2023 modifié, correspondant à 1,20%. Hors mouvements financiers, le budget réel est évalué à 46.855.999.413 FCFA. La part d’investissement représente 53% de ce budget réel, ce qui confirme que Dakar dispose d’une capacité d’action, mais qu’elle doit mieux relier cette capacité à des programmes, résultats et indicateurs.</w:t>
      </w:r>
      <w:r>
        <w:rPr>
          <w:rStyle w:val="FootnoteReference"/>
        </w:rPr>
        <w:footnoteReference w:id="5"/>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3300"/>
        <w:gridCol w:w="396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Rubrique 2024</w:t>
            </w:r>
          </w:p>
        </w:tc>
        <w:tc>
          <w:tcPr>
            <w:tcW w:type="dxa" w:w="3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Donnée clé</w:t>
            </w:r>
          </w:p>
        </w:tc>
        <w:tc>
          <w:tcPr>
            <w:tcW w:type="dxa" w:w="39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Lecture pour le rapport</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Recettes de fonctionnement</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44.915.999.413 FCFA</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 fonctionnement reste le socle de la capacité financière municipale, mais doit être mieux documenté en objectifs de performance.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Recettes d’investissement</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24.562.507.430 FCFA</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L’investissement doit être organisé en portefeuille de projets priorisés, maturés et suivis.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Impôts locaux</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34.800.000.000 FCFA, soit 77,48% des recettes propres de fonctionnement</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 fiscalité locale est le principal levier d’autonomie financière ; son assiette doit être élargie et fiabilisée.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Impôt foncier bâti</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7.000.000.000 FCFA prévus ; le rapport budgétaire signale un potentiel d’au moins 10 milliards FCFA à consolider avec la DGID.</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 recensement des redevables et le cadastre fiscal deviennent des priorités immédiates.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Contribution économique locale</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27.600.000.000 FCFA pour la valeur locative et 200.000.000 FCFA pour la valeur ajoutée</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 CEL confirme le poids économique de Dakar et l’importance d’un dialogue fiscal local plus structuré.</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Produits d’exploitation</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5.028.325.471 FCFA, dont 5.000.000.000 FCFA de taxe d’enlèvement des ordures ménagères</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Les services urbains peuvent devenir des champs de performance, de redevabilité et d’amélioration du service rendu.</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Produits domaniaux</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1.880.000.000 FCFA, dont 1.780.000.000 FCFA de locations de propriétés communales</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Le patrimoine municipal doit être mieux inventorié, valorisé et piloté.</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Dépenses de personnel</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6.987.127.995 FCFA, soit 14% des recettes ordinaires et 30% des dépenses réelles de fonctionnement</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 modernisation RH doit être présentée comme un investissement de performance, pas seulement comme une charge.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Emprunt BOAD</w:t>
            </w:r>
          </w:p>
        </w:tc>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Reliquat de prêt de 1.940.000.000 FCFA en recettes d’investissement</w:t>
            </w:r>
          </w:p>
        </w:tc>
        <w:tc>
          <w:tcPr>
            <w:tcW w:type="dxa" w:w="3960"/>
            <w:tcMar>
              <w:top w:w="80" w:type="dxa"/>
              <w:start w:w="120" w:type="dxa"/>
              <w:bottom w:w="80" w:type="dxa"/>
              <w:end w:w="120" w:type="dxa"/>
            </w:tcMar>
            <w:vAlign w:val="center"/>
          </w:tcPr>
          <w:p>
            <w:pPr>
              <w:spacing w:after="40" w:line="240" w:lineRule="auto" w:before="0"/>
            </w:pPr>
            <w:r>
              <w:rPr>
                <w:rFonts w:ascii="Calibri" w:hAnsi="Calibri"/>
                <w:color w:val="232323"/>
                <w:sz w:val="20"/>
              </w:rPr>
              <w:t>L’accès à l’emprunt doit être encadré par la maturité des projets, la soutenabilité et la transparence.</w:t>
            </w:r>
          </w:p>
        </w:tc>
      </w:tr>
    </w:tbl>
    <w:p>
      <w:pPr>
        <w:pStyle w:val="Heading2"/>
      </w:pPr>
      <w:r>
        <w:t>Lecture institutionnelle : Acte III, Acte IV et PNADT</w:t>
      </w:r>
    </w:p>
    <w:p>
      <w:r>
        <w:t>Le Plan national d’aménagement et de développement territorial confirme que Dakar occupe une place exceptionnelle dans l’armature nationale. Le document rappelle que la région concentrait 23,2% de la population nationale en 2013, 80% de l’activité industrielle et plus de 29% de la population active. Il note également que la surface urbanisée de l’agglomération est passée de 14.940 hectares à 18.300 hectares entre 2000 et 2010, soit une progression de 22,5%.</w:t>
      </w:r>
    </w:p>
    <w:p>
      <w:r>
        <w:t>Le Rapport d’évaluation de l’Acte III rejoint les constats des panels : insuffisance de cohérence territoriale, faible disponibilité de données économiques désagrégées, inadéquation entre compétences et ressources, limites de la gouvernance territoriale et difficultés de financement. Il recommande notamment de corriger les incohérences territoriales, d’améliorer les organigrammes et la fonction publique locale, de rendre la gouvernance participative obligatoire et de renforcer les mécanismes de financement des collectivités territoriales.</w:t>
      </w:r>
    </w:p>
    <w:p>
      <w:r>
        <w:t>Plusieurs recommandations de ce rapport national sont directement mobilisables pour Dakar : recensement exhaustif des contribuables et assujettis au moyen d’outils modernes de collecte ; rationalisation de la fiscalité locale ; évaluation du coût des compétences transférées ; accès encadré des grandes collectivités à l’emprunt ; adaptation des PPP à la décentralisation ; territorialisation contractuelle des politiques publiques.</w:t>
      </w:r>
    </w:p>
    <w:p>
      <w:pPr>
        <w:pStyle w:val="Heading2"/>
      </w:pPr>
      <w:r>
        <w:t>Lecture juridique : Code général des Collectivités locales</w:t>
      </w:r>
    </w:p>
    <w:p>
      <w:r>
        <w:t>La Loi n° 2013-10 du 28 décembre 2013 portant Code général des Collectivités locales constitue une référence juridique centrale pour analyser le statut de Dakar. Son exposé des motifs rappelle que l’Acte III vise des territoires viables, compétitifs et porteurs de développement durable, avec quatre objectifs : cohérence territoriale, clarification des compétences entre l’État et les collectivités locales, développement de la contractualisation et modernisation de la gestion publique territoriale, incluant les finances locales et la qualité des ressources humaines.</w:t>
      </w:r>
      <w:r>
        <w:rPr>
          <w:rStyle w:val="FootnoteReference"/>
        </w:rPr>
        <w:footnoteReference w:id="6"/>
      </w:r>
      <w:r>
        <w:rPr>
          <w:rStyle w:val="FootnoteReference"/>
        </w:rPr>
        <w:footnoteReference w:id="7"/>
      </w:r>
    </w:p>
    <w:p>
      <w:r>
        <w:t>Le Code précise aussi la fonction de la ville : une ville peut être instituée pour mutualiser les compétences de plusieurs communes ; elle a le statut de commune ; ses compétences, ses ressources financières et ses rapports avec les communes qui la constituent sont déterminés par les textes applicables. Cette base juridique éclaire directement les débats sur Dakar, les chevauchements de compétences, la coordination avec les communes et la nécessité d’un cadre métropolitain mieux outillé.</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200"/>
        <w:gridCol w:w="3400"/>
        <w:gridCol w:w="3760"/>
      </w:tblGrid>
      <w:tr>
        <w:trPr>
          <w:tblHeader w:val="true"/>
        </w:trPr>
        <w:tc>
          <w:tcPr>
            <w:tcW w:type="dxa" w:w="2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Point juridique</w:t>
            </w:r>
          </w:p>
        </w:tc>
        <w:tc>
          <w:tcPr>
            <w:tcW w:type="dxa" w:w="3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Apport du Code</w:t>
            </w:r>
          </w:p>
        </w:tc>
        <w:tc>
          <w:tcPr>
            <w:tcW w:type="dxa" w:w="37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Implication pour Dakar</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Libre administration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inscrit la libre administration des collectivités locales et le principe de solidarité territoriale.</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Le plaidoyer sur l’Acte IV doit articuler autonomie locale, solidarité et responsabilité.</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Création de la ville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La ville peut être instituée pour mutualiser les compétences de plusieurs communes et dispose du statut de commune.</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Dakar doit clarifier ce qui relève de la mutualisation métropolitaine et ce qui relève de la proximité communale.</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Compétences de la ville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évoque les projets de la ville, leur financement, le plan de développement de la ville et les compétences transférées.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La stratégie Dakar 2035-2050 doit être reliée à un portefeuille de projets et à un plan de développement actualisé.</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Finances de la ville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budget de la ville retrace les recettes et dépenses ; les recettes incluent notamment fiscalité, revenus du patrimoine, produits des services, contributions et fonds d’emprunt.</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Le rapport doit relier budget, recettes propres, patrimoine, services urbains et recours encadré à l’emprunt.</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Relations ville-communes</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prévoit l’association des communes dans certaines conditions de réalisation et d’investissement.</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La conférence permanente Ville-communes et les conventions de coopération doivent devenir des instruments opérationnels.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Emprunts et coopération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mentionne les emprunts, garanties d’emprunts, conventions financières et coopération.</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Les financements innovants doivent être sécurisés par la soutenabilité, la transparence et des projets bancables.</w:t>
            </w:r>
          </w:p>
        </w:tc>
      </w:tr>
    </w:tbl>
    <w:p>
      <w:pPr>
        <w:pStyle w:val="Heading2"/>
      </w:pPr>
      <w:r>
        <w:t>Lecture climat et finance verte</w:t>
      </w:r>
    </w:p>
    <w:p>
      <w:r>
        <w:t>Le PCET fixe une vision claire : faire de Dakar, à l’horizon 2050, une ville intelligente et sobre en carbone pour un développement inclusif et résilient. Ses 7 axes et 22 actions couvrent la gestion des risques, l’aménagement sensible au climat, le cadre de vie, l’énergie, la mobilité bas carbone, l’économie circulaire, la gouvernance climatique et l’accès à la finance verte. Cette base documentaire justifie de faire de la transition écologique un programme transversal de la Ville, relié à la planification, au budget, aux indicateurs et au financement.</w:t>
      </w:r>
      <w:r>
        <w:rPr>
          <w:rStyle w:val="FootnoteReference"/>
        </w:rPr>
        <w:footnoteReference w:id="8"/>
      </w:r>
    </w:p>
    <w:p>
      <w:pPr>
        <w:pStyle w:val="ListBullet"/>
      </w:pPr>
      <w:r>
        <w:t>Le PCET prévoit une gouvernance comprenant un comité de pilotage, un comité technique et des unités spécialisées, notamment pour les bases de données climatiques, la mise en œuvre des actions et la finance verte.</w:t>
      </w:r>
    </w:p>
    <w:p>
      <w:pPr>
        <w:pStyle w:val="ListBullet"/>
      </w:pPr>
      <w:r>
        <w:t>Le dispositif de suivi repose sur une logique MRV : mesure, rapportage et vérification des émissions, des actions d’atténuation, de l’adaptation et des soutiens reçus.</w:t>
      </w:r>
    </w:p>
    <w:p>
      <w:pPr>
        <w:pStyle w:val="ListBullet"/>
      </w:pPr>
      <w:r>
        <w:t>La stratégie de financement insiste sur la préparation de projets bancables, la diversification des bailleurs, la mobilisation de fonds climat et la capacité municipale à documenter les résultats.</w:t>
      </w:r>
    </w:p>
    <w:p>
      <w:pPr>
        <w:pStyle w:val="ListBullet"/>
      </w:pPr>
      <w:r>
        <w:t>Le progiciel de suivi évoqué dans le PCET rejoint les recommandations du rapport sur la data room municipale, les tableaux de bord et la gouvernance des données.</w:t>
      </w:r>
    </w:p>
    <w:p>
      <w:pPr>
        <w:pStyle w:val="Heading2"/>
      </w:pPr>
      <w:r>
        <w:t>Lecture GAR, comptabilité et planification municipale</w:t>
      </w:r>
    </w:p>
    <w:p>
      <w:r>
        <w:t>Les guides GAR et les supports UEMOA permettent de donner une portée normative à une idée centrale des panels : Dakar doit passer d’un pilotage par moyens à un pilotage par résultats. Cette approche suppose une chaîne claire entre ressources, activités, extrants, effets et impacts ; elle exige aussi des indicateurs limités, fiables, suivis dans le temps et reliés aux décisions budgétaires.</w:t>
      </w:r>
      <w:r>
        <w:rPr>
          <w:rStyle w:val="FootnoteReference"/>
        </w:rPr>
        <w:footnoteReference w:id="9"/>
      </w:r>
    </w:p>
    <w:p>
      <w:r>
        <w:t>Les outils recommandés par la GAR – budget-programme, document de programmation pluriannuelle des dépenses, projet annuel de performance, rapport annuel de performance, plan de travail annuel, contrat annuel de performance et lettres de mission – peuvent inspirer une architecture municipale adaptée, progressive et réaliste.</w:t>
      </w:r>
    </w:p>
    <w:p>
      <w:r>
        <w:t>La présentation sur le système de planification de la Ville montre que la municipalité a déjà identifié plusieurs fragilités : déficit d’information entre directions, absence de méthodologie globale, inexistence d’un tableau de bord global des activités, faiblesse du suivi après les documents de planification et cloisonnement des services. La cellule de planification proposée doit donc être horizontale, agile, interdirectionnelle, orientée projets et reliée aux arbitrages de décision.</w:t>
      </w:r>
    </w:p>
    <w:p>
      <w:r>
        <w:t>La réforme comptable UEMOA complète cette lecture : transparence, comparabilité des données, rigueur budgétaire et qualité du reporting sont des conditions de crédibilité pour accéder à l’emprunt, négocier des PPP ou mobiliser des financements verts.</w:t>
      </w:r>
    </w:p>
    <w:p>
      <w:pPr>
        <w:pStyle w:val="Heading1"/>
      </w:pPr>
      <w:r>
        <w:t>Recommandation structurante : Plan stratégique Dakar 2035-2050</w:t>
      </w:r>
    </w:p>
    <w:p>
      <w:r>
        <w:t>La cohérence globale du rapport suppose une recommandation faîtière : doter la Ville de Dakar d’un Plan stratégique 2035-2050, conçu comme un agenda municipal de transformation. Ce plan ne doit pas être un document de plus ; il doit devenir le référentiel qui aligne la vision, les compétences, les ressources, les projets, les données, les finances, le PCET, le PNADT, l’Acte IV, le Code général des Collectivités locales et le budget-programme.</w:t>
      </w:r>
      <w:r>
        <w:rPr>
          <w:rStyle w:val="FootnoteReference"/>
        </w:rPr>
        <w:footnoteReference w:id="10"/>
      </w:r>
    </w:p>
    <w:p>
      <w:r>
        <w:t>Le Plan stratégique doit clarifier la trajectoire de Dakar comme capitale, ville-centre, métropole africaine, pôle territorial, ville résiliente et ville attractive. Il doit aussi traduire les documents de référence en priorités municipales : le PNADT pour le rôle territorial de Dakar, le PCET pour la transition écologique, l’Acte IV pour les compétences et la gouvernance, le Code des CL pour la ville et la mutualisation, le Budget 2024 pour la capacité financière, et la GAR pour le suivi des résultats.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00"/>
        <w:gridCol w:w="3000"/>
        <w:gridCol w:w="4060"/>
      </w:tblGrid>
      <w:tr>
        <w:trPr>
          <w:tblHeader w:val="true"/>
        </w:trPr>
        <w:tc>
          <w:tcPr>
            <w:tcW w:type="dxa" w:w="2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Pilier du Plan stratégique</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Document à intégrer</w:t>
            </w:r>
          </w:p>
        </w:tc>
        <w:tc>
          <w:tcPr>
            <w:tcW w:type="dxa" w:w="40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 attendu</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Vision métropolitaine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Acte IV, Code des CL, PNADT</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Position de Dakar sur son statut, ses compétences et ses fonctions métropolitaines.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Programmation territoriale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PNADT, système de planification municipal</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Carte des priorités spatiales, projets structurants et fonctions d’échelle.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PCET</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 verts, dispositif MRV, finance climat et indicateurs de résilience.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Performance publique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GAR, UEMOA, réforme comptable</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Budget-programme, tableau de bord, responsables de programme et rapport de performance.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Réformes fiscales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Budget 2024, CGI, Code des CL, protocole DGID</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e-taxe, partage de données, fiscalité foncière et recettes urbaines modernes.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et histoire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Supports panel 6, transcriptions, benchmark</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Récit historique de Dakar, circuits culturels, Dakar Brand et observatoire d’attractivité.</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Supports RH et fonction publique locale</w:t>
            </w:r>
          </w:p>
        </w:tc>
        <w:tc>
          <w:tcPr>
            <w:tcW w:type="dxa" w:w="4060"/>
            <w:tcMar>
              <w:top w:w="80" w:type="dxa"/>
              <w:start w:w="120" w:type="dxa"/>
              <w:bottom w:w="80" w:type="dxa"/>
              <w:end w:w="120" w:type="dxa"/>
            </w:tcMar>
            <w:vAlign w:val="center"/>
          </w:tcPr>
          <w:p>
            <w:pPr>
              <w:spacing w:after="40" w:line="240" w:lineRule="auto" w:before="0"/>
            </w:pPr>
            <w:r>
              <w:rPr>
                <w:rFonts w:ascii="Calibri" w:hAnsi="Calibri"/>
                <w:color w:val="232323"/>
                <w:sz w:val="20"/>
              </w:rPr>
              <w:t>Audit RH, GPEC, plan de formation et compétences pour conduire les projets.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ARBITRAGE RECOMMANDÉ</w:t>
            </w:r>
          </w:p>
          <w:p>
            <w:pPr>
              <w:spacing w:after="40" w:line="252" w:lineRule="auto"/>
            </w:pPr>
            <w:r>
              <w:rPr>
                <w:sz w:val="20"/>
              </w:rPr>
              <w:t>Lancer le Plan stratégique Dakar 2035-2050 dans les six prochains mois, avec une note de cadrage courte, une équipe de rédaction, un calendrier de concertation et une validation politique. Ce plan doit devenir le document d’alignement de tous les programmes.</w:t>
            </w:r>
          </w:p>
        </w:tc>
      </w:tr>
    </w:tbl>
    <w:p>
      <w:pPr>
        <w:pStyle w:val="Heading1"/>
      </w:pPr>
      <w:r>
        <w:t>Diagnostic transversal de Dakar</w:t>
      </w:r>
    </w:p>
    <w:p>
      <w:pPr>
        <w:pStyle w:val="Heading2"/>
      </w:pPr>
      <w:r>
        <w:t>Les atouts</w:t>
      </w:r>
    </w:p>
    <w:p>
      <w:pPr>
        <w:pStyle w:val="ListBullet"/>
      </w:pPr>
      <w:r>
        <w:t>Une position géographique stratégique, ouverte sur l’Atlantique et historiquement tournée vers les échanges internationaux.</w:t>
      </w:r>
    </w:p>
    <w:p>
      <w:pPr>
        <w:pStyle w:val="ListBullet"/>
      </w:pPr>
      <w:r>
        <w:t>Une concentration des fonctions politiques, administratives, économiques, financières, culturelles, diplomatiques et universitaires.</w:t>
      </w:r>
    </w:p>
    <w:p>
      <w:pPr>
        <w:pStyle w:val="ListBullet"/>
      </w:pPr>
      <w:r>
        <w:t>Une expérience municipale importante, portée par des compétences administratives et techniques disposant d’une mémoire institutionnelle solide.</w:t>
      </w:r>
    </w:p>
    <w:p>
      <w:pPr>
        <w:pStyle w:val="ListBullet"/>
      </w:pPr>
      <w:r>
        <w:t>Des réseaux internationaux actifs, notamment dans les champs de la coopération décentralisée, du climat, de la francophonie et de la gouvernance urbaine.</w:t>
      </w:r>
    </w:p>
    <w:p>
      <w:pPr>
        <w:pStyle w:val="ListBullet"/>
      </w:pPr>
      <w:r>
        <w:t>Un patrimoine culturel, historique, sportif et mémoriel pouvant servir de base à une marque territoriale forte.</w:t>
      </w:r>
    </w:p>
    <w:p>
      <w:pPr>
        <w:pStyle w:val="ListBullet"/>
      </w:pPr>
      <w:r>
        <w:t>Un budget municipal significatif en valeur nominale et un potentiel fiscal encore sous-exploité.</w:t>
      </w:r>
    </w:p>
    <w:p>
      <w:pPr>
        <w:pStyle w:val="Heading2"/>
      </w:pPr>
      <w:r>
        <w:t>Les contraintes</w:t>
      </w:r>
    </w:p>
    <w:p>
      <w:pPr>
        <w:pStyle w:val="ListBullet"/>
      </w:pPr>
      <w:r>
        <w:t>Un statut institutionnel jugé imprécis, avec des contradictions et des chevauchements entre Ville, communes, État et agences.</w:t>
      </w:r>
    </w:p>
    <w:p>
      <w:pPr>
        <w:pStyle w:val="ListBullet"/>
      </w:pPr>
      <w:r>
        <w:t>Une fragmentation territoriale qui complique la planification, l’urbanisme, les services urbains et la mobilisation des ressources.</w:t>
      </w:r>
    </w:p>
    <w:p>
      <w:pPr>
        <w:pStyle w:val="ListBullet"/>
      </w:pPr>
      <w:r>
        <w:t>Une culture de pilotage par résultats encore insuffisamment institutionnalisée.</w:t>
      </w:r>
    </w:p>
    <w:p>
      <w:pPr>
        <w:pStyle w:val="ListBullet"/>
      </w:pPr>
      <w:r>
        <w:t>Une faible lisibilité des projets, programmes, indicateurs et impacts pour les citoyens et les partenaires.</w:t>
      </w:r>
    </w:p>
    <w:p>
      <w:pPr>
        <w:pStyle w:val="ListBullet"/>
      </w:pPr>
      <w:r>
        <w:t>Une dépendance persistante aux recettes fiscales classiques et à l’autofinancement, avec une faible mobilisation de financements externes structurants.</w:t>
      </w:r>
    </w:p>
    <w:p>
      <w:pPr>
        <w:pStyle w:val="ListBullet"/>
      </w:pPr>
      <w:r>
        <w:t>Des besoins urbains croissants liés à la densité, à la mobilité, aux déchets, à l’assainissement, au logement, au climat et à l’emploi.</w:t>
      </w:r>
    </w:p>
    <w:p>
      <w:pPr>
        <w:pStyle w:val="Heading2"/>
      </w:pPr>
      <w:r>
        <w:t>Les enjeux transversaux</w:t>
      </w:r>
    </w:p>
    <w:p>
      <w:r>
        <w:t>Le diagnostic général montre que Dakar ne manque pas d’atouts ; elle manque surtout d’un alignement complet entre son ambition métropolitaine, son statut, ses ressources, ses outils de pilotage et sa capacité opérationnelle. Le défi central est donc un défi d’intégration. Il s’agit de relier les réformes institutionnelles à la programmation budgétaire, les ressources fiscales aux investissements, le capital humain aux résultats, et le rayonnement international à l’amélioration réelle du cadre de vie.</w:t>
      </w:r>
    </w:p>
    <w:p>
      <w:r>
        <w:t>Cette intégration suppose de sortir de la gestion par silos. Le corpus met en évidence le cloisonnement entre directions et services, l’absence de tableau de bord global, la difficulté à connaître précisément le nombre de projets structurants en cours et la faible articulation entre planification, budget et évaluation. La Ville dispose de compétences internes importantes, mais elles doivent être organisées autour de programmes transversaux, dotés de responsables, d’indicateurs et de mécanismes de suivi.</w:t>
      </w:r>
    </w:p>
    <w:p>
      <w:r>
        <w:t>Le diagnostic montre également que la confiance est un enjeu central : confiance entre l’État et les collectivités, confiance entre la Ville et les communes, confiance entre l’administration et les citoyens, confiance entre la Ville et le secteur privé, confiance des agents dans leur institution. Cette confiance ne se décrète pas ; elle se construit par la transparence, la régularité du dialogue, la qualité des données, la clarté des responsabilités et la capacité à transformer les recommandations en actions visibles.</w:t>
      </w:r>
    </w:p>
    <w:p>
      <w:pPr>
        <w:pStyle w:val="Heading1"/>
      </w:pPr>
      <w:r>
        <w:t>Synthèse analytique des panels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900"/>
        <w:gridCol w:w="3750"/>
        <w:gridCol w:w="4710"/>
      </w:tblGrid>
      <w:tr>
        <w:trPr>
          <w:tblHeader w:val="true"/>
        </w:trPr>
        <w:tc>
          <w:tcPr>
            <w:tcW w:type="dxa" w:w="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Panel</w:t>
            </w:r>
          </w:p>
        </w:tc>
        <w:tc>
          <w:tcPr>
            <w:tcW w:type="dxa" w:w="37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Thème</w:t>
            </w:r>
          </w:p>
        </w:tc>
        <w:tc>
          <w:tcPr>
            <w:tcW w:type="dxa" w:w="47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Composition signalée dans les supports</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1</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Pôles territoriaux, Acte IV, statut et repositionnement</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Léopold Wade ; Abdou Birahim Diop / Daouda Thiandoum</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2</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Gouvernance municipale et GAR</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Khadim Ndiaye ; Mame Aissatou Mbaye Sy ; Mamadou Diouf / Serigne Mansour Tall</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3</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Mobilisation des ressources locales</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Aïssatou Gueye ; Mamadou Diop / Mounirou Ndiaye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4</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PPP, finance climat et financements innovants</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Amadou Bassirou Ba ; Al Hassan Diop ; Khadi Dia Sarr annoncée / Birame Owens Ndiaye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5</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 municipal</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Alioune Kébé ; Dieynaba Guirassy ; Mouhamed Diop / Abdoulaye Cissé</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6</w:t>
            </w:r>
          </w:p>
        </w:tc>
        <w:tc>
          <w:tcPr>
            <w:tcW w:type="dxa" w:w="3750"/>
            <w:tcMar>
              <w:top w:w="80" w:type="dxa"/>
              <w:start w:w="120" w:type="dxa"/>
              <w:bottom w:w="80" w:type="dxa"/>
              <w:end w:w="120" w:type="dxa"/>
            </w:tcMar>
            <w:vAlign w:val="center"/>
          </w:tcPr>
          <w:p>
            <w:pPr>
              <w:spacing w:after="40" w:line="240" w:lineRule="auto" w:before="0"/>
            </w:pPr>
            <w:r>
              <w:rPr>
                <w:rFonts w:ascii="Calibri" w:hAnsi="Calibri"/>
                <w:color w:val="232323"/>
                <w:sz w:val="20"/>
              </w:rPr>
              <w:t>Rayonnement international et attractivité</w:t>
            </w:r>
          </w:p>
        </w:tc>
        <w:tc>
          <w:tcPr>
            <w:tcW w:type="dxa" w:w="4710"/>
            <w:tcMar>
              <w:top w:w="80" w:type="dxa"/>
              <w:start w:w="120" w:type="dxa"/>
              <w:bottom w:w="80" w:type="dxa"/>
              <w:end w:w="120" w:type="dxa"/>
            </w:tcMar>
            <w:vAlign w:val="center"/>
          </w:tcPr>
          <w:p>
            <w:pPr>
              <w:spacing w:after="40" w:line="240" w:lineRule="auto" w:before="0"/>
            </w:pPr>
            <w:r>
              <w:rPr>
                <w:rFonts w:ascii="Calibri" w:hAnsi="Calibri"/>
                <w:color w:val="232323"/>
                <w:sz w:val="20"/>
              </w:rPr>
              <w:t>Rokhaya Sy Gaye ; Papa Ngor Thiao annoncé ; Amadou Sène Niang / Maye Seck</w:t>
            </w:r>
          </w:p>
        </w:tc>
      </w:tr>
    </w:tbl>
    <w:p>
      <w:pPr>
        <w:pStyle w:val="Heading2"/>
      </w:pPr>
      <w:r>
        <w:t>Panel 1 – La Ville de Dakar à l’épreuve des réformes des pôles territoriaux et de l’Acte IV</w:t>
      </w:r>
    </w:p>
    <w:p>
      <w:r>
        <w:t>La composition du panel est rappelée dans le tableau de synthèse ci-dessus. L’analyse ci-après est présentée par thèmes afin de maintenir un traitement institutionnel et non personnalisé.</w:t>
      </w:r>
    </w:p>
    <w:p>
      <w:pPr>
        <w:pStyle w:val="Heading3"/>
      </w:pPr>
      <w:r>
        <w:t>Problématique</w:t>
      </w:r>
    </w:p>
    <w:p>
      <w:r>
        <w:t>Le premier panel a posé la question du repositionnement stratégique de Dakar dans la réforme territoriale en cours. Il a interrogé la notion de ville au Sénégal, le statut juridique de Dakar, la relation avec les communes, la place de la capitale dans le futur pôle territorial ouest et les conditions d’un leadership métropolitain efficace.</w:t>
      </w:r>
    </w:p>
    <w:p>
      <w:pPr>
        <w:pStyle w:val="Heading3"/>
      </w:pPr>
      <w:r>
        <w:t>Analyse</w:t>
      </w:r>
    </w:p>
    <w:p>
      <w:r>
        <w:t>L’une des idées fortes du panel est que le statut actuel de la Ville comporte des ambiguïtés. La ville est décrite à la fois comme structure de coopération intercommunale et comme commune, tandis que certaines compétences se recoupent avec celles des communes. Cette situation crée des incertitudes pratiques, notamment en matière de lotissement, d’urbanisme, de voirie, de santé, de fiscalité et de services urbains.</w:t>
      </w:r>
    </w:p>
    <w:p>
      <w:r>
        <w:t>L’analyse historique de la décentralisation montre que chaque réforme répond à des insuffisances du modèle précédent, mais peut également produire de nouveaux déséquilibres lorsque les concepts ne sont pas stabilisés. L’inversion opérée par l’Acte III, qui fait de la Ville une résultante des communes plutôt qu’un centre de commandement métropolitain, est identifiée comme une source de fragilité.</w:t>
      </w:r>
    </w:p>
    <w:p>
      <w:r>
        <w:t>La lecture opérationnelle du panel souligne les pertes de compétences subies par la Ville, notamment en urbanisme, les difficultés de coordination avec les communes et les incohérences entre échelles de planification et échelles de décision. L’exemple de la voirie, des permis de construire ou des services concessionnaires montre que la fragmentation territoriale peut réduire l’efficacité de l’action publique.</w:t>
      </w:r>
    </w:p>
    <w:p>
      <w:r>
        <w:t>Le panel a également ouvert un débat comparatif. Plusieurs modèles de gestion des capitales africaines ont été évoqués : district autonome, ville-collectivité, gestion technique professionnalisée. Cette comparaison invite Dakar à choisir un modèle adapté à sa vocation de capitale, sans copier mécaniquement d’autres expériences. La question n’est pas seulement institutionnelle ; elle touche la démocratie locale, la performance administrative et la sécurité des investissements.</w:t>
      </w:r>
    </w:p>
    <w:p>
      <w:r>
        <w:t>Le panel conclut que Dakar doit être repositionnée comme pivot du pôle métropolitain intégré et moteur de la Vision Sénégal 2050. Ce repositionnement suppose de clarifier les compétences, de formaliser les relations Ville-communes, de consolider le rôle de coordination de la Ville, d’améliorer l’ingénierie territoriale et d’inscrire les investissements dans une programmation pluriannuelle robuste.</w:t>
      </w:r>
      <w:r>
        <w:rPr>
          <w:rStyle w:val="FootnoteReference"/>
        </w:rPr>
        <w:footnoteReference w:id="17"/>
      </w:r>
    </w:p>
    <w:tbl>
      <w:tblPr>
        <w:tblW w:type="auto" w:w="0"/>
        <w:tblLayout w:type="fixed"/>
        <w:tblLook w:firstColumn="1" w:firstRow="1" w:lastColumn="0" w:lastRow="0" w:noHBand="0" w:noVBand="1" w:val="04A0"/>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216"/>
            <w:tcMar>
              <w:top w:w="120" w:type="dxa"/>
              <w:start w:w="120" w:type="dxa"/>
              <w:bottom w:w="120" w:type="dxa"/>
              <w:end w:w="120" w:type="dxa"/>
            </w:tcMar>
            <w:shd w:fill="F2F6FA" w:val="clear" w:color="auto"/>
          </w:tcPr>
          <w:p>
            <w:pPr>
              <w:spacing w:after="40" w:line="252" w:lineRule="auto"/>
            </w:pPr>
            <w:r>
              <w:rPr>
                <w:b/>
                <w:color w:val="1F4E79"/>
                <w:sz w:val="20"/>
              </w:rPr>
            </w:r>
            <w:r>
              <w:rPr>
                <w:b/>
                <w:color w:val="1F4E79"/>
                <w:sz w:val="20"/>
              </w:rPr>
              <w:t>PAROLE DES DISCUSSIONS</w:t>
            </w:r>
          </w:p>
          <w:p>
            <w:pPr>
              <w:spacing w:after="40" w:line="252" w:lineRule="auto"/>
            </w:pPr>
            <w:r>
              <w:rPr>
                <w:i/>
                <w:sz w:val="20"/>
              </w:rPr>
              <w:t>« Les pôles viennent pour compléter. On n’aimerait pas qu’ils deviennent une superposition de structures. L’avenir de nos communes, c’est l’intercommunalité. »</w:t>
            </w:r>
          </w:p>
          <w:p>
            <w:pPr>
              <w:spacing w:after="40" w:line="252" w:lineRule="auto"/>
              <w:jc w:val="right"/>
            </w:pPr>
            <w:r>
              <w:rPr>
                <w:i/>
                <w:sz w:val="20"/>
              </w:rPr>
              <w:t>Extrait des échanges, transcription nettoyée.</w:t>
            </w:r>
          </w:p>
        </w:tc>
      </w:tr>
    </w:tbl>
    <w:p>
      <w:pPr>
        <w:pStyle w:val="Heading3"/>
      </w:pPr>
      <w:r>
        <w:t>Messages clés</w:t>
      </w:r>
    </w:p>
    <w:p>
      <w:pPr>
        <w:pStyle w:val="ListBullet"/>
      </w:pPr>
      <w:r>
        <w:t>Le statut juridique de Dakar doit être clarifié pour correspondre à sa vocation de capitale et de métropole.</w:t>
      </w:r>
    </w:p>
    <w:p>
      <w:pPr>
        <w:pStyle w:val="ListBullet"/>
      </w:pPr>
      <w:r>
        <w:t>L’Acte IV doit corriger les chevauchements de compétences et éviter la création d’une nouvelle strate institutionnelle floue.</w:t>
      </w:r>
    </w:p>
    <w:p>
      <w:pPr>
        <w:pStyle w:val="ListBullet"/>
      </w:pPr>
      <w:r>
        <w:t>Dakar doit être locomotive du pôle territorial ouest, sans entrer en concurrence avec les communes qui la composent.</w:t>
      </w:r>
    </w:p>
    <w:p>
      <w:pPr>
        <w:pStyle w:val="ListBullet"/>
      </w:pPr>
      <w:r>
        <w:t>Le leadership métropolitain doit être institutionnalisé, outillé et adossé à des données territoriales fiables.</w:t>
      </w:r>
    </w:p>
    <w:p>
      <w:pPr>
        <w:pStyle w:val="Heading3"/>
      </w:pPr>
      <w:r>
        <w:t>Recommandations issues du panel</w:t>
      </w:r>
    </w:p>
    <w:p>
      <w:pPr>
        <w:pStyle w:val="ListBullet"/>
      </w:pPr>
      <w:r>
        <w:t>Engager un plaidoyer pour un statut particulier ou spécial de Dakar.</w:t>
      </w:r>
    </w:p>
    <w:p>
      <w:pPr>
        <w:pStyle w:val="ListBullet"/>
      </w:pPr>
      <w:r>
        <w:t>Clarifier les blocs de compétences entre État, Ville, communes et pôles.</w:t>
      </w:r>
    </w:p>
    <w:p>
      <w:pPr>
        <w:pStyle w:val="ListBullet"/>
      </w:pPr>
      <w:r>
        <w:t>Créer des mécanismes formels d’arbitrage et de coordination métropolitaine.</w:t>
      </w:r>
    </w:p>
    <w:p>
      <w:pPr>
        <w:pStyle w:val="ListBullet"/>
      </w:pPr>
      <w:r>
        <w:t>Mettre en place des outils de planification intégrée : SIG, schémas directeurs, programmation pluriannuelle.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r>
        <w:t>Panel 2 – Réforme de la gouvernance municipale et gestion axée sur les résultats</w:t>
      </w:r>
    </w:p>
    <w:p>
      <w:r>
        <w:t>La composition du panel est rappelée dans le tableau de synthèse ci-dessus. L’analyse ci-après est présentée par thèmes afin de maintenir un traitement institutionnel et non personnalisé.</w:t>
      </w:r>
    </w:p>
    <w:p>
      <w:pPr>
        <w:pStyle w:val="Heading3"/>
      </w:pPr>
      <w:r>
        <w:t>Problématique</w:t>
      </w:r>
    </w:p>
    <w:p>
      <w:r>
        <w:t>Le deuxième panel a examiné la transition nécessaire d’une gouvernance municipale centrée sur les moyens vers une gouvernance orientée résultats. Il a mis en débat le budget-programme, les indicateurs, la transparence, la participation citoyenne, l’évaluation et la redevabilité.</w:t>
      </w:r>
    </w:p>
    <w:p>
      <w:pPr>
        <w:pStyle w:val="Heading3"/>
      </w:pPr>
      <w:r>
        <w:t>Analyse</w:t>
      </w:r>
    </w:p>
    <w:p>
      <w:r>
        <w:t>L’analyse budgétaire présentée dans le panel montre que le budget de Dakar, bien que significatif en valeur nominale, reste dominé par une logique administrative. Les ressources sont réparties par directions et lignes de dépenses plutôt que par programmes, objectifs et impacts. Le problème n’est donc pas seulement le montant du budget, mais sa structure et sa capacité à démontrer les résultats produits.</w:t>
      </w:r>
    </w:p>
    <w:p>
      <w:r>
        <w:t>La GAR a été présentée comme un basculement méthodologique : partir d’une vision, la décliner en programmes, associer chaque programme à des activités, produits, résultats et impacts, puis suivre ces éléments par des indicateurs. Dans cette logique, la dépense n’est plus seulement autorisée ; elle est justifiée par un effet attendu sur les populations.</w:t>
      </w:r>
    </w:p>
    <w:p>
      <w:r>
        <w:t>La dimension citoyenne de la GAR constitue un point central. Gouverner par les résultats signifie rendre l’information accessible, permettre le contrôle citoyen, organiser des moments de redevabilité et connecter les plans de développement aux budgets. Sans données désagrégées, actualisées et accessibles, les citoyens ne peuvent pas suivre les projets ni apprécier leur impact.</w:t>
      </w:r>
    </w:p>
    <w:p>
      <w:r>
        <w:t>Le panel a également souligné que la GAR n’est pas un outil purement technique. Elle est un instrument politique de crédibilité. Un maire ou une équipe municipale qui dispose de programmes, d’indicateurs et de bilans mesurables peut rendre compte de manière plus transparente. La GAR permet de passer des promesses aux preuves, des dépenses aux impacts, des projets isolés à une vision stratégique.</w:t>
      </w:r>
    </w:p>
    <w:p>
      <w:r>
        <w:t>La mise en place d’une cellule interdirectionnelle d’instruction, d’orientation et de suivi des projets a été proposée comme prérequis. Cette cellule permettrait de filtrer les projets, vérifier leur alignement, prioriser les investissements, suivre l’exécution et produire des informations utiles à la décision. Elle contribuerait aussi à préparer Dakar à l’accès aux financements externes, qui exigent transparence, certification et crédibilité financière.</w:t>
      </w:r>
    </w:p>
    <w:p>
      <w:pPr>
        <w:pStyle w:val="Heading3"/>
      </w:pPr>
      <w:r>
        <w:t>Messages clés</w:t>
      </w:r>
    </w:p>
    <w:p>
      <w:pPr>
        <w:pStyle w:val="ListBullet"/>
      </w:pPr>
      <w:r>
        <w:t>La GAR doit être institutionnalisée comme méthode de pilotage municipal.</w:t>
      </w:r>
    </w:p>
    <w:p>
      <w:pPr>
        <w:pStyle w:val="ListBullet"/>
      </w:pPr>
      <w:r>
        <w:t>Le budget de Dakar doit évoluer vers un budget-programme orienté impacts.</w:t>
      </w:r>
    </w:p>
    <w:p>
      <w:pPr>
        <w:pStyle w:val="ListBullet"/>
      </w:pPr>
      <w:r>
        <w:t>Les indicateurs doivent mesurer les transformations réelles pour les citoyens.</w:t>
      </w:r>
    </w:p>
    <w:p>
      <w:pPr>
        <w:pStyle w:val="ListBullet"/>
      </w:pPr>
      <w:r>
        <w:t>La transparence des données est une condition de participation, de confiance et de financement.</w:t>
      </w:r>
    </w:p>
    <w:p>
      <w:pPr>
        <w:pStyle w:val="Heading3"/>
      </w:pPr>
      <w:r>
        <w:t>Recommandations issues du panel</w:t>
      </w:r>
    </w:p>
    <w:p>
      <w:pPr>
        <w:pStyle w:val="ListBullet"/>
      </w:pPr>
      <w:r>
        <w:t>Créer une cellule GAR et grands projets au sein de la Ville.</w:t>
      </w:r>
    </w:p>
    <w:p>
      <w:pPr>
        <w:pStyle w:val="ListBullet"/>
      </w:pPr>
      <w:r>
        <w:t>Définir un noyau d’indicateurs stratégiques : mobilité, services de base, emploi, satisfaction citoyenne, cadre de vie.</w:t>
      </w:r>
    </w:p>
    <w:p>
      <w:pPr>
        <w:pStyle w:val="ListBullet"/>
      </w:pPr>
      <w:r>
        <w:t>Publier un rapport annuel de performance municipale.</w:t>
      </w:r>
    </w:p>
    <w:p>
      <w:pPr>
        <w:pStyle w:val="ListBullet"/>
      </w:pPr>
      <w:r>
        <w:t>Former les agents et élus à la planification, au suivi-évaluation et au budget-programme.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r>
        <w:t>Panel 3 – Mobilisation des ressources locales et ingénierie financière</w:t>
      </w:r>
    </w:p>
    <w:p>
      <w:r>
        <w:t>La composition du panel est rappelée dans le tableau de synthèse ci-dessus. L’analyse ci-après est présentée par thèmes afin de maintenir un traitement institutionnel et non personnalisé.</w:t>
      </w:r>
    </w:p>
    <w:p>
      <w:pPr>
        <w:pStyle w:val="Heading3"/>
      </w:pPr>
      <w:r>
        <w:t>Problématique</w:t>
      </w:r>
    </w:p>
    <w:p>
      <w:r>
        <w:t>Le troisième panel a abordé l’autonomie fiscale durable et équitable de Dakar. Il a examiné la trajectoire fiscale de la Ville, les effets des réformes, les limites de l’assiette et du recouvrement, ainsi que les leviers d’optimisation des ressources propres.</w:t>
      </w:r>
    </w:p>
    <w:p>
      <w:pPr>
        <w:pStyle w:val="Heading3"/>
      </w:pPr>
      <w:r>
        <w:t>Analyse</w:t>
      </w:r>
    </w:p>
    <w:p>
      <w:r>
        <w:t>L’histoire fiscale de Dakar apparaît étroitement liée à son histoire institutionnelle. La création de la division des recettes municipales a constitué une innovation majeure, en renforçant l’ordonnancement local des recettes. Mais les réformes successives, notamment la fragmentation du territoire et la transformation de la patente en CEL, ont affecté la structure des ressources.</w:t>
      </w:r>
    </w:p>
    <w:p>
      <w:r>
        <w:t>L’analyse montre que la Ville génère des richesses importantes mais ne capte pas toujours les ressources correspondant à son potentiel. La fiscalité foncière demeure sous-exploitée alors que les constructions se multiplient. Les autorisations d’urbanisme, la gestion des déchets, les taxes de proximité, la publicité et le stationnement révèlent les liens entre compétences, assiette et recettes. Quand la compétence échappe à la Ville, la ressource devient difficile à maîtriser.</w:t>
      </w:r>
    </w:p>
    <w:p>
      <w:r>
        <w:t>Les défis d’optimisation sont clairement identifiés : faible civisme fiscal, centralisation de la chaîne fiscale, complexité des procédures, difficulté de recouvrement des petites cotes, absence de cadastre fiscal complet et besoin de modernisation des systèmes d’information. L’optimisation ne signifie pas seulement créer de nouveaux impôts ; elle consiste d’abord à mieux collecter ce qui existe déjà.</w:t>
      </w:r>
    </w:p>
    <w:p>
      <w:r>
        <w:t>La digitalisation apparaît comme un levier décisif. Des outils comme SIGUIL 2, les projets d’amélioration de la gestion foncière et les plateformes de paiement peuvent rapprocher le contribuable de l’administration fiscale. Le paiement mobile, les notifications, les bases de données géolocalisées et les moratoires numériques peuvent améliorer le rendement tout en réduisant les coûts de recouvrement.</w:t>
      </w:r>
    </w:p>
    <w:p>
      <w:r>
        <w:t>Le panel a enfin rappelé que l’autonomie financière ne se joue pas seulement du côté des recettes. L’utilisation optimale des ressources disponibles, la maîtrise de la dépense, l’analyse financière, les ratios d’exécution, la programmation pluriannuelle et la transparence budgétaire sont également des sources de ressources indirectes. Une dépense mieux orientée libère de la capacité d’investissement.</w:t>
      </w:r>
    </w:p>
    <w:p>
      <w:pPr>
        <w:pStyle w:val="Heading3"/>
      </w:pPr>
      <w:r>
        <w:t>Messages clés</w:t>
      </w:r>
    </w:p>
    <w:p>
      <w:pPr>
        <w:pStyle w:val="ListBullet"/>
      </w:pPr>
      <w:r>
        <w:t>L’autonomie fiscale de Dakar dépend de la clarification de son statut et de ses compétences.</w:t>
      </w:r>
    </w:p>
    <w:p>
      <w:pPr>
        <w:pStyle w:val="ListBullet"/>
      </w:pPr>
      <w:r>
        <w:t>La fiscalité foncière constitue un potentiel majeur mais insuffisamment exploité.</w:t>
      </w:r>
    </w:p>
    <w:p>
      <w:pPr>
        <w:pStyle w:val="ListBullet"/>
      </w:pPr>
      <w:r>
        <w:t>La digitalisation doit couvrir toute la chaîne : identification, assiette, liquidation, recouvrement et suivi.</w:t>
      </w:r>
    </w:p>
    <w:p>
      <w:pPr>
        <w:pStyle w:val="ListBullet"/>
      </w:pPr>
      <w:r>
        <w:t>La mobilisation des ressources doit être reliée à une vision pérenne dépassant les mandats électifs.</w:t>
      </w:r>
    </w:p>
    <w:p>
      <w:pPr>
        <w:pStyle w:val="Heading3"/>
      </w:pPr>
      <w:r>
        <w:t>Recommandations issues du panel</w:t>
      </w:r>
    </w:p>
    <w:p>
      <w:pPr>
        <w:pStyle w:val="ListBullet"/>
      </w:pPr>
      <w:r>
        <w:t>Moderniser et simplifier la fiscalité locale.</w:t>
      </w:r>
    </w:p>
    <w:p>
      <w:pPr>
        <w:pStyle w:val="ListBullet"/>
      </w:pPr>
      <w:r>
        <w:t>Élaborer une stratégie de mobilisation des ressources propres : assiette, recouvrement, utilisation.</w:t>
      </w:r>
    </w:p>
    <w:p>
      <w:pPr>
        <w:pStyle w:val="ListBullet"/>
      </w:pPr>
      <w:r>
        <w:t>Accélérer la digitalisation fiscale et la constitution d’un cadastre communal fiable.</w:t>
      </w:r>
    </w:p>
    <w:p>
      <w:pPr>
        <w:pStyle w:val="ListBullet"/>
      </w:pPr>
      <w:r>
        <w:t>Rénover le cadre juridico-institutionnel d’accès aux financements innovants.</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r>
        <w:t>Panel 4 – Financements innovants, PPP et finance climat</w:t>
      </w:r>
    </w:p>
    <w:p>
      <w:r>
        <w:t>La composition du panel est rappelée dans le tableau de synthèse ci-dessus. L’analyse ci-après est présentée par thèmes afin de maintenir un traitement institutionnel et non personnalisé.</w:t>
      </w:r>
    </w:p>
    <w:p>
      <w:pPr>
        <w:pStyle w:val="Heading3"/>
      </w:pPr>
      <w:r>
        <w:t>Problématique</w:t>
      </w:r>
    </w:p>
    <w:p>
      <w:r>
        <w:t>Le quatrième panel a interrogé les mécanismes permettant à Dakar de financer sa transformation urbaine au-delà des ressources ordinaires : PPP, finance climat, fonds verts, marchés financiers, valorisation du patrimoine et instruments de partage des risques.</w:t>
      </w:r>
    </w:p>
    <w:p>
      <w:pPr>
        <w:pStyle w:val="Heading3"/>
      </w:pPr>
      <w:r>
        <w:t>Analyse</w:t>
      </w:r>
    </w:p>
    <w:p>
      <w:r>
        <w:t>Les besoins de Dakar en infrastructures, services publics, adaptation climatique et équipements structurants dépassent les capacités budgétaires classiques. Les recettes fiscales et l’autofinancement demeurent nécessaires, mais ils ne suffisent pas pour répondre aux défis de mobilité, d’assainissement, de stationnement, de logement, de gestion du littoral, de reverdissement et de services urbains.</w:t>
      </w:r>
    </w:p>
    <w:p>
      <w:r>
        <w:t>Dakar est présentée comme un territoire à identité remarquable et à fort potentiel économique. Le pôle Dakar contribue fortement au PIB national et concentre des emplois, des projets et des actifs stratégiques. Pourtant, les collectivités territoriales apparaissent faiblement représentées comme catégorie autonome dans les financements mobilisés par l’État. Cette situation invite à construire des instruments dédiés au financement communal.</w:t>
      </w:r>
    </w:p>
    <w:p>
      <w:r>
        <w:t>L’idée d’une structure de type Dakar Financial Corporation ou Dakar Holding City a été mise en avant. Il s’agirait d’un véhicule de développement municipal capable de valoriser le patrimoine communal, notamment foncier, sans aliénation systématique. Des sociétés de projet pourraient être créées pour porter des investissements, associer des partenaires privés, mobiliser de la dette et organiser un partage des risques.</w:t>
      </w:r>
    </w:p>
    <w:p>
      <w:r>
        <w:t>Les PPP sont analysés comme un outil possible de développement des collectivités territoriales. Ils ne constituent pas une solution automatique ; ils supposent un cadre juridique, une expertise, une analyse des risques, une préparation technique et une gouvernance contractuelle solide. Des exemples comme la gare routière de Koudougou montrent que les PPP peuvent créer des revenus, améliorer les services et transférer des compétences si le modèle est bien conçu.</w:t>
      </w:r>
    </w:p>
    <w:p>
      <w:r>
        <w:t>La finance climat a aussi été abordée à travers les projets d’adaptation : écoquartiers, récupération des eaux pluviales, lutte contre l’érosion côtière, reverdissement urbain, réduction des îlots de chaleur et solutions fondées sur la nature. Ces projets produisent souvent des bénéfices sociaux et de long terme, alors que les financeurs recherchent parfois des retours monétisables à court terme. La Ville doit donc renforcer son assistance à la préparation de projets et utiliser des mécanismes de blended finance.</w:t>
      </w:r>
    </w:p>
    <w:p>
      <w:pPr>
        <w:pStyle w:val="Heading3"/>
      </w:pPr>
      <w:r>
        <w:t>Messages clés</w:t>
      </w:r>
    </w:p>
    <w:p>
      <w:pPr>
        <w:pStyle w:val="ListBullet"/>
      </w:pPr>
      <w:r>
        <w:t>Dakar doit structurer des projets bancables plutôt que présenter seulement des besoins.</w:t>
      </w:r>
    </w:p>
    <w:p>
      <w:pPr>
        <w:pStyle w:val="ListBullet"/>
      </w:pPr>
      <w:r>
        <w:t>Les PPP exigent une ingénierie contractuelle, financière et juridique forte.</w:t>
      </w:r>
    </w:p>
    <w:tbl>
      <w:tblPr>
        <w:tblW w:type="auto" w:w="0"/>
        <w:tblLayout w:type="fixed"/>
        <w:tblLook w:firstColumn="1" w:firstRow="1" w:lastColumn="0" w:lastRow="0" w:noHBand="0" w:noVBand="1" w:val="04A0"/>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216"/>
            <w:tcMar>
              <w:top w:w="120" w:type="dxa"/>
              <w:start w:w="120" w:type="dxa"/>
              <w:bottom w:w="120" w:type="dxa"/>
              <w:end w:w="120" w:type="dxa"/>
            </w:tcMar>
            <w:shd w:fill="F2F6FA" w:val="clear" w:color="auto"/>
          </w:tcPr>
          <w:p>
            <w:pPr>
              <w:spacing w:after="40" w:line="252" w:lineRule="auto"/>
            </w:pPr>
            <w:r>
              <w:rPr>
                <w:b/>
                <w:color w:val="1F4E79"/>
                <w:sz w:val="20"/>
              </w:rPr>
            </w:r>
            <w:r>
              <w:rPr>
                <w:b/>
                <w:color w:val="1F4E79"/>
                <w:sz w:val="20"/>
              </w:rPr>
              <w:t>PAROLE DES DISCUSSIONS</w:t>
            </w:r>
          </w:p>
          <w:p>
            <w:pPr>
              <w:spacing w:after="40" w:line="252" w:lineRule="auto"/>
            </w:pPr>
            <w:r>
              <w:rPr>
                <w:i/>
                <w:sz w:val="20"/>
              </w:rPr>
              <w:t>« Les partenaires privés ne sont pas des philanthropes. La Ville doit écrire le projet de sorte qu’un privé soit intéressé, et la Ville aura des retours. »</w:t>
            </w:r>
          </w:p>
          <w:p>
            <w:pPr>
              <w:spacing w:after="40" w:line="252" w:lineRule="auto"/>
              <w:jc w:val="right"/>
            </w:pPr>
            <w:r>
              <w:rPr>
                <w:i/>
                <w:sz w:val="20"/>
              </w:rPr>
              <w:t>Extrait des échanges, transcription nettoyée.</w:t>
            </w:r>
          </w:p>
        </w:tc>
      </w:tr>
    </w:tbl>
    <w:p>
      <w:pPr>
        <w:pStyle w:val="ListBullet"/>
      </w:pPr>
      <w:r>
        <w:t>La valorisation du patrimoine communal peut réduire la pression sur le budget direct.</w:t>
      </w:r>
    </w:p>
    <w:p>
      <w:pPr>
        <w:pStyle w:val="ListBullet"/>
      </w:pPr>
      <w:r>
        <w:t>La finance climat doit être connectée aux priorités urbaines : eaux pluviales, littoral, espaces verts, quartiers résilients.</w:t>
      </w:r>
    </w:p>
    <w:p>
      <w:pPr>
        <w:pStyle w:val="Heading3"/>
      </w:pPr>
      <w:r>
        <w:t>Recommandations issues du panel</w:t>
      </w:r>
    </w:p>
    <w:p>
      <w:pPr>
        <w:pStyle w:val="ListBullet"/>
      </w:pPr>
      <w:r>
        <w:t>Créer une structure dédiée à l’ingénierie financière territoriale.</w:t>
      </w:r>
    </w:p>
    <w:p>
      <w:pPr>
        <w:pStyle w:val="ListBullet"/>
      </w:pPr>
      <w:r>
        <w:t>Constituer un portefeuille priorisé de projets bancables.</w:t>
      </w:r>
    </w:p>
    <w:p>
      <w:pPr>
        <w:pStyle w:val="ListBullet"/>
      </w:pPr>
      <w:r>
        <w:t>Mettre en place une plateforme de dialogue public-privé.</w:t>
      </w:r>
    </w:p>
    <w:p>
      <w:pPr>
        <w:pStyle w:val="ListBullet"/>
      </w:pPr>
      <w:r>
        <w:t>Renforcer l’accès direct aux financements climat et aux fonds verts.</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r>
        <w:t>Panel 5 – Investir dans le capital humain municipal</w:t>
      </w:r>
    </w:p>
    <w:p>
      <w:r>
        <w:t>La composition du panel est rappelée dans le tableau de synthèse ci-dessus. L’analyse ci-après est présentée par thèmes afin de maintenir un traitement institutionnel et non personnalisé.</w:t>
      </w:r>
    </w:p>
    <w:p>
      <w:pPr>
        <w:pStyle w:val="Heading3"/>
      </w:pPr>
      <w:r>
        <w:t>Problématique</w:t>
      </w:r>
    </w:p>
    <w:p>
      <w:r>
        <w:t>Le cinquième panel a replacé les femmes et les hommes de l’administration municipale au centre de la performance territoriale. Il a interrogé la formation, la gestion des carrières, la GPEC, la digitalisation RH, la motivation, les conditions de travail et la capacité d’innovation.</w:t>
      </w:r>
    </w:p>
    <w:p>
      <w:pPr>
        <w:pStyle w:val="Heading3"/>
      </w:pPr>
      <w:r>
        <w:t>Analyse</w:t>
      </w:r>
    </w:p>
    <w:p>
      <w:r>
        <w:t>Les communications convergent vers une idée simple : le capital humain municipal n’est pas une charge, mais un investissement stratégique. Les infrastructures, les budgets, les plans et les réformes ne produisent des résultats que si les agents et les élus disposent des compétences, de la motivation, de l’organisation et de l’éthique nécessaires pour les mettre en œuvre.</w:t>
      </w:r>
    </w:p>
    <w:p>
      <w:r>
        <w:t>Le CNFPLF est présenté comme un instrument de professionnalisation de la fonction publique locale. Sa mission consiste à accompagner les collectivités en matière statutaire, de rémunération, d’actions sociales, de retraite et surtout de renforcement des compétences. Le panel souligne la nécessité d’une gestion stratégique et prévisionnelle des ressources humaines territoriales.</w:t>
      </w:r>
    </w:p>
    <w:p>
      <w:r>
        <w:t>La cartographie RH de la Ville met en évidence les effectifs, les statuts, les hiérarchies, l’ancienneté, l’organisation de la DRH, les défis et les perspectives. Elle confirme le passage nécessaire d’une administration du personnel centrée sur la conformité vers une fonction RH orientée compétences, gestion des talents, parcours professionnels et performance.</w:t>
      </w:r>
    </w:p>
    <w:p>
      <w:r>
        <w:t>La formation continue apparaît comme un levier d’adaptation des compétences aux enjeux urbains : numérisation, planification, résilience, gouvernance, leadership, éthique et innovation. L’EMPS, le CIFAL Dakar, le CEGLA et les réseaux de formation ouest-africains constituent des atouts institutionnels à consolider.</w:t>
      </w:r>
    </w:p>
    <w:p>
      <w:r>
        <w:t>Les échanges ont également fait émerger des préoccupations fortes : audit du personnel, digitalisation de la gestion RH, situation des volontaires, valorisation des acquis, foire interne aux postes, mobilité, revalorisation salariale, statut de l’élu local, inclusion des personnes à mobilité réduite et restauration du dialogue entre populations, agents et administration. Ces préoccupations montrent que la performance RH est à la fois technique, sociale et politique.</w:t>
      </w:r>
    </w:p>
    <w:p>
      <w:pPr>
        <w:pStyle w:val="Heading3"/>
      </w:pPr>
      <w:r>
        <w:t>Messages clés</w:t>
      </w:r>
    </w:p>
    <w:p>
      <w:pPr>
        <w:pStyle w:val="ListBullet"/>
      </w:pPr>
      <w:r>
        <w:t>Le capital humain est le premier actif stratégique de la Ville de Dakar.</w:t>
      </w:r>
    </w:p>
    <w:p>
      <w:pPr>
        <w:pStyle w:val="ListBullet"/>
      </w:pPr>
      <w:r>
        <w:t>La formation doit être inscrite dans une stratégie de développement territorial, et non traitée comme une dépense isolée.</w:t>
      </w:r>
    </w:p>
    <w:p>
      <w:pPr>
        <w:pStyle w:val="ListBullet"/>
      </w:pPr>
      <w:r>
        <w:t>La GPEC, la mobilité et la valorisation des acquis peuvent mieux aligner talents et besoins municipaux.</w:t>
      </w:r>
    </w:p>
    <w:p>
      <w:pPr>
        <w:pStyle w:val="ListBullet"/>
      </w:pPr>
      <w:r>
        <w:t>La motivation passe par la reconnaissance, les conditions de travail, la transparence et les perspectives de carrière.</w:t>
      </w:r>
    </w:p>
    <w:p>
      <w:pPr>
        <w:pStyle w:val="Heading3"/>
      </w:pPr>
      <w:r>
        <w:t>Recommandations issues du panel</w:t>
      </w:r>
    </w:p>
    <w:p>
      <w:pPr>
        <w:pStyle w:val="ListBullet"/>
      </w:pPr>
      <w:r>
        <w:t>Finaliser l’audit RH et élaborer une stratégie RH à long terme.</w:t>
      </w:r>
    </w:p>
    <w:p>
      <w:pPr>
        <w:pStyle w:val="ListBullet"/>
      </w:pPr>
      <w:r>
        <w:t>Mettre en place un plan de formation continue aligné sur les programmes prioritaires de la Ville.</w:t>
      </w:r>
    </w:p>
    <w:p>
      <w:pPr>
        <w:pStyle w:val="ListBullet"/>
      </w:pPr>
      <w:r>
        <w:t>Digitaliser la gestion RH et les données du personnel.</w:t>
      </w:r>
    </w:p>
    <w:p>
      <w:pPr>
        <w:pStyle w:val="ListBullet"/>
      </w:pPr>
      <w:r>
        <w:t>Créer des mécanismes de mobilité interne, de valorisation des acquis et d’innovation participative.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2"/>
      </w:pPr>
      <w:r>
        <w:t>Panel 6 – Rayonnement international et attractivité de la Ville de Dakar</w:t>
      </w:r>
    </w:p>
    <w:p>
      <w:r>
        <w:t>La composition du panel est rappelée dans le tableau de synthèse ci-dessus. L’analyse ci-après est présentée par thèmes afin de maintenir un traitement institutionnel et non personnalisé.</w:t>
      </w:r>
    </w:p>
    <w:p>
      <w:pPr>
        <w:pStyle w:val="Heading3"/>
      </w:pPr>
      <w:r>
        <w:t>Problématique</w:t>
      </w:r>
    </w:p>
    <w:p>
      <w:r>
        <w:t>Le sixième panel a interrogé la capacité de Dakar à consolider son statut de ville mondiale, à renforcer sa marque territoriale, à attirer des investissements, des talents et des événements, et à transformer ses réseaux internationaux en leviers concrets de développement.</w:t>
      </w:r>
    </w:p>
    <w:p>
      <w:pPr>
        <w:pStyle w:val="Heading3"/>
      </w:pPr>
      <w:r>
        <w:t>Analyse</w:t>
      </w:r>
    </w:p>
    <w:p>
      <w:r>
        <w:t>Dakar dispose d’un héritage exceptionnel. Ancienne capitale de l’AOF, capitale politique du Sénégal, ville de culture, de mémoire, de diplomatie, de sport et de rencontres internationales, elle possède des atouts qui peuvent nourrir une stratégie de rayonnement. Son histoire, ses institutions, Gorée, la Biennale, les lieux culturels, la diplomatie urbaine et les JOJ 2026 constituent un capital symbolique considérable.</w:t>
      </w:r>
    </w:p>
    <w:p>
      <w:r>
        <w:t>Dakar est analysée comme une ville mondiale en devenir. Son appartenance à des réseaux tels que CGLU, C40, AIMF et d’autres plateformes de coopération décentralisée lui donne accès à des idées, des financements, des partenariats et une visibilité. Mais cette présence doit être mieux organisée : points focaux, initiatives visibles, portefeuille de projets et suivi des engagements.</w:t>
      </w:r>
    </w:p>
    <w:p>
      <w:r>
        <w:t>La stratégie d’attractivité suppose une vision claire. Dakar doit renforcer le sentiment d’appartenance de ses habitants et valoriser ses spécificités : îles, marchés, patrimoine, culture léboue, mémoire, gastronomie, créativité, sport et qualité de vie. La marque territoriale ne doit pas être un slogan ; elle doit exprimer une expérience urbaine.</w:t>
      </w:r>
    </w:p>
    <w:p>
      <w:r>
        <w:t>La modération a souligné la relation entre rayonnement et attractivité. Le rayonnement désigne ce que Dakar projette vers l’extérieur ; l’attractivité désigne ce que Dakar organise pour que l’extérieur vienne vers elle. Les deux dimensions se nourrissent. Une ville rayonne si elle est bien gouvernée, propre, sûre, accessible, connectée, verte, créative et capable d’accueillir des événements de qualité.</w:t>
      </w:r>
    </w:p>
    <w:p>
      <w:r>
        <w:t>Les défis restent importants : congestion, dégradation de certaines infrastructures, manque d’espaces verts, faible ouverture du front de mer, saturation des réseaux, insuffisance de marketing territorial, accords de coopération parfois peu opérationnels, perte de certains labels ou rendez-vous sportifs. La réponse doit être globale : masterplan, diplomatie territoriale, stratégie culturelle, événementiel, tourisme, smart city, résilience climatique et observatoire de l’attractivité.</w:t>
      </w:r>
    </w:p>
    <w:p>
      <w:pPr>
        <w:pStyle w:val="Heading3"/>
      </w:pPr>
      <w:r>
        <w:t>Messages clés</w:t>
      </w:r>
    </w:p>
    <w:p>
      <w:pPr>
        <w:pStyle w:val="ListBullet"/>
      </w:pPr>
      <w:r>
        <w:t>Dakar a les attributs d’une ville mondiale, mais son rayonnement doit être stratégiquement organisé.</w:t>
      </w:r>
    </w:p>
    <w:p>
      <w:pPr>
        <w:pStyle w:val="ListBullet"/>
      </w:pPr>
      <w:r>
        <w:t>La marque territoriale doit valoriser les atouts réels de Dakar et renforcer le sentiment d’appartenance.</w:t>
      </w:r>
    </w:p>
    <w:p>
      <w:pPr>
        <w:pStyle w:val="ListBullet"/>
      </w:pPr>
      <w:r>
        <w:t>Les partenariats internationaux doivent devenir plus pragmatiques, évalués et orientés projets.</w:t>
      </w:r>
    </w:p>
    <w:p>
      <w:pPr>
        <w:pStyle w:val="ListBullet"/>
      </w:pPr>
      <w:r>
        <w:t>Les JOJ 2026 doivent produire un héritage urbain, sportif, culturel et économique durable.</w:t>
      </w:r>
    </w:p>
    <w:p>
      <w:pPr>
        <w:pStyle w:val="Heading3"/>
      </w:pPr>
      <w:r>
        <w:t>Recommandations issues du panel</w:t>
      </w:r>
    </w:p>
    <w:p>
      <w:pPr>
        <w:pStyle w:val="ListBullet"/>
      </w:pPr>
      <w:r>
        <w:t>Créer ou renforcer une direction des relations internationales et de la coopération décentralisée.</w:t>
      </w:r>
    </w:p>
    <w:p>
      <w:pPr>
        <w:pStyle w:val="ListBullet"/>
      </w:pPr>
      <w:r>
        <w:t>Élaborer une stratégie de marque territoriale Dakar Brand.</w:t>
      </w:r>
    </w:p>
    <w:p>
      <w:pPr>
        <w:pStyle w:val="ListBullet"/>
      </w:pPr>
      <w:r>
        <w:t>Mettre en place un observatoire de l’attractivité territoriale.</w:t>
      </w:r>
    </w:p>
    <w:p>
      <w:pPr>
        <w:pStyle w:val="ListBullet"/>
      </w:pPr>
      <w:r>
        <w:t>Candidater à des événements internationaux et valoriser le patrimoine culturel, sportif et mémoriel.</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INSTITUTIONNELLE</w:t>
            </w:r>
          </w:p>
          <w:p>
            <w:pPr>
              <w:spacing w:after="40" w:line="252" w:lineRule="auto"/>
            </w:pPr>
            <w:r>
              <w:rPr>
                <w:sz w:val="20"/>
              </w:rPr>
              <w:t>Ce panel apporte une pièce au même puzzle : transformer Dakar suppose de relier statut, gouvernance, ressources, capital humain et attractivité dans une stratégie unique, mesurable et portée politiquement.</w:t>
            </w:r>
          </w:p>
        </w:tc>
      </w:tr>
    </w:tbl>
    <w:p>
      <w:pPr>
        <w:pStyle w:val="Heading1"/>
      </w:pPr>
      <w:r>
        <w:t>Messages majeurs issus des débats</w:t>
      </w:r>
    </w:p>
    <w:p>
      <w:r>
        <w:t>Cette section restitue dix idées fortes issues des échanges. Les formulations ci-dessous sont volontairement stabilisées : elles ne reproduisent pas mécaniquement les transcriptions automatiques, mais en conservent l’esprit, les tensions et les propositions audacieuses. Elles permettent de rendre le rapport plus mémorable et plus fidèle à la dynamique des Journées scientifiques.</w:t>
      </w:r>
      <w:r>
        <w:rPr>
          <w:rStyle w:val="FootnoteReference"/>
        </w:rPr>
        <w:footnoteReference w:id="11"/>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00"/>
        <w:gridCol w:w="3850"/>
        <w:gridCol w:w="3210"/>
      </w:tblGrid>
      <w:tr>
        <w:trPr>
          <w:tblHeader w:val="true"/>
        </w:trPr>
        <w:tc>
          <w:tcPr>
            <w:tcW w:type="dxa" w:w="2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Message entendu</w:t>
            </w:r>
          </w:p>
        </w:tc>
        <w:tc>
          <w:tcPr>
            <w:tcW w:type="dxa" w:w="38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Idée forte reformulée</w:t>
            </w:r>
          </w:p>
        </w:tc>
        <w:tc>
          <w:tcPr>
            <w:tcW w:type="dxa" w:w="32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Conséquence pour le rapport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Intercommunalité</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L’avenir des communes de Dakar passe par la mutualisation et l’intercommunalité ; les pôles ne doivent pas devenir une strate supplémentaire.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Clarifier les relations Ville-communes et donner un contenu opérationnel à la mutualisation prévue par le Code des CL.</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CT de développement</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La réforme doit faire passer les collectivités d’une logique de statut à une logique de développement.</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Relier statut, compétences, ressources et résultats mesurables.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PPP exigeants</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Les partenaires privés ne sont pas des philanthropes ; ils s’intéressent à des projets solides, lisibles et rentables pour toutes les parties.</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Structurer des fiches bancables avant toute démarche de financement.</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Prudence PPP</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Il ne faut pas vouloir faire des PPP partout et immédiatement ; toutes les collectivités ne sont pas prêtes au même rythme.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Classer les projets par maturité et sécuriser l’assistance technique.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Vision d’abord</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Sans vision, il n’y a pas de projet structurant ; sans projet structuré, il n’y a pas de financement crédible.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Faire de Dakar 2035-2050 un référentiel de programmation.</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Capital humain</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Les compétences internes sont la condition de la transformation : les projets, l’innovation, la fiscalité et les PPP dépendent des ressources humaines.</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Mettre l’audit RH, la formation et la GPEC au cœur de la feuille de route.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réciproque</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Le rayonnement nourrit l’attractivité, mais l’attractivité nourrit aussi le rayonnement.</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Lier Dakar Brand à des services urbains, des événements, des circuits et des résultats visibles.</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Histoire de Dakar</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L’histoire de Dakar fait partie de sa force : elle doit être organisée comme un actif culturel, touristique et diplomatique.</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Créer un récit institutionnel et des circuits mémoriels adossés à l’histoire de la ville.</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Dakar métropole particulière</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Dakar dépasse le cadre d’une collectivité ordinaire et doit consolider ses relations, projets et partenariats.</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Justifier un statut et des outils différenciés dans l’Acte IV.</w:t>
            </w:r>
          </w:p>
        </w:tc>
      </w:tr>
      <w:tr>
        <w:tc>
          <w:tcPr>
            <w:tcW w:type="dxa" w:w="2300"/>
            <w:tcMar>
              <w:top w:w="80" w:type="dxa"/>
              <w:start w:w="120" w:type="dxa"/>
              <w:bottom w:w="80" w:type="dxa"/>
              <w:end w:w="120" w:type="dxa"/>
            </w:tcMar>
            <w:vAlign w:val="center"/>
          </w:tcPr>
          <w:p>
            <w:pPr>
              <w:spacing w:after="40" w:line="240" w:lineRule="auto" w:before="0"/>
            </w:pPr>
            <w:r>
              <w:rPr>
                <w:rFonts w:ascii="Calibri" w:hAnsi="Calibri"/>
                <w:color w:val="232323"/>
                <w:sz w:val="20"/>
              </w:rPr>
              <w:t>Numérique et gestion</w:t>
            </w:r>
          </w:p>
        </w:tc>
        <w:tc>
          <w:tcPr>
            <w:tcW w:type="dxa" w:w="3850"/>
            <w:tcMar>
              <w:top w:w="80" w:type="dxa"/>
              <w:start w:w="120" w:type="dxa"/>
              <w:bottom w:w="80" w:type="dxa"/>
              <w:end w:w="120" w:type="dxa"/>
            </w:tcMar>
            <w:vAlign w:val="center"/>
          </w:tcPr>
          <w:p>
            <w:pPr>
              <w:spacing w:after="40" w:line="240" w:lineRule="auto" w:before="0"/>
            </w:pPr>
            <w:r>
              <w:rPr>
                <w:rFonts w:ascii="Calibri" w:hAnsi="Calibri"/>
                <w:color w:val="232323"/>
                <w:sz w:val="20"/>
              </w:rPr>
              <w:t>La faible intégration numérique freine la gestion territoriale, la fiscalité, les RH, les projets et l’attractivité.</w:t>
            </w:r>
          </w:p>
        </w:tc>
        <w:tc>
          <w:tcPr>
            <w:tcW w:type="dxa" w:w="3210"/>
            <w:tcMar>
              <w:top w:w="80" w:type="dxa"/>
              <w:start w:w="120" w:type="dxa"/>
              <w:bottom w:w="80" w:type="dxa"/>
              <w:end w:w="120" w:type="dxa"/>
            </w:tcMar>
            <w:vAlign w:val="center"/>
          </w:tcPr>
          <w:p>
            <w:pPr>
              <w:spacing w:after="40" w:line="240" w:lineRule="auto" w:before="0"/>
            </w:pPr>
            <w:r>
              <w:rPr>
                <w:rFonts w:ascii="Calibri" w:hAnsi="Calibri"/>
                <w:color w:val="232323"/>
                <w:sz w:val="20"/>
              </w:rPr>
              <w:t>Créer un programme numérique municipal distinct et rattacher la gouvernance des données au programme GAR-données.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MESSAGE POLITIQUE TRANSVERSAL</w:t>
            </w:r>
          </w:p>
          <w:p>
            <w:pPr>
              <w:spacing w:after="40" w:line="252" w:lineRule="auto"/>
            </w:pPr>
            <w:r>
              <w:rPr>
                <w:sz w:val="20"/>
              </w:rPr>
              <w:t>Les débats convergent vers une même idée : Dakar connaît déjà une grande partie des solutions ; le défi principal est désormais de décider, prioriser, financer, exécuter et rendre compte.</w:t>
            </w:r>
          </w:p>
        </w:tc>
      </w:tr>
    </w:tbl>
    <w:p>
      <w:pPr>
        <w:pStyle w:val="Heading1"/>
      </w:pPr>
      <w:r>
        <w:t>Points de débat et arbitrages à trancher</w:t>
      </w:r>
    </w:p>
    <w:p>
      <w:r>
        <w:t>Pour éviter un rapport trop linéaire, cette section restitue les principales tensions de fond apparues dans les travaux. Elles ne sont pas présentées comme des contradictions bloquantes, mais comme des arbitrages institutionnels à clarifier. Un rapport de Journées scientifiques doit en effet capitaliser les convergences, mais aussi rendre visibles les choix difficiles.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50"/>
        <w:gridCol w:w="3400"/>
        <w:gridCol w:w="3610"/>
      </w:tblGrid>
      <w:tr>
        <w:trPr>
          <w:tblHeader w:val="true"/>
        </w:trPr>
        <w:tc>
          <w:tcPr>
            <w:tcW w:type="dxa" w:w="23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Point de tension</w:t>
            </w:r>
          </w:p>
        </w:tc>
        <w:tc>
          <w:tcPr>
            <w:tcW w:type="dxa" w:w="3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Ce que révèlent les échanges</w:t>
            </w:r>
          </w:p>
        </w:tc>
        <w:tc>
          <w:tcPr>
            <w:tcW w:type="dxa" w:w="36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Arbitrage à préparer</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Statut de Dakar et mutualisation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Code général des Collectivités locales permet la ville comme espace de mutualisation, mais les débats montrent que la mutualisation actuelle ne suffit pas toujours à produire un leadership métropolitain.</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Déterminer ce qui relève d’une compétence propre de la Ville, d’une compétence communale, d’une compétence mutualisée et d’un arbitrage État-pôle.</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Autonomie financière et équité fiscale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L’élargissement de l’assiette est indispensable, mais une fiscalité mal expliquée peut accroître la défiance.</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Associer recensement fiscal, e-taxe, pédagogie citoyenne et visibilité de l’usage des recettes.</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PPP, emprunt et soutenabilité</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Les financements innovants sont nécessaires, mais ils créent des risques si les projets sont insuffisamment mûrs.</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N’autoriser la négociation que pour les projets classés à un niveau de maturité suffisant, avec analyse des risques et moyen de vérification.</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GAR et culture administrative</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La GAR peut renforcer la performance, mais elle exige des données, des routines et une acceptation par les directions.</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Démarrer par des programmes pilotes et rendre les revues de performance utiles aux arbitrages budgétaires.</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Numérique et organisation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numérique peut accélérer la transparence, mais il peut aussi produire des outils isolés s’il n’est pas gouverné.</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Définir des standards d’interopérabilité, une gouvernance des données et une responsabilité claire de la data room.</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 et financement</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Le PCET donne une vision, mais l’accès aux financements climat dépend de projets chiffrés, mesurables et documentés.</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Transformer le PCET en portefeuille de projets verts avec MRV, coûts, bénéficiaires, impacts et partenaires ciblés.</w:t>
            </w:r>
          </w:p>
        </w:tc>
      </w:tr>
      <w:tr>
        <w:tc>
          <w:tcPr>
            <w:tcW w:type="dxa" w:w="235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et vécu urbain</w:t>
            </w:r>
          </w:p>
        </w:tc>
        <w:tc>
          <w:tcPr>
            <w:tcW w:type="dxa" w:w="3400"/>
            <w:tcMar>
              <w:top w:w="80" w:type="dxa"/>
              <w:start w:w="120" w:type="dxa"/>
              <w:bottom w:w="80" w:type="dxa"/>
              <w:end w:w="120" w:type="dxa"/>
            </w:tcMar>
            <w:vAlign w:val="center"/>
          </w:tcPr>
          <w:p>
            <w:pPr>
              <w:spacing w:after="40" w:line="240" w:lineRule="auto" w:before="0"/>
            </w:pPr>
            <w:r>
              <w:rPr>
                <w:rFonts w:ascii="Calibri" w:hAnsi="Calibri"/>
                <w:color w:val="232323"/>
                <w:sz w:val="20"/>
              </w:rPr>
              <w:t>Dakar dispose d’une histoire forte, mais l’attractivité ne peut pas compenser les faiblesses de propreté, mobilité, espaces publics ou accueil.</w:t>
            </w:r>
          </w:p>
        </w:tc>
        <w:tc>
          <w:tcPr>
            <w:tcW w:type="dxa" w:w="3610"/>
            <w:tcMar>
              <w:top w:w="80" w:type="dxa"/>
              <w:start w:w="120" w:type="dxa"/>
              <w:bottom w:w="80" w:type="dxa"/>
              <w:end w:w="120" w:type="dxa"/>
            </w:tcMar>
            <w:vAlign w:val="center"/>
          </w:tcPr>
          <w:p>
            <w:pPr>
              <w:spacing w:after="40" w:line="240" w:lineRule="auto" w:before="0"/>
            </w:pPr>
            <w:r>
              <w:rPr>
                <w:rFonts w:ascii="Calibri" w:hAnsi="Calibri"/>
                <w:color w:val="232323"/>
                <w:sz w:val="20"/>
              </w:rPr>
              <w:t>Relier Dakar Brand à des améliorations visibles, à l’histoire de Dakar et à des circuits culturels réellement praticables.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LECTURE STRATÉGIQUE</w:t>
            </w:r>
          </w:p>
          <w:p>
            <w:pPr>
              <w:spacing w:after="40" w:line="252" w:lineRule="auto"/>
            </w:pPr>
            <w:r>
              <w:rPr>
                <w:sz w:val="20"/>
              </w:rPr>
              <w:t>La principale valeur ajoutée du rapport n’est pas de multiplier les recommandations, mais d’aider la Ville à choisir : ce qui doit être décidé maintenant, ce qui dépend de l’État, ce qui relève d’une réforme interne et ce qui doit être préparé techniquement avant financement.</w:t>
            </w:r>
          </w:p>
        </w:tc>
      </w:tr>
    </w:tbl>
    <w:p>
      <w:pPr>
        <w:pStyle w:val="Heading1"/>
      </w:pPr>
      <w:r>
        <w:t>Approfondissements stratégiques</w:t>
      </w:r>
    </w:p>
    <w:p>
      <w:r>
        <w:t>Les six panels permettent de dégager des axes d’approfondissement qui dépassent la restitution événementielle. Ces développements ont pour objectif de traduire les échanges en orientations structurantes pour la Ville de Dakar, l’APEC et les partenaires institutionnels. Ils peuvent servir de base à un mémorandum de plaidoyer, à une note institutionnelle, à un programme de suivi des recommandations ou à une feuille de route administrative.</w:t>
      </w:r>
    </w:p>
    <w:p>
      <w:pPr>
        <w:pStyle w:val="Heading2"/>
      </w:pPr>
      <w:r>
        <w:t>1. Repenser le statut de Dakar comme condition de transformation</w:t>
      </w:r>
    </w:p>
    <w:p>
      <w:r>
        <w:t>La question du statut de Dakar traverse l’ensemble des panels, même lorsqu’elle n’est pas explicitement au centre des discussions. Elle apparaît dans les débats sur les pôles territoriaux, mais aussi dans la fiscalité, l’urbanisme, les ressources humaines, les PPP et le rayonnement international. La raison est simple : une ville ne peut pas porter une ambition métropolitaine avec un cadre institutionnel qui limite sa capacité d’action, fragmente ses compétences et brouille ses responsabilités.</w:t>
      </w:r>
    </w:p>
    <w:p>
      <w:r>
        <w:t>Les échanges ont montré que Dakar se trouve dans une situation paradoxale. Elle est capitale nationale, pôle économique, vitrine internationale et cœur symbolique du pays, mais elle est traitée dans plusieurs domaines comme une collectivité dont les compétences sont comparables à celles d’autres communes. Cette tension produit des effets pratiques : perte de maîtrise sur certains actes d’urbanisme, difficulté à coordonner les investissements, chevauchements avec les communes, dépendance à des arbitrages étatiques et faible lisibilité du rôle de la Ville dans la gestion métropolitaine.</w:t>
      </w:r>
    </w:p>
    <w:p>
      <w:r>
        <w:t>Repenser le statut de Dakar ne signifie pas nécessairement recentraliser ou affaiblir les communes. Le débat doit être posé autrement : quelles fonctions doivent être exercées à l’échelle de proximité, quelles fonctions doivent être coordonnées à l’échelle métropolitaine, et quelles fonctions relèvent de l’État ? La subsidiarité doit être appliquée dans les deux sens. Les communes doivent garder ce qui est efficacement géré au plus près des populations ; la Ville doit retrouver ou consolider ce qui exige une cohérence d’ensemble : voirie structurante, planification urbaine, grands équipements, stratégie fiscale, rayonnement, données territoriales et projets métropolitains.</w:t>
      </w:r>
    </w:p>
    <w:p>
      <w:r>
        <w:t>L’enjeu central est la création d’une autorité de coordination claire. Une métropole fonctionne difficilement si chaque acteur décide selon son périmètre sans mécanisme de convergence. Les panels ont donné plusieurs exemples où l’absence d’arbitrage produit des surcoûts, des retards ou des contradictions. Une route traverse plusieurs communes ; un réseau d’assainissement dépend de plusieurs autorités ; une zone économique produit des recettes et des nuisances ; une politique de stationnement touche la mobilité, la fiscalité et l’espace public. Ces sujets exigent une gouvernance partagée mais hiérarchisée.</w:t>
      </w:r>
    </w:p>
    <w:p>
      <w:r>
        <w:t>Dans cette perspective, l’Acte IV devrait clarifier trois dimensions. D’abord, la compétence : qui fait quoi, à quelle échelle, avec quelle responsabilité ? Ensuite, la ressource : quelle fiscalité, quelle dotation, quelle capacité d’emprunt ou de valorisation patrimoniale accompagne chaque compétence ? Enfin, la redevabilité : devant qui l’acteur rend-il compte, avec quels indicateurs et quels mécanismes de contrôle ? Une compétence sans ressource crée l’impuissance ; une ressource sans redevabilité crée la défiance ; une responsabilité sans compétence crée la confusion.</w:t>
      </w:r>
    </w:p>
    <w:p>
      <w:r>
        <w:t>La revendication d’un statut particulier de Dakar doit donc être formulée avec précision. Elle ne doit pas être comprise comme une faveur institutionnelle, mais comme une réponse fonctionnelle à la vocation de capitale. Le rapport recommande de construire un dossier de plaidoyer adossé à des données : comparaison avec d’autres capitales, inventaire des compétences problématiques, estimation des pertes financières liées aux chevauchements, cartographie des projets métropolitains et scénarios de gouvernance. Ce dossier donnerait à la Ville et à l’APEC une base solide pour contribuer aux discussions nationales.</w:t>
      </w:r>
    </w:p>
    <w:p>
      <w:r>
        <w:t>Enfin, le statut de Dakar doit être relié au pôle territorial ouest. Si Dakar est appelée à être locomotive, elle doit pouvoir exercer un leadership de coordination, mais aussi organiser la solidarité avec les territoires périphériques. La métropole ne doit pas seulement concentrer ; elle doit redistribuer, connecter, structurer et entraîner. Cette posture est essentielle pour éviter une opposition entre capitale et autres territoires. Dakar doit devenir un moteur de complémentarités, non un centre qui absorbe tout.</w:t>
      </w:r>
    </w:p>
    <w:p>
      <w:pPr>
        <w:pStyle w:val="Heading3"/>
      </w:pPr>
      <w:r>
        <w:t>Scénarios de statut à inscrire dans l’Acte IV</w:t>
      </w:r>
    </w:p>
    <w:p>
      <w:pPr/>
      <w:r>
        <w:t>La réforme doit éviter deux impasses : maintenir Dakar dans un régime trop ordinaire pour ses charges réelles, ou créer une nouvelle strate institutionnelle sans ressources et sans redevabilité. Trois scénarios peuvent être soumis au débat national, avec une préférence pour une solution hybride : un District spécial de Dakar exerçant les fonctions de pôle urbain métropolitain du Sénégal occidental.</w:t>
      </w:r>
      <w:r>
        <w:rPr>
          <w:rStyle w:val="FootnoteReference"/>
        </w:rPr>
        <w:footnoteReference w:id="18"/>
      </w:r>
    </w:p>
    <w:tbl>
      <w:tblPr>
        <w:tblW w:type="auto" w:w="0"/>
        <w:tblLayout w:type="fixed"/>
        <w:tblLook w:firstColumn="1" w:firstRow="1" w:lastColumn="0" w:lastRow="0" w:noHBand="0" w:noVBand="1" w:val="04A0"/>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340"/>
        <w:gridCol w:w="2340"/>
        <w:gridCol w:w="2340"/>
        <w:gridCol w:w="2340"/>
      </w:tblGrid>
      <w:tr>
        <w:trPr>
          <w:tblHeader w:val="true"/>
        </w:trPr>
        <w:tc>
          <w:tcPr>
            <w:tcW w:type="dxa" w:w="1944"/>
            <w:tcMar>
              <w:top w:w="120" w:type="dxa"/>
              <w:start w:w="120" w:type="dxa"/>
              <w:bottom w:w="120" w:type="dxa"/>
              <w:end w:w="120" w:type="dxa"/>
            </w:tcMar>
            <w:shd w:fill="1F4E79" w:val="clear" w:color="auto"/>
          </w:tcPr>
          <w:p>
            <w:pPr>
              <w:spacing w:after="40" w:line="240" w:lineRule="auto" w:before="0"/>
            </w:pPr>
            <w:r>
              <w:rPr>
                <w:b/>
                <w:color w:val="FFFFFF"/>
                <w:sz w:val="20"/>
              </w:rPr>
              <w:t>Scénario</w:t>
            </w:r>
          </w:p>
        </w:tc>
        <w:tc>
          <w:tcPr>
            <w:tcW w:type="dxa" w:w="2592"/>
            <w:tcMar>
              <w:top w:w="120" w:type="dxa"/>
              <w:start w:w="120" w:type="dxa"/>
              <w:bottom w:w="120" w:type="dxa"/>
              <w:end w:w="120" w:type="dxa"/>
            </w:tcMar>
            <w:shd w:fill="1F4E79" w:val="clear" w:color="auto"/>
          </w:tcPr>
          <w:p>
            <w:pPr>
              <w:spacing w:after="40" w:line="240" w:lineRule="auto" w:before="0"/>
            </w:pPr>
            <w:r>
              <w:rPr>
                <w:b/>
                <w:color w:val="FFFFFF"/>
                <w:sz w:val="20"/>
              </w:rPr>
              <w:t>Intérêt pour Dakar</w:t>
            </w:r>
          </w:p>
        </w:tc>
        <w:tc>
          <w:tcPr>
            <w:tcW w:type="dxa" w:w="3024"/>
            <w:tcMar>
              <w:top w:w="120" w:type="dxa"/>
              <w:start w:w="120" w:type="dxa"/>
              <w:bottom w:w="120" w:type="dxa"/>
              <w:end w:w="120" w:type="dxa"/>
            </w:tcMar>
            <w:shd w:fill="1F4E79" w:val="clear" w:color="auto"/>
          </w:tcPr>
          <w:p>
            <w:pPr>
              <w:spacing w:after="40" w:line="240" w:lineRule="auto" w:before="0"/>
            </w:pPr>
            <w:r>
              <w:rPr>
                <w:b/>
                <w:color w:val="FFFFFF"/>
                <w:sz w:val="20"/>
              </w:rPr>
              <w:t>Compétences clés</w:t>
            </w:r>
          </w:p>
        </w:tc>
        <w:tc>
          <w:tcPr>
            <w:tcW w:type="dxa" w:w="1944"/>
            <w:tcMar>
              <w:top w:w="120" w:type="dxa"/>
              <w:start w:w="120" w:type="dxa"/>
              <w:bottom w:w="120" w:type="dxa"/>
              <w:end w:w="120" w:type="dxa"/>
            </w:tcMar>
            <w:shd w:fill="1F4E79" w:val="clear" w:color="auto"/>
          </w:tcPr>
          <w:p>
            <w:pPr>
              <w:spacing w:after="40" w:line="240" w:lineRule="auto" w:before="0"/>
            </w:pPr>
            <w:r>
              <w:rPr>
                <w:b/>
                <w:color w:val="FFFFFF"/>
                <w:sz w:val="20"/>
              </w:rPr>
              <w:t>Vigilance</w:t>
            </w:r>
          </w:p>
        </w:tc>
      </w:tr>
      <w:tr>
        <w:tc>
          <w:tcPr>
            <w:tcW w:type="dxa" w:w="1944"/>
            <w:tcMar>
              <w:top w:w="120" w:type="dxa"/>
              <w:start w:w="120" w:type="dxa"/>
              <w:bottom w:w="120" w:type="dxa"/>
              <w:end w:w="120" w:type="dxa"/>
            </w:tcMar>
          </w:tcPr>
          <w:p>
            <w:pPr>
              <w:spacing w:after="40" w:line="240" w:lineRule="auto" w:before="0"/>
            </w:pPr>
            <w:r>
              <w:rPr>
                <w:sz w:val="20"/>
              </w:rPr>
              <w:t>District spécial de Dakar</w:t>
            </w:r>
          </w:p>
        </w:tc>
        <w:tc>
          <w:tcPr>
            <w:tcW w:type="dxa" w:w="2592"/>
            <w:tcMar>
              <w:top w:w="120" w:type="dxa"/>
              <w:start w:w="120" w:type="dxa"/>
              <w:bottom w:w="120" w:type="dxa"/>
              <w:end w:w="120" w:type="dxa"/>
            </w:tcMar>
          </w:tcPr>
          <w:p>
            <w:pPr>
              <w:spacing w:after="40" w:line="240" w:lineRule="auto" w:before="0"/>
            </w:pPr>
            <w:r>
              <w:rPr>
                <w:sz w:val="20"/>
              </w:rPr>
              <w:t>Reconnaître la fonction de capitale, la charge diplomatique, l’économie métropolitaine et les grands services urbains.</w:t>
            </w:r>
          </w:p>
        </w:tc>
        <w:tc>
          <w:tcPr>
            <w:tcW w:type="dxa" w:w="3024"/>
            <w:tcMar>
              <w:top w:w="120" w:type="dxa"/>
              <w:start w:w="120" w:type="dxa"/>
              <w:bottom w:w="120" w:type="dxa"/>
              <w:end w:w="120" w:type="dxa"/>
            </w:tcMar>
          </w:tcPr>
          <w:p>
            <w:pPr>
              <w:spacing w:after="40" w:line="240" w:lineRule="auto" w:before="0"/>
            </w:pPr>
            <w:r>
              <w:rPr>
                <w:sz w:val="20"/>
              </w:rPr>
              <w:t>Fiscalité urbaine différenciée, mobilité, grands équipements, données, PPP, finance climat, emprunt encadré.</w:t>
            </w:r>
          </w:p>
        </w:tc>
        <w:tc>
          <w:tcPr>
            <w:tcW w:type="dxa" w:w="1944"/>
            <w:tcMar>
              <w:top w:w="120" w:type="dxa"/>
              <w:start w:w="120" w:type="dxa"/>
              <w:bottom w:w="120" w:type="dxa"/>
              <w:end w:w="120" w:type="dxa"/>
            </w:tcMar>
          </w:tcPr>
          <w:p>
            <w:pPr>
              <w:spacing w:after="40" w:line="240" w:lineRule="auto" w:before="0"/>
            </w:pPr>
            <w:r>
              <w:rPr>
                <w:sz w:val="20"/>
              </w:rPr>
              <w:t>Préserver la démocratie locale et éviter une recentralisation masquée.</w:t>
            </w:r>
          </w:p>
        </w:tc>
      </w:tr>
      <w:tr>
        <w:tc>
          <w:tcPr>
            <w:tcW w:type="dxa" w:w="1944"/>
            <w:tcMar>
              <w:top w:w="120" w:type="dxa"/>
              <w:start w:w="120" w:type="dxa"/>
              <w:bottom w:w="120" w:type="dxa"/>
              <w:end w:w="120" w:type="dxa"/>
            </w:tcMar>
          </w:tcPr>
          <w:p>
            <w:pPr>
              <w:spacing w:after="40" w:line="240" w:lineRule="auto" w:before="0"/>
            </w:pPr>
            <w:r>
              <w:rPr>
                <w:sz w:val="20"/>
              </w:rPr>
              <w:t>Pôle urbain métropolitain</w:t>
            </w:r>
          </w:p>
        </w:tc>
        <w:tc>
          <w:tcPr>
            <w:tcW w:type="dxa" w:w="2592"/>
            <w:tcMar>
              <w:top w:w="120" w:type="dxa"/>
              <w:start w:w="120" w:type="dxa"/>
              <w:bottom w:w="120" w:type="dxa"/>
              <w:end w:w="120" w:type="dxa"/>
            </w:tcMar>
          </w:tcPr>
          <w:p>
            <w:pPr>
              <w:spacing w:after="40" w:line="240" w:lineRule="auto" w:before="0"/>
            </w:pPr>
            <w:r>
              <w:rPr>
                <w:sz w:val="20"/>
              </w:rPr>
              <w:t>Faire de Dakar le noyau fonctionnel du pôle territorial ouest, avec une gouvernance de coordination et de solidarité.</w:t>
            </w:r>
          </w:p>
        </w:tc>
        <w:tc>
          <w:tcPr>
            <w:tcW w:type="dxa" w:w="3024"/>
            <w:tcMar>
              <w:top w:w="120" w:type="dxa"/>
              <w:start w:w="120" w:type="dxa"/>
              <w:bottom w:w="120" w:type="dxa"/>
              <w:end w:w="120" w:type="dxa"/>
            </w:tcMar>
          </w:tcPr>
          <w:p>
            <w:pPr>
              <w:spacing w:after="40" w:line="240" w:lineRule="auto" w:before="0"/>
            </w:pPr>
            <w:r>
              <w:rPr>
                <w:sz w:val="20"/>
              </w:rPr>
              <w:t>Planification métropolitaine, voirie structurante, stationnement, déchets, événementiel, attractivité, data room.</w:t>
            </w:r>
          </w:p>
        </w:tc>
        <w:tc>
          <w:tcPr>
            <w:tcW w:type="dxa" w:w="1944"/>
            <w:tcMar>
              <w:top w:w="120" w:type="dxa"/>
              <w:start w:w="120" w:type="dxa"/>
              <w:bottom w:w="120" w:type="dxa"/>
              <w:end w:w="120" w:type="dxa"/>
            </w:tcMar>
          </w:tcPr>
          <w:p>
            <w:pPr>
              <w:spacing w:after="40" w:line="240" w:lineRule="auto" w:before="0"/>
            </w:pPr>
            <w:r>
              <w:rPr>
                <w:sz w:val="20"/>
              </w:rPr>
              <w:t>Ne pas créer un pôle sans budget, sans pouvoir d’arbitrage et sans indicateurs.</w:t>
            </w:r>
          </w:p>
        </w:tc>
      </w:tr>
      <w:tr>
        <w:tc>
          <w:tcPr>
            <w:tcW w:type="dxa" w:w="1944"/>
            <w:tcMar>
              <w:top w:w="120" w:type="dxa"/>
              <w:start w:w="120" w:type="dxa"/>
              <w:bottom w:w="120" w:type="dxa"/>
              <w:end w:w="120" w:type="dxa"/>
            </w:tcMar>
          </w:tcPr>
          <w:p>
            <w:pPr>
              <w:spacing w:after="40" w:line="240" w:lineRule="auto" w:before="0"/>
            </w:pPr>
            <w:r>
              <w:rPr>
                <w:sz w:val="20"/>
              </w:rPr>
              <w:t>Ville-capitale renforcée</w:t>
            </w:r>
          </w:p>
        </w:tc>
        <w:tc>
          <w:tcPr>
            <w:tcW w:type="dxa" w:w="2592"/>
            <w:tcMar>
              <w:top w:w="120" w:type="dxa"/>
              <w:start w:w="120" w:type="dxa"/>
              <w:bottom w:w="120" w:type="dxa"/>
              <w:end w:w="120" w:type="dxa"/>
            </w:tcMar>
          </w:tcPr>
          <w:p>
            <w:pPr>
              <w:spacing w:after="40" w:line="240" w:lineRule="auto" w:before="0"/>
            </w:pPr>
            <w:r>
              <w:rPr>
                <w:sz w:val="20"/>
              </w:rPr>
              <w:t>Améliorer le cadre actuel sans rupture institutionnelle lourde, en consolidant la Ville et ses relations avec les communes.</w:t>
            </w:r>
          </w:p>
        </w:tc>
        <w:tc>
          <w:tcPr>
            <w:tcW w:type="dxa" w:w="3024"/>
            <w:tcMar>
              <w:top w:w="120" w:type="dxa"/>
              <w:start w:w="120" w:type="dxa"/>
              <w:bottom w:w="120" w:type="dxa"/>
              <w:end w:w="120" w:type="dxa"/>
            </w:tcMar>
          </w:tcPr>
          <w:p>
            <w:pPr>
              <w:spacing w:after="40" w:line="240" w:lineRule="auto" w:before="0"/>
            </w:pPr>
            <w:r>
              <w:rPr>
                <w:sz w:val="20"/>
              </w:rPr>
              <w:t>Conventions Ville-communes, compétences mutualisées, fiscalité partagée, portefeuille de projets et reporting.</w:t>
            </w:r>
          </w:p>
        </w:tc>
        <w:tc>
          <w:tcPr>
            <w:tcW w:type="dxa" w:w="1944"/>
            <w:tcMar>
              <w:top w:w="120" w:type="dxa"/>
              <w:start w:w="120" w:type="dxa"/>
              <w:bottom w:w="120" w:type="dxa"/>
              <w:end w:w="120" w:type="dxa"/>
            </w:tcMar>
          </w:tcPr>
          <w:p>
            <w:pPr>
              <w:spacing w:after="40" w:line="240" w:lineRule="auto" w:before="0"/>
            </w:pPr>
            <w:r>
              <w:rPr>
                <w:sz w:val="20"/>
              </w:rPr>
              <w:t>Risque de rester insuffisant si les compétences et ressources ne sont pas explicitement transférées.</w:t>
            </w:r>
          </w:p>
        </w:tc>
      </w:tr>
    </w:tbl>
    <w:tbl>
      <w:tblPr>
        <w:tblW w:type="auto" w:w="0"/>
        <w:tblLayout w:type="fixed"/>
        <w:tblLook w:firstColumn="1" w:firstRow="1" w:lastColumn="0" w:lastRow="0" w:noHBand="0" w:noVBand="1" w:val="04A0"/>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216"/>
            <w:tcMar>
              <w:top w:w="120" w:type="dxa"/>
              <w:start w:w="120" w:type="dxa"/>
              <w:bottom w:w="120" w:type="dxa"/>
              <w:end w:w="120" w:type="dxa"/>
            </w:tcMar>
            <w:shd w:fill="F2F6FA" w:val="clear" w:color="auto"/>
          </w:tcPr>
          <w:p>
            <w:pPr>
              <w:spacing w:after="40" w:line="252" w:lineRule="auto"/>
            </w:pPr>
            <w:r>
              <w:rPr>
                <w:b/>
                <w:color w:val="1F4E79"/>
                <w:sz w:val="20"/>
              </w:rPr>
            </w:r>
            <w:r>
              <w:rPr>
                <w:b/>
                <w:color w:val="1F4E79"/>
                <w:sz w:val="20"/>
              </w:rPr>
              <w:t>PAROLE DES DISCUSSIONS</w:t>
            </w:r>
          </w:p>
          <w:p>
            <w:pPr>
              <w:spacing w:after="40" w:line="252" w:lineRule="auto"/>
            </w:pPr>
            <w:r>
              <w:rPr>
                <w:i/>
                <w:sz w:val="20"/>
              </w:rPr>
              <w:t>« Il est temps d’avoir une vision. Pour cela, il faut que Dakar ait un statut spécial, tout en laissant la population donner son avis. »</w:t>
            </w:r>
          </w:p>
          <w:p>
            <w:pPr>
              <w:spacing w:after="40" w:line="252" w:lineRule="auto"/>
              <w:jc w:val="right"/>
            </w:pPr>
            <w:r>
              <w:rPr>
                <w:i/>
                <w:sz w:val="20"/>
              </w:rPr>
              <w:t>Extrait des échanges, transcription nettoyée.</w:t>
            </w:r>
          </w:p>
        </w:tc>
      </w:tr>
    </w:tbl>
    <w:p>
      <w:pPr>
        <w:pStyle w:val="Heading3"/>
      </w:pPr>
      <w:r>
        <w:t>Compétences nouvelles à négocier</w:t>
      </w:r>
    </w:p>
    <w:p>
      <w:pPr/>
      <w:r>
        <w:t>Le statut ne doit pas être défendu comme un symbole, mais comme un contrat de compétences, de ressources et de redevabilité. L’Acte IV devrait donc préciser les blocs que Dakar peut exercer directement, ceux qui doivent être mutualisés avec les communes et ceux qui nécessitent un arbitrage de l’État.</w:t>
      </w:r>
    </w:p>
    <w:tbl>
      <w:tblPr>
        <w:tblW w:type="auto" w:w="0"/>
        <w:tblLayout w:type="fixed"/>
        <w:tblLook w:firstColumn="1" w:firstRow="1" w:lastColumn="0" w:lastRow="0" w:noHBand="0" w:noVBand="1" w:val="04A0"/>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120"/>
        <w:gridCol w:w="3120"/>
        <w:gridCol w:w="3120"/>
      </w:tblGrid>
      <w:tr>
        <w:trPr>
          <w:tblHeader w:val="true"/>
        </w:trPr>
        <w:tc>
          <w:tcPr>
            <w:tcW w:type="dxa" w:w="1944"/>
            <w:tcMar>
              <w:top w:w="120" w:type="dxa"/>
              <w:start w:w="120" w:type="dxa"/>
              <w:bottom w:w="120" w:type="dxa"/>
              <w:end w:w="120" w:type="dxa"/>
            </w:tcMar>
            <w:shd w:fill="1F4E79" w:val="clear" w:color="auto"/>
          </w:tcPr>
          <w:p>
            <w:pPr>
              <w:spacing w:after="40" w:line="240" w:lineRule="auto" w:before="0"/>
            </w:pPr>
            <w:r>
              <w:rPr>
                <w:b/>
                <w:color w:val="FFFFFF"/>
                <w:sz w:val="20"/>
              </w:rPr>
              <w:t>Bloc</w:t>
            </w:r>
          </w:p>
        </w:tc>
        <w:tc>
          <w:tcPr>
            <w:tcW w:type="dxa" w:w="4464"/>
            <w:tcMar>
              <w:top w:w="120" w:type="dxa"/>
              <w:start w:w="120" w:type="dxa"/>
              <w:bottom w:w="120" w:type="dxa"/>
              <w:end w:w="120" w:type="dxa"/>
            </w:tcMar>
            <w:shd w:fill="1F4E79" w:val="clear" w:color="auto"/>
          </w:tcPr>
          <w:p>
            <w:pPr>
              <w:spacing w:after="40" w:line="240" w:lineRule="auto" w:before="0"/>
            </w:pPr>
            <w:r>
              <w:rPr>
                <w:b/>
                <w:color w:val="FFFFFF"/>
                <w:sz w:val="20"/>
              </w:rPr>
              <w:t>Compétences à inscrire</w:t>
            </w:r>
          </w:p>
        </w:tc>
        <w:tc>
          <w:tcPr>
            <w:tcW w:type="dxa" w:w="2880"/>
            <w:tcMar>
              <w:top w:w="120" w:type="dxa"/>
              <w:start w:w="120" w:type="dxa"/>
              <w:bottom w:w="120" w:type="dxa"/>
              <w:end w:w="120" w:type="dxa"/>
            </w:tcMar>
            <w:shd w:fill="1F4E79" w:val="clear" w:color="auto"/>
          </w:tcPr>
          <w:p>
            <w:pPr>
              <w:spacing w:after="40" w:line="240" w:lineRule="auto" w:before="0"/>
            </w:pPr>
            <w:r>
              <w:rPr>
                <w:b/>
                <w:color w:val="FFFFFF"/>
                <w:sz w:val="20"/>
              </w:rPr>
              <w:t>Instruments proposés</w:t>
            </w:r>
          </w:p>
        </w:tc>
      </w:tr>
      <w:tr>
        <w:tc>
          <w:tcPr>
            <w:tcW w:type="dxa" w:w="1944"/>
            <w:tcMar>
              <w:top w:w="120" w:type="dxa"/>
              <w:start w:w="120" w:type="dxa"/>
              <w:bottom w:w="120" w:type="dxa"/>
              <w:end w:w="120" w:type="dxa"/>
            </w:tcMar>
          </w:tcPr>
          <w:p>
            <w:pPr>
              <w:spacing w:after="40" w:line="240" w:lineRule="auto" w:before="0"/>
            </w:pPr>
            <w:r>
              <w:rPr>
                <w:sz w:val="20"/>
              </w:rPr>
              <w:t>Fiscalité et valeur urbaine</w:t>
            </w:r>
          </w:p>
        </w:tc>
        <w:tc>
          <w:tcPr>
            <w:tcW w:type="dxa" w:w="4464"/>
            <w:tcMar>
              <w:top w:w="120" w:type="dxa"/>
              <w:start w:w="120" w:type="dxa"/>
              <w:bottom w:w="120" w:type="dxa"/>
              <w:end w:w="120" w:type="dxa"/>
            </w:tcMar>
          </w:tcPr>
          <w:p>
            <w:pPr>
              <w:spacing w:after="40" w:line="240" w:lineRule="auto" w:before="0"/>
            </w:pPr>
            <w:r>
              <w:rPr>
                <w:sz w:val="20"/>
              </w:rPr>
              <w:t>Cadastre fiscal, e-taxe, fiscalité foncière, stationnement, publicité, occupation du domaine public, fiscalité événementielle.</w:t>
            </w:r>
          </w:p>
        </w:tc>
        <w:tc>
          <w:tcPr>
            <w:tcW w:type="dxa" w:w="2880"/>
            <w:tcMar>
              <w:top w:w="120" w:type="dxa"/>
              <w:start w:w="120" w:type="dxa"/>
              <w:bottom w:w="120" w:type="dxa"/>
              <w:end w:w="120" w:type="dxa"/>
            </w:tcMar>
          </w:tcPr>
          <w:p>
            <w:pPr>
              <w:spacing w:after="40" w:line="240" w:lineRule="auto" w:before="0"/>
            </w:pPr>
            <w:r>
              <w:rPr>
                <w:sz w:val="20"/>
              </w:rPr>
              <w:t>Protocole DGID-Ville, compte contribuable, barèmes transparents, tableaux de recouvrement.</w:t>
            </w:r>
          </w:p>
        </w:tc>
      </w:tr>
      <w:tr>
        <w:tc>
          <w:tcPr>
            <w:tcW w:type="dxa" w:w="1944"/>
            <w:tcMar>
              <w:top w:w="120" w:type="dxa"/>
              <w:start w:w="120" w:type="dxa"/>
              <w:bottom w:w="120" w:type="dxa"/>
              <w:end w:w="120" w:type="dxa"/>
            </w:tcMar>
          </w:tcPr>
          <w:p>
            <w:pPr>
              <w:spacing w:after="40" w:line="240" w:lineRule="auto" w:before="0"/>
            </w:pPr>
            <w:r>
              <w:rPr>
                <w:sz w:val="20"/>
              </w:rPr>
              <w:t>Transport et mobilité</w:t>
            </w:r>
          </w:p>
        </w:tc>
        <w:tc>
          <w:tcPr>
            <w:tcW w:type="dxa" w:w="4464"/>
            <w:tcMar>
              <w:top w:w="120" w:type="dxa"/>
              <w:start w:w="120" w:type="dxa"/>
              <w:bottom w:w="120" w:type="dxa"/>
              <w:end w:w="120" w:type="dxa"/>
            </w:tcMar>
          </w:tcPr>
          <w:p>
            <w:pPr>
              <w:spacing w:after="40" w:line="240" w:lineRule="auto" w:before="0"/>
            </w:pPr>
            <w:r>
              <w:rPr>
                <w:sz w:val="20"/>
              </w:rPr>
              <w:t>Coordination des gares, stationnement, voirie structurante, mobilité bas carbone et information voyageurs.</w:t>
            </w:r>
          </w:p>
        </w:tc>
        <w:tc>
          <w:tcPr>
            <w:tcW w:type="dxa" w:w="2880"/>
            <w:tcMar>
              <w:top w:w="120" w:type="dxa"/>
              <w:start w:w="120" w:type="dxa"/>
              <w:bottom w:w="120" w:type="dxa"/>
              <w:end w:w="120" w:type="dxa"/>
            </w:tcMar>
          </w:tcPr>
          <w:p>
            <w:pPr>
              <w:spacing w:after="40" w:line="240" w:lineRule="auto" w:before="0"/>
            </w:pPr>
            <w:r>
              <w:rPr>
                <w:sz w:val="20"/>
              </w:rPr>
              <w:t>Autorité de mobilité urbaine, conventions avec l’État, les communes et les opérateurs.</w:t>
            </w:r>
          </w:p>
        </w:tc>
      </w:tr>
      <w:tr>
        <w:tc>
          <w:tcPr>
            <w:tcW w:type="dxa" w:w="1944"/>
            <w:tcMar>
              <w:top w:w="120" w:type="dxa"/>
              <w:start w:w="120" w:type="dxa"/>
              <w:bottom w:w="120" w:type="dxa"/>
              <w:end w:w="120" w:type="dxa"/>
            </w:tcMar>
          </w:tcPr>
          <w:p>
            <w:pPr>
              <w:spacing w:after="40" w:line="240" w:lineRule="auto" w:before="0"/>
            </w:pPr>
            <w:r>
              <w:rPr>
                <w:sz w:val="20"/>
              </w:rPr>
              <w:t>Finances et levée de fonds</w:t>
            </w:r>
          </w:p>
        </w:tc>
        <w:tc>
          <w:tcPr>
            <w:tcW w:type="dxa" w:w="4464"/>
            <w:tcMar>
              <w:top w:w="120" w:type="dxa"/>
              <w:start w:w="120" w:type="dxa"/>
              <w:bottom w:w="120" w:type="dxa"/>
              <w:end w:w="120" w:type="dxa"/>
            </w:tcMar>
          </w:tcPr>
          <w:p>
            <w:pPr>
              <w:spacing w:after="40" w:line="240" w:lineRule="auto" w:before="0"/>
            </w:pPr>
            <w:r>
              <w:rPr>
                <w:sz w:val="20"/>
              </w:rPr>
              <w:t>Emprunt encadré, obligations vertes, fonds de préparation, diaspora bonds locaux, garanties et financements mixtes.</w:t>
            </w:r>
          </w:p>
        </w:tc>
        <w:tc>
          <w:tcPr>
            <w:tcW w:type="dxa" w:w="2880"/>
            <w:tcMar>
              <w:top w:w="120" w:type="dxa"/>
              <w:start w:w="120" w:type="dxa"/>
              <w:bottom w:w="120" w:type="dxa"/>
              <w:end w:w="120" w:type="dxa"/>
            </w:tcMar>
          </w:tcPr>
          <w:p>
            <w:pPr>
              <w:spacing w:after="40" w:line="240" w:lineRule="auto" w:before="0"/>
            </w:pPr>
            <w:r>
              <w:rPr>
                <w:sz w:val="20"/>
              </w:rPr>
              <w:t>Notation, audits, plafond de dette, règles de soutenabilité, portefeuille bancable.</w:t>
            </w:r>
          </w:p>
        </w:tc>
      </w:tr>
      <w:tr>
        <w:tc>
          <w:tcPr>
            <w:tcW w:type="dxa" w:w="1944"/>
            <w:tcMar>
              <w:top w:w="120" w:type="dxa"/>
              <w:start w:w="120" w:type="dxa"/>
              <w:bottom w:w="120" w:type="dxa"/>
              <w:end w:w="120" w:type="dxa"/>
            </w:tcMar>
          </w:tcPr>
          <w:p>
            <w:pPr>
              <w:spacing w:after="40" w:line="240" w:lineRule="auto" w:before="0"/>
            </w:pPr>
            <w:r>
              <w:rPr>
                <w:sz w:val="20"/>
              </w:rPr>
              <w:t>PPP et projets structurants</w:t>
            </w:r>
          </w:p>
        </w:tc>
        <w:tc>
          <w:tcPr>
            <w:tcW w:type="dxa" w:w="4464"/>
            <w:tcMar>
              <w:top w:w="120" w:type="dxa"/>
              <w:start w:w="120" w:type="dxa"/>
              <w:bottom w:w="120" w:type="dxa"/>
              <w:end w:w="120" w:type="dxa"/>
            </w:tcMar>
          </w:tcPr>
          <w:p>
            <w:pPr>
              <w:spacing w:after="40" w:line="240" w:lineRule="auto" w:before="0"/>
            </w:pPr>
            <w:r>
              <w:rPr>
                <w:sz w:val="20"/>
              </w:rPr>
              <w:t>Préparation, passation, suivi et évaluation des PPP à paiement public ou par les usagers.</w:t>
            </w:r>
          </w:p>
        </w:tc>
        <w:tc>
          <w:tcPr>
            <w:tcW w:type="dxa" w:w="2880"/>
            <w:tcMar>
              <w:top w:w="120" w:type="dxa"/>
              <w:start w:w="120" w:type="dxa"/>
              <w:bottom w:w="120" w:type="dxa"/>
              <w:end w:w="120" w:type="dxa"/>
            </w:tcMar>
          </w:tcPr>
          <w:p>
            <w:pPr>
              <w:spacing w:after="40" w:line="240" w:lineRule="auto" w:before="0"/>
            </w:pPr>
            <w:r>
              <w:rPr>
                <w:sz w:val="20"/>
              </w:rPr>
              <w:t>Point focal PPP, appui UNAPPP, data room, études préalables, comité de suivi.</w:t>
            </w:r>
          </w:p>
        </w:tc>
      </w:tr>
      <w:tr>
        <w:tc>
          <w:tcPr>
            <w:tcW w:type="dxa" w:w="1944"/>
            <w:tcMar>
              <w:top w:w="120" w:type="dxa"/>
              <w:start w:w="120" w:type="dxa"/>
              <w:bottom w:w="120" w:type="dxa"/>
              <w:end w:w="120" w:type="dxa"/>
            </w:tcMar>
          </w:tcPr>
          <w:p>
            <w:pPr>
              <w:spacing w:after="40" w:line="240" w:lineRule="auto" w:before="0"/>
            </w:pPr>
            <w:r>
              <w:rPr>
                <w:sz w:val="20"/>
              </w:rPr>
              <w:t>Planification et urbanisme</w:t>
            </w:r>
          </w:p>
        </w:tc>
        <w:tc>
          <w:tcPr>
            <w:tcW w:type="dxa" w:w="4464"/>
            <w:tcMar>
              <w:top w:w="120" w:type="dxa"/>
              <w:start w:w="120" w:type="dxa"/>
              <w:bottom w:w="120" w:type="dxa"/>
              <w:end w:w="120" w:type="dxa"/>
            </w:tcMar>
          </w:tcPr>
          <w:p>
            <w:pPr>
              <w:spacing w:after="40" w:line="240" w:lineRule="auto" w:before="0"/>
            </w:pPr>
            <w:r>
              <w:rPr>
                <w:sz w:val="20"/>
              </w:rPr>
              <w:t>Schéma métropolitain, grands équipements, cohérence des permis, espaces publics et patrimoine.</w:t>
            </w:r>
          </w:p>
        </w:tc>
        <w:tc>
          <w:tcPr>
            <w:tcW w:type="dxa" w:w="2880"/>
            <w:tcMar>
              <w:top w:w="120" w:type="dxa"/>
              <w:start w:w="120" w:type="dxa"/>
              <w:bottom w:w="120" w:type="dxa"/>
              <w:end w:w="120" w:type="dxa"/>
            </w:tcMar>
          </w:tcPr>
          <w:p>
            <w:pPr>
              <w:spacing w:after="40" w:line="240" w:lineRule="auto" w:before="0"/>
            </w:pPr>
            <w:r>
              <w:rPr>
                <w:sz w:val="20"/>
              </w:rPr>
              <w:t>Conférence Ville-communes, SIG, conventions de coopération et arbitrage État.</w:t>
            </w:r>
          </w:p>
        </w:tc>
      </w:tr>
      <w:tr>
        <w:tc>
          <w:tcPr>
            <w:tcW w:type="dxa" w:w="1944"/>
            <w:tcMar>
              <w:top w:w="120" w:type="dxa"/>
              <w:start w:w="120" w:type="dxa"/>
              <w:bottom w:w="120" w:type="dxa"/>
              <w:end w:w="120" w:type="dxa"/>
            </w:tcMar>
          </w:tcPr>
          <w:p>
            <w:pPr>
              <w:spacing w:after="40" w:line="240" w:lineRule="auto" w:before="0"/>
            </w:pPr>
            <w:r>
              <w:rPr>
                <w:sz w:val="20"/>
              </w:rPr>
              <w:t>Données, GAR et redevabilité</w:t>
            </w:r>
          </w:p>
        </w:tc>
        <w:tc>
          <w:tcPr>
            <w:tcW w:type="dxa" w:w="4464"/>
            <w:tcMar>
              <w:top w:w="120" w:type="dxa"/>
              <w:start w:w="120" w:type="dxa"/>
              <w:bottom w:w="120" w:type="dxa"/>
              <w:end w:w="120" w:type="dxa"/>
            </w:tcMar>
          </w:tcPr>
          <w:p>
            <w:pPr>
              <w:spacing w:after="40" w:line="240" w:lineRule="auto" w:before="0"/>
            </w:pPr>
            <w:r>
              <w:rPr>
                <w:sz w:val="20"/>
              </w:rPr>
              <w:t>Budget-programme, indicateurs, rapport de performance, partage de données fiscales, foncières, climatiques et RH.</w:t>
            </w:r>
          </w:p>
        </w:tc>
        <w:tc>
          <w:tcPr>
            <w:tcW w:type="dxa" w:w="2880"/>
            <w:tcMar>
              <w:top w:w="120" w:type="dxa"/>
              <w:start w:w="120" w:type="dxa"/>
              <w:bottom w:w="120" w:type="dxa"/>
              <w:end w:w="120" w:type="dxa"/>
            </w:tcMar>
          </w:tcPr>
          <w:p>
            <w:pPr>
              <w:spacing w:after="40" w:line="240" w:lineRule="auto" w:before="0"/>
            </w:pPr>
            <w:r>
              <w:rPr>
                <w:sz w:val="20"/>
              </w:rPr>
              <w:t>Cellule GAR-données-projets, tableau de bord, revue trimestrielle, publication annuelle.</w:t>
            </w:r>
          </w:p>
        </w:tc>
      </w:tr>
      <w:tr>
        <w:tc>
          <w:tcPr>
            <w:tcW w:type="dxa" w:w="1944"/>
            <w:tcMar>
              <w:top w:w="120" w:type="dxa"/>
              <w:start w:w="120" w:type="dxa"/>
              <w:bottom w:w="120" w:type="dxa"/>
              <w:end w:w="120" w:type="dxa"/>
            </w:tcMar>
          </w:tcPr>
          <w:p>
            <w:pPr>
              <w:spacing w:after="40" w:line="240" w:lineRule="auto" w:before="0"/>
            </w:pPr>
            <w:r>
              <w:rPr>
                <w:sz w:val="20"/>
              </w:rPr>
              <w:t>Climat, littoral et résilience</w:t>
            </w:r>
          </w:p>
        </w:tc>
        <w:tc>
          <w:tcPr>
            <w:tcW w:type="dxa" w:w="4464"/>
            <w:tcMar>
              <w:top w:w="120" w:type="dxa"/>
              <w:start w:w="120" w:type="dxa"/>
              <w:bottom w:w="120" w:type="dxa"/>
              <w:end w:w="120" w:type="dxa"/>
            </w:tcMar>
          </w:tcPr>
          <w:p>
            <w:pPr>
              <w:spacing w:after="40" w:line="240" w:lineRule="auto" w:before="0"/>
            </w:pPr>
            <w:r>
              <w:rPr>
                <w:sz w:val="20"/>
              </w:rPr>
              <w:t>MRV climat, drainage, littoral, espaces verts, déchets, efficacité énergétique et finance verte.</w:t>
            </w:r>
          </w:p>
        </w:tc>
        <w:tc>
          <w:tcPr>
            <w:tcW w:type="dxa" w:w="2880"/>
            <w:tcMar>
              <w:top w:w="120" w:type="dxa"/>
              <w:start w:w="120" w:type="dxa"/>
              <w:bottom w:w="120" w:type="dxa"/>
              <w:end w:w="120" w:type="dxa"/>
            </w:tcMar>
          </w:tcPr>
          <w:p>
            <w:pPr>
              <w:spacing w:after="40" w:line="240" w:lineRule="auto" w:before="0"/>
            </w:pPr>
            <w:r>
              <w:rPr>
                <w:sz w:val="20"/>
              </w:rPr>
              <w:t>Portefeuille PCET, dossiers fonds climat, indicateurs MRV, conventions avec C40 et partenaires.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r>
        <w:t>2. Institutionnaliser la gestion axée sur les résultats</w:t>
      </w:r>
    </w:p>
    <w:p>
      <w:r>
        <w:t>La GAR a été l’un des axes les plus structurants des journées. Elle a été présentée non comme une technique administrative de plus, mais comme une nouvelle culture de gouvernance. Son objectif est de relier la vision politique, la programmation administrative, l’allocation budgétaire, le suivi de l’exécution et la mesure des impacts. Pour Dakar, elle peut devenir un levier de crédibilité, de transparence et de mobilisation des ressources.</w:t>
      </w:r>
    </w:p>
    <w:p>
      <w:r>
        <w:t>La situation actuelle décrite dans les supports montre une prédominance du budget de moyens. Les crédits sont affectés par directions, lignes et natures de dépenses, ce qui permet de fonctionner mais ne permet pas toujours de dire clairement quels résultats sont attendus. Cette logique limite la capacité du décideur à arbitrer en fonction de l’impact, du citoyen à comprendre l’utilisation des ressources, et du partenaire financier à apprécier la performance institutionnelle.</w:t>
      </w:r>
    </w:p>
    <w:p>
      <w:r>
        <w:t>Le budget-programme introduit une autre logique. Il ne s’agit plus seulement de savoir combien reçoit une direction, mais quel programme municipal est financé, quel problème il traite, quelle population il cible, quels résultats il vise, quels indicateurs seront suivis et qui sera responsable de l’exécution. Cette approche rend possible une lecture transversale des politiques publiques : un programme de cadre de vie peut mobiliser plusieurs directions ; un programme de jeunesse peut croiser formation, culture, sport et emploi ; un programme de résilience peut associer environnement, urbanisme, assainissement et coopération internationale.</w:t>
      </w:r>
    </w:p>
    <w:p>
      <w:r>
        <w:t>Pour être crédible, la GAR doit être institutionnalisée. Une simple formation ne suffira pas. Il faut une décision municipale, une cellule technique, une méthode commune, des outils numériques, des responsables de programme et un calendrier de suivi. La Ville pourrait commencer par quelques programmes pilotes avant de généraliser l’approche : cadre de vie et propreté, mobilité et voirie, jeunesse et emploi, adaptation climatique, attractivité et coopération, gouvernance et performance interne.</w:t>
      </w:r>
    </w:p>
    <w:p>
      <w:r>
        <w:t>Le suivi-évaluation doit être conçu comme un outil de décision, non comme une formalité de rapportage. Les indicateurs doivent être choisis avec rigueur. Trop d’indicateurs tuent le pilotage ; trop peu empêchent de comprendre les effets. Il faut distinguer les indicateurs de moyens, d’activités, de produits, de résultats et d’impacts. Le nombre de kilomètres de voirie rénovée est un produit ; la réduction du temps de déplacement ou l’amélioration de la satisfaction des usagers sont des résultats ; l’augmentation de l’activité économique ou de l’accès aux services relève de l’impact.</w:t>
      </w:r>
    </w:p>
    <w:p>
      <w:r>
        <w:t>La transparence des données doit accompagner cette réforme. Un tableau de bord public, même progressif, renforcerait la confiance. Il pourrait présenter les projets prioritaires, leur état d’avancement, le budget prévu, le budget exécuté, les résultats attendus et les alertes. Cette transparence permettrait de structurer le contrôle citoyen, d’éviter les rumeurs et de montrer que l’administration municipale accepte d’être évaluée sur des faits.</w:t>
      </w:r>
    </w:p>
    <w:p>
      <w:r>
        <w:t>La GAR est également un instrument de financement. Les bailleurs, investisseurs, partenaires privés et fonds climat demandent des cadres logiques, des indicateurs, des preuves de capacité d’exécution, des systèmes de suivi et des garanties de redevabilité. Une Ville capable de produire des rapports de performance crédibles pourra mieux négocier. La GAR prépare donc Dakar à passer d’une logique de demande de financement à une logique de présentation de projets structurés.</w:t>
      </w:r>
    </w:p>
    <w:p>
      <w:r>
        <w:t>La réussite de la GAR dépendra enfin du capital humain. Les agents doivent comprendre la méthode, mais aussi se l’approprier. Certains devront devenir responsables de programme, chefs de projet, analystes de données, spécialistes suivi-évaluation ou référents qualité. Cette évolution peut valoriser les compétences internes et donner aux cadres municipaux une place centrale dans la transformation de la Ville.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r>
        <w:t>3. Construire une autonomie financière crédible et équitable</w:t>
      </w:r>
    </w:p>
    <w:p>
      <w:r>
        <w:t>L’autonomie financière de Dakar ne peut être réduite à la hausse mécanique des recettes. Elle suppose une relation cohérente entre compétences, assiette fiscale, recouvrement, dépense, investissement et confiance citoyenne. Les panels consacrés aux ressources et aux financements innovants montrent que la Ville dispose d’un potentiel réel, mais que ce potentiel est dispersé, partiellement maîtrisé et insuffisamment transformé en capacité d’investissement durable.</w:t>
      </w:r>
    </w:p>
    <w:p>
      <w:r>
        <w:t>Le premier chantier est la connaissance de l’assiette. Une collectivité ne peut pas optimiser ce qu’elle ne connaît pas. Le foncier bâti est apparu comme un exemple central : la ville voit les immeubles se multiplier, mais la fiscalité correspondante ne reflète pas toujours cette transformation. La construction d’un cadastre fiscal municipal ou métropolitain, articulé avec les services de l’État et les communes, constitue donc une priorité. Ce cadastre doit combiner données foncières, données d’urbanisme, géolocalisation, identification des contribuables et historique de recouvrement.</w:t>
      </w:r>
    </w:p>
    <w:p>
      <w:r>
        <w:t>Le deuxième chantier est le recouvrement. Les documents insistent sur les limites des méthodes classiques, surtout pour les petites cotes dont le coût de recouvrement peut être supérieur au rendement immédiat. Les plateformes numériques, le paiement mobile, les messages ciblés, les échéanciers automatiques et l’interconnexion avec les bases de données peuvent améliorer le civisme fiscal sans transformer la relation fiscale en confrontation. La proximité numérique peut compléter la proximité administrative.</w:t>
      </w:r>
    </w:p>
    <w:p>
      <w:r>
        <w:t>Le troisième chantier est la lisibilité fiscale. Un système trop complexe décourage le contribuable et rend la redevabilité difficile. Les citoyens acceptent plus facilement l’impôt lorsqu’ils comprennent ce qu’ils paient, pourquoi ils le paient, comment ils peuvent le payer et ce que la collectivité en fait. La Ville devrait donc accompagner la modernisation fiscale par une communication simple, des services d’assistance, des campagnes pédagogiques et une publication régulière des résultats obtenus grâce aux recettes locales.</w:t>
      </w:r>
    </w:p>
    <w:p>
      <w:r>
        <w:t>Le quatrième chantier est la dépense. La recherche de ressources additionnelles doit s’accompagner d’une meilleure utilisation des ressources disponibles. Une dépense mal ciblée, répétitive ou non coordonnée réduit la capacité d’investissement autant qu’une recette non collectée. La GAR, les ratios financiers, les audits de dépenses et la programmation pluriannuelle doivent donc être intégrés à la stratégie de mobilisation des ressources.</w:t>
      </w:r>
    </w:p>
    <w:p>
      <w:r>
        <w:t>L’autonomie financière exige aussi une diversification. Dakar peut développer des recettes liées au stationnement, à l’occupation du domaine public, à la valorisation du patrimoine, aux services urbains, à l’économie culturelle et événementielle, aux partenariats avec les entreprises implantées sur son territoire, et à la coopération internationale. Mais chaque nouveau levier doit être encadré pour éviter l’informel, l’opacité ou la concurrence entre communes.</w:t>
      </w:r>
    </w:p>
    <w:p>
      <w:r>
        <w:t>L’équité doit rester au centre de la stratégie. Les ressources ne doivent pas être mobilisées de manière aveugle. La fiscalité locale doit tenir compte des capacités contributives, de la qualité du service rendu, de la répartition territoriale des équipements et des besoins sociaux. La digitalisation ne doit pas exclure les personnes éloignées du numérique ; les réformes foncières ne doivent pas ignorer les ménages vulnérables ; la valorisation du domaine public ne doit pas supprimer les usages sociaux sans solution.</w:t>
      </w:r>
    </w:p>
    <w:p>
      <w:r>
        <w:t>Enfin, la Ville doit construire une stratégie de recettes à moyen terme adaptée à son contexte. Cette stratégie pourrait fixer des objectifs par grande catégorie de ressources, identifier les niches à fort potentiel, définir les responsabilités administratives, programmer les investissements numériques et prévoir un mécanisme de suivi trimestriel. Elle constituerait le pendant financier de la vision métropolitaine.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r>
        <w:t>4. Passer des financements innovants aux projets bancables</w:t>
      </w:r>
    </w:p>
    <w:p>
      <w:r>
        <w:t>Les financements innovants occupent une place centrale dans les discussions, mais les panels ont évité l’écueil d’une vision magique des PPP ou des fonds climat. Le message est clair : les financements existent, mais ils vont vers les projets crédibles. Dakar ne doit donc pas seulement chercher de l’argent ; elle doit construire des projets techniquement solides, financièrement soutenables, socialement utiles et politiquement assumés.</w:t>
      </w:r>
    </w:p>
    <w:p>
      <w:r>
        <w:t>Le premier besoin est la préparation des projets. Un projet bancable n’est pas une idée, ni même une priorité politique. C’est un ensemble documenté comprenant un diagnostic, une justification, une étude de faisabilité, un modèle économique, une analyse des risques, une estimation des coûts, un calendrier, une gouvernance, un mécanisme de suivi et une mesure des impacts. Cette exigence vaut pour les PPP, les financements climat, les marchés financiers et les partenariats internationaux.</w:t>
      </w:r>
    </w:p>
    <w:p>
      <w:r>
        <w:t>La Ville devrait constituer un portefeuille de projets structuré. Ce portefeuille permettrait de classer les initiatives selon leur maturité : idée à explorer, projet à pré-faisabilité, projet à faisabilité, projet en recherche de financement, projet en transaction, projet en exécution. Une telle classification éviterait de présenter toutes les idées comme immédiatement finançables. Elle permettrait aussi de cibler l’assistance technique là où elle produit le plus d’effet.</w:t>
      </w:r>
    </w:p>
    <w:p>
      <w:r>
        <w:t>Les PPP doivent être utilisés de manière sélective. Ils peuvent être pertinents pour des infrastructures génératrices de revenus, des équipements urbains, des parkings, marchés, gares routières, services énergétiques, projets de valorisation foncière ou équipements à forte demande. Ils sont moins adaptés lorsque le service est socialement indispensable mais peu monétisable, sauf si un mécanisme de paiement public ou de subvention d’équilibre est prévu. L’analyse de la soutenabilité budgétaire est donc essentielle.</w:t>
      </w:r>
    </w:p>
    <w:p>
      <w:r>
        <w:t>La valorisation du patrimoine communal est une piste puissante mais sensible. Le foncier public peut permettre de réduire les besoins de financement direct et d’améliorer la bancabilité de projets. Mais cette valorisation doit se faire sans brader les actifs, sans opacité et sans priver les générations futures de ressources stratégiques. Le modèle proposé autour d’une holding municipale ou d’un véhicule de développement suppose une gouvernance professionnelle, des règles de transparence et une séparation claire entre propriété publique et exploitation économique.</w:t>
      </w:r>
    </w:p>
    <w:p>
      <w:r>
        <w:t>La finance climat nécessite une autre forme de bancabilité. Les projets d’adaptation produisent souvent des bénéfices sociaux, environnementaux et sanitaires difficiles à monétiser directement. Il faut donc documenter les pertes évitées, les populations protégées, les émissions réduites, les surfaces végétalisées, les eaux pluviales valorisées, les risques côtiers diminués et les effets sur le cadre de vie. Les données climatiques et économiques deviennent ici déterminantes.</w:t>
      </w:r>
    </w:p>
    <w:p>
      <w:r>
        <w:t>La Ville gagnerait à développer une cellule de préparation de projets et de financements innovants. Cette cellule travaillerait avec les directions techniques, la DAF, la planification, la coopération internationale, les juristes et les partenaires externes. Elle aurait pour rôle de transformer les priorités en projets présentables, de choisir le bon mode de financement, de préparer les dossiers, de coordonner les études et de suivre les transactions.</w:t>
      </w:r>
    </w:p>
    <w:p>
      <w:r>
        <w:t>Enfin, les financements innovants doivent être reliés à la redevabilité. Les PPP et fonds externes peuvent susciter de la méfiance s’ils ne sont pas expliqués. Les citoyens doivent comprendre pourquoi un projet est confié à un partenaire privé, quels risques sont transférés, quels revenus sont attendus, quelles garanties protègent l’intérêt public et comment la Ville contrôlera la qualité du service. La transparence contractuelle devient une condition de légitimité.</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r>
        <w:t>5. Faire du capital humain le moteur de la réforme municipale</w:t>
      </w:r>
    </w:p>
    <w:p>
      <w:r>
        <w:t>Le volet capital humain donne une profondeur particulière au rapport. Les débats institutionnels et financiers peuvent parfois donner l’impression que la transformation dépend surtout des textes, des budgets ou des partenaires. L’analyse rappelle que la transformation dépend aussi des agents, des cadres, des élus et de leur capacité collective à apprendre, décider, exécuter, évaluer et innover.</w:t>
      </w:r>
    </w:p>
    <w:p>
      <w:r>
        <w:t>La Ville de Dakar dispose d’un capital humain reconnu. Les échanges mettent en évidence la qualité des compétences municipales, la mémoire institutionnelle, les parcours professionnels construits au sein de l’administration et la capacité de formation de l’institution. Cette force doit être organisée et valorisée par des dispositifs objectifs de gestion des compétences.</w:t>
      </w:r>
    </w:p>
    <w:p>
      <w:r>
        <w:t>La première priorité est l’audit des compétences. Il ne s’agit pas seulement de compter les agents par statut, grade ou ancienneté. Il faut identifier les formations, expériences, savoir-faire, compétences numériques, capacités linguistiques, expertise en projets, en fiscalité, en urbanisme, en coopération, en climat, en gestion financière ou en animation communautaire. Cette cartographie permettrait de mieux affecter les personnes, d’organiser la mobilité et de préparer les besoins futurs.</w:t>
      </w:r>
    </w:p>
    <w:p>
      <w:r>
        <w:t>La GPEC doit devenir un outil de pilotage. Dakar ne peut pas attendre que les besoins apparaissent pour former. Les métiers municipaux évoluent : analyste de données territoriales, chargé de projets climat, spécialiste PPP, gestionnaire de contrats, médiateur numérique, responsable de programme GAR, expert en attractivité, gestionnaire de patrimoine, chargé d’évaluation. La Ville doit anticiper ces profils et construire des parcours internes.</w:t>
      </w:r>
    </w:p>
    <w:p>
      <w:r>
        <w:t>La formation continue doit être reliée aux priorités de la Ville. Former pour former ne suffit pas. Chaque action de formation devrait correspondre à un programme municipal, à une compétence stratégique ou à une réforme en cours. Les formations sur la GAR doivent accompagner le budget-programme ; les formations sur la fiscalité doivent soutenir la stratégie de recettes ; les formations sur le PPP doivent nourrir le portefeuille de projets ; les formations sur la coopération doivent renforcer la marque territoriale.</w:t>
      </w:r>
    </w:p>
    <w:p>
      <w:r>
        <w:t>La motivation des agents est un enjeu de performance. Les échanges ont évoqué les conditions de travail, les rémunérations, la reconnaissance, la situation des volontaires, la valorisation des acquis et les perspectives de carrière. Un agent compétent mais démotivé ne produira pas durablement des résultats. La réforme RH doit donc combiner outils techniques et justice organisationnelle. La transparence des critères de promotion, de mobilité, de formation et de responsabilisation est essentielle.</w:t>
      </w:r>
    </w:p>
    <w:p>
      <w:r>
        <w:t>La digitalisation RH peut devenir un socle de modernisation. Un système d’information RH fiable permettrait de suivre les carrières, les formations, les compétences, les évaluations, les mobilités et les besoins. Il faciliterait la planification et réduirait les risques de décisions informelles. Mais la digitalisation ne doit pas être seulement un logiciel ; elle doit être accompagnée d’une clarification des processus, d’une formation des utilisateurs et d’une culture de la donnée.</w:t>
      </w:r>
    </w:p>
    <w:p>
      <w:r>
        <w:t>Enfin, l’administration municipale doit organiser une production régulière de connaissance professionnelle. Cette capacité de réflexion doit être institutionnalisée : cercles de pratiques, notes de politique publique, retours d’expérience, capitalisation des projets, mentorat professionnel, partenariats avec universités et centres de recherche. Une ville apprenante est une ville qui transforme son expérience en connaissance.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2"/>
      </w:pPr>
      <w:r>
        <w:t>6. Organiser le rayonnement international autour d’une marque territoriale</w:t>
      </w:r>
    </w:p>
    <w:p>
      <w:r>
        <w:t>Le rayonnement de Dakar ne part pas de zéro. La ville possède une histoire, une position géographique, une charge symbolique et des réseaux qui en font déjà une référence. Mais les panels ont montré que ce capital doit être organisé. Dans un monde où les villes se concurrencent pour attirer événements, investisseurs, touristes, talents, étudiants, financements climat et partenariats, l’attractivité doit devenir une politique publique municipale.</w:t>
      </w:r>
    </w:p>
    <w:p>
      <w:r>
        <w:t>L’histoire de Dakar doit être traitée comme une ressource stratégique. La trajectoire de ville-capitale, l’inscription dans l’histoire atlantique, le rôle du port, les fonctions administratives, diplomatiques et culturelles, les patrimoines matériels et immatériels, les marchés, les quartiers historiques, Gorée, le Plateau, la Médina, les lieux de création et les mémoires urbaines peuvent former un récit cohérent. Ce récit doit nourrir les circuits touristiques, l’éducation citoyenne, la signalétique urbaine, les événements et la marque territoriale.</w:t>
      </w:r>
    </w:p>
    <w:p>
      <w:r>
        <w:t>La marque territoriale Dakar doit être construite à partir d’atouts réels. Une marque ne se résume pas à un logo ou à un slogan. Elle exprime une promesse : ce que la ville offre, ce qu’elle représente, ce qu’elle garantit, ce qu’elle valorise. Pour Dakar, cette promesse peut combiner plusieurs dimensions : ville de mémoire, ville de culture, ville de sport, ville océanique, ville d’innovation, ville de diplomatie africaine, ville résiliente et ville de jeunesse.</w:t>
      </w:r>
    </w:p>
    <w:p>
      <w:r>
        <w:t>Le premier public de cette marque doit être les Dakarois eux-mêmes. Le sentiment d’appartenance constitue une condition de crédibilité de l’attractivité externe. Les politiques de patrimoine, d’espaces publics, de propreté, de culture, de participation et de communication citoyenne sont donc directement liées au rayonnement international.</w:t>
      </w:r>
    </w:p>
    <w:p>
      <w:r>
        <w:t>Les réseaux internationaux doivent être mieux exploités. Dakar est présente dans des organisations importantes, mais la participation doit être orientée vers des résultats : projets financés, expertises mobilisées, événements accueillis, positions de leadership obtenues, formations organisées, innovations transférées. Chaque réseau devrait avoir un point focal, un plan d’action, des opportunités identifiées et un bilan annuel.</w:t>
      </w:r>
    </w:p>
    <w:p>
      <w:r>
        <w:t>Les JOJ 2026 constituent un test majeur. Ils peuvent renforcer l’image de Dakar, mais seulement si l’événement produit un héritage. Cet héritage doit être sportif, urbain, culturel, économique et institutionnel. Il peut servir à réhabiliter des équipements, structurer un calendrier d’événements, améliorer la mobilité autour des sites, professionnaliser l’accueil, promouvoir les industries créatives et mettre en valeur la jeunesse dakaroise.</w:t>
      </w:r>
    </w:p>
    <w:p>
      <w:r>
        <w:t>Le tourisme culturel et mémoriel doit être intégré à la stratégie d’attractivité. Gorée, les marchés, les lieux culturels, les espaces de création, la gastronomie, la mode, la musique et les patrimoines immatériels peuvent constituer des circuits cohérents. Mais cela suppose un travail sur l’accessibilité, la signalétique, la propreté, la sécurité, la formation des acteurs et la communication multilingue.</w:t>
      </w:r>
    </w:p>
    <w:p>
      <w:r>
        <w:t>L’attractivité économique doit aussi être pensée à l’échelle municipale. Dakar peut travailler avec les agences nationales, les chambres consulaires, les universités, la diaspora et le secteur privé pour attirer des investissements compatibles avec sa vision. Un guichet municipal d’information pour les investisseurs et porteurs de projets urbains pourrait orienter vers les opportunités, les règles, les partenaires et les projets prioritaires.</w:t>
      </w:r>
    </w:p>
    <w:p>
      <w:r>
        <w:t>Enfin, l’attractivité doit être mesurée. Un observatoire de l’attractivité territoriale permettrait de suivre des indicateurs : événements accueillis, fréquentation touristique, investissements, partenariats actifs, qualité de vie, espaces verts, mobilité, visibilité internationale, satisfaction des visiteurs, perception des habitants. Sans mesure, la marque risque de rester déclarative. Avec des données, elle devient un outil de pilotage.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IMPLICATION POUR L’ACTION</w:t>
            </w:r>
          </w:p>
          <w:p>
            <w:pPr>
              <w:spacing w:after="40" w:line="252" w:lineRule="auto"/>
            </w:pPr>
            <w:r>
              <w:rPr>
                <w:sz w:val="20"/>
              </w:rPr>
              <w:t>Cet axe doit être converti en décisions administratives, responsables identifiés, calendrier et indicateurs. L’APEC peut jouer un rôle de veille, de capitalisation et de plaidoyer pour maintenir la continuité entre réflexion et mise en œuvre.</w:t>
            </w:r>
          </w:p>
        </w:tc>
      </w:tr>
    </w:tbl>
    <w:p>
      <w:pPr>
        <w:pStyle w:val="Heading1"/>
      </w:pPr>
      <w:r>
        <w:t>Benchmark international ciblé</w:t>
      </w:r>
    </w:p>
    <w:p>
      <w:r>
        <w:t>Le benchmark ci-dessous ne vise pas à copier des modèles étrangers. Il sert à identifier des mécanismes transférables à Dakar : contrats de performance, sociétés de développement local, emprunts municipaux, gouvernance métropolitaine, district autonome et valorisation patrimoniale. Chaque expérience doit être adaptée au cadre juridique sénégalais, au Code général des Collectivités locales, aux finances de Dakar et aux exigences de l’Acte IV.</w:t>
      </w:r>
      <w:r>
        <w:rPr>
          <w:rStyle w:val="FootnoteReference"/>
        </w:rPr>
        <w:footnoteReference w:id="12"/>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300"/>
        <w:gridCol w:w="2750"/>
        <w:gridCol w:w="3150"/>
        <w:gridCol w:w="2160"/>
      </w:tblGrid>
      <w:tr>
        <w:trPr>
          <w:tblHeader w:val="true"/>
        </w:trPr>
        <w:tc>
          <w:tcPr>
            <w:tcW w:type="dxa" w:w="13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Ville</w:t>
            </w:r>
          </w:p>
        </w:tc>
        <w:tc>
          <w:tcPr>
            <w:tcW w:type="dxa" w:w="27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Bonne pratique</w:t>
            </w:r>
          </w:p>
        </w:tc>
        <w:tc>
          <w:tcPr>
            <w:tcW w:type="dxa" w:w="31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Ce que Dakar peut retenir</w:t>
            </w:r>
          </w:p>
        </w:tc>
        <w:tc>
          <w:tcPr>
            <w:tcW w:type="dxa" w:w="21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Condition de transfert</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Kigali</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Contrats de performance et suivi régulier des engagements publics, dans la logique Imihigo.</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Transformer la GAR en pratique de gestion : objectifs, indicateurs, responsables, revue périodique et publication de résultats.</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Limiter le nombre d’indicateurs et les relier aux arbitrages budgétaires.</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Casablanca</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Sociétés de développement local pour porter des fonctions urbaines spécialisées : aménagement, mobilité, environnement, patrimoine et services.</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Explorer un véhicule municipal ou des sociétés de projet pour la valorisation patrimoniale, les équipements et les projets structurants.</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Garantir transparence, contrôle public, modèle économique et séparation claire entre propriété publique et exploitation.</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Johannesburg</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Recours aux obligations municipales et aux obligations vertes pour financer des infrastructures et projets climatiques.</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Préparer Dakar à l’emprunt et à la finance verte par notation, reporting, audit, portefeuille bancable et discipline financière.</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Ne recourir au marché qu’avec comptes fiables, soutenabilité de la dette et projets à impact mesurable.</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Rabat</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Gouvernance urbaine et valorisation patrimoniale à travers des structures régionales, agences urbaines et programmes de patrimoine.</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Articuler histoire de Dakar, circuits mémoriels, attractivité, patrimoine, urbanisme et qualité de l’espace public.</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Coordonner Ville, communes, État, culture, tourisme et acteurs privés.</w:t>
            </w:r>
          </w:p>
        </w:tc>
      </w:tr>
      <w:tr>
        <w:tc>
          <w:tcPr>
            <w:tcW w:type="dxa" w:w="1300"/>
            <w:tcMar>
              <w:top w:w="120" w:type="dxa"/>
              <w:start w:w="120" w:type="dxa"/>
              <w:bottom w:w="120" w:type="dxa"/>
              <w:end w:w="120" w:type="dxa"/>
            </w:tcMar>
            <w:vAlign w:val="center"/>
          </w:tcPr>
          <w:p>
            <w:pPr>
              <w:spacing w:after="40" w:line="240" w:lineRule="auto" w:before="0"/>
            </w:pPr>
            <w:r>
              <w:rPr>
                <w:rFonts w:ascii="Calibri" w:hAnsi="Calibri"/>
                <w:color w:val="232323"/>
                <w:sz w:val="20"/>
              </w:rPr>
              <w:t>Abidjan</w:t>
            </w:r>
          </w:p>
        </w:tc>
        <w:tc>
          <w:tcPr>
            <w:tcW w:type="dxa" w:w="2750"/>
            <w:tcMar>
              <w:top w:w="120" w:type="dxa"/>
              <w:start w:w="120" w:type="dxa"/>
              <w:bottom w:w="120" w:type="dxa"/>
              <w:end w:w="120" w:type="dxa"/>
            </w:tcMar>
            <w:vAlign w:val="center"/>
          </w:tcPr>
          <w:p>
            <w:pPr>
              <w:spacing w:after="40" w:line="240" w:lineRule="auto" w:before="0"/>
            </w:pPr>
            <w:r>
              <w:rPr>
                <w:rFonts w:ascii="Calibri" w:hAnsi="Calibri"/>
                <w:color w:val="232323"/>
                <w:sz w:val="20"/>
              </w:rPr>
              <w:t>District autonome doté de personnalité morale, autonomie financière et organes propres pour traiter des fonctions métropolitaines.</w:t>
            </w:r>
          </w:p>
        </w:tc>
        <w:tc>
          <w:tcPr>
            <w:tcW w:type="dxa" w:w="3150"/>
            <w:tcMar>
              <w:top w:w="120" w:type="dxa"/>
              <w:start w:w="120" w:type="dxa"/>
              <w:bottom w:w="120" w:type="dxa"/>
              <w:end w:w="120" w:type="dxa"/>
            </w:tcMar>
            <w:vAlign w:val="center"/>
          </w:tcPr>
          <w:p>
            <w:pPr>
              <w:spacing w:after="40" w:line="240" w:lineRule="auto" w:before="0"/>
            </w:pPr>
            <w:r>
              <w:rPr>
                <w:rFonts w:ascii="Calibri" w:hAnsi="Calibri"/>
                <w:color w:val="232323"/>
                <w:sz w:val="20"/>
              </w:rPr>
              <w:t>Nourrir le plaidoyer sur le statut de Dakar et les fonctions métropolitaines nécessitant un cadre différencié.</w:t>
            </w:r>
          </w:p>
        </w:tc>
        <w:tc>
          <w:tcPr>
            <w:tcW w:type="dxa" w:w="2160"/>
            <w:tcMar>
              <w:top w:w="120" w:type="dxa"/>
              <w:start w:w="120" w:type="dxa"/>
              <w:bottom w:w="120" w:type="dxa"/>
              <w:end w:w="120" w:type="dxa"/>
            </w:tcMar>
            <w:vAlign w:val="center"/>
          </w:tcPr>
          <w:p>
            <w:pPr>
              <w:spacing w:after="40" w:line="240" w:lineRule="auto" w:before="0"/>
            </w:pPr>
            <w:r>
              <w:rPr>
                <w:rFonts w:ascii="Calibri" w:hAnsi="Calibri"/>
                <w:color w:val="232323"/>
                <w:sz w:val="20"/>
              </w:rPr>
              <w:t>Éviter la transposition mécanique ; préserver la libre administration et clarifier les rapports Ville-communes.</w:t>
            </w:r>
          </w:p>
        </w:tc>
      </w:tr>
      <w:tr>
        <w:tc>
          <w:tcPr>
            <w:tcW w:type="dxa" w:w="1300"/>
            <w:tcMar>
              <w:top w:w="120" w:type="dxa"/>
              <w:start w:w="120" w:type="dxa"/>
              <w:bottom w:w="120" w:type="dxa"/>
              <w:end w:w="120" w:type="dxa"/>
            </w:tcMar>
          </w:tcPr>
          <w:p>
            <w:pPr>
              <w:spacing w:after="40" w:line="240" w:lineRule="auto" w:before="0"/>
            </w:pPr>
            <w:r>
              <w:rPr>
                <w:sz w:val="20"/>
              </w:rPr>
              <w:t>Accra</w:t>
            </w:r>
          </w:p>
        </w:tc>
        <w:tc>
          <w:tcPr>
            <w:tcW w:type="dxa" w:w="2750"/>
            <w:tcMar>
              <w:top w:w="120" w:type="dxa"/>
              <w:start w:w="120" w:type="dxa"/>
              <w:bottom w:w="120" w:type="dxa"/>
              <w:end w:w="120" w:type="dxa"/>
            </w:tcMar>
          </w:tcPr>
          <w:p>
            <w:pPr>
              <w:spacing w:after="40" w:line="240" w:lineRule="auto" w:before="0"/>
            </w:pPr>
            <w:r>
              <w:rPr>
                <w:sz w:val="20"/>
              </w:rPr>
              <w:t>Metropolitan Assembly structurée autour de départements statutaires, dont Budget &amp; Rating, Urban Roads, Transport, Physical Planning et Waste Management.</w:t>
            </w:r>
          </w:p>
        </w:tc>
        <w:tc>
          <w:tcPr>
            <w:tcW w:type="dxa" w:w="3150"/>
            <w:tcMar>
              <w:top w:w="120" w:type="dxa"/>
              <w:start w:w="120" w:type="dxa"/>
              <w:bottom w:w="120" w:type="dxa"/>
              <w:end w:w="120" w:type="dxa"/>
            </w:tcMar>
          </w:tcPr>
          <w:p>
            <w:pPr>
              <w:spacing w:after="40" w:line="240" w:lineRule="auto" w:before="0"/>
            </w:pPr>
            <w:r>
              <w:rPr>
                <w:sz w:val="20"/>
              </w:rPr>
              <w:t>Montrer qu’une capitale peut regrouper planification, budget, routes, transport et services urbains dans une architecture métropolitaine lisible.</w:t>
            </w:r>
          </w:p>
        </w:tc>
        <w:tc>
          <w:tcPr>
            <w:tcW w:type="dxa" w:w="2160"/>
            <w:tcMar>
              <w:top w:w="120" w:type="dxa"/>
              <w:start w:w="120" w:type="dxa"/>
              <w:bottom w:w="120" w:type="dxa"/>
              <w:end w:w="120" w:type="dxa"/>
            </w:tcMar>
          </w:tcPr>
          <w:p>
            <w:pPr>
              <w:spacing w:after="40" w:line="240" w:lineRule="auto" w:before="0"/>
            </w:pPr>
            <w:r>
              <w:rPr>
                <w:sz w:val="20"/>
              </w:rPr>
              <w:t>Adapter sans copier le modèle de nomination ; préserver l’élection locale et clarifier les rapports avec les communes.</w:t>
            </w:r>
          </w:p>
        </w:tc>
      </w:tr>
      <w:tr>
        <w:tc>
          <w:tcPr>
            <w:tcW w:type="dxa" w:w="1300"/>
            <w:tcMar>
              <w:top w:w="120" w:type="dxa"/>
              <w:start w:w="120" w:type="dxa"/>
              <w:bottom w:w="120" w:type="dxa"/>
              <w:end w:w="120" w:type="dxa"/>
            </w:tcMar>
          </w:tcPr>
          <w:p>
            <w:pPr>
              <w:spacing w:after="40" w:line="240" w:lineRule="auto" w:before="0"/>
            </w:pPr>
            <w:r>
              <w:rPr>
                <w:sz w:val="20"/>
              </w:rPr>
              <w:t>Le Cap</w:t>
            </w:r>
          </w:p>
        </w:tc>
        <w:tc>
          <w:tcPr>
            <w:tcW w:type="dxa" w:w="2750"/>
            <w:tcMar>
              <w:top w:w="120" w:type="dxa"/>
              <w:start w:w="120" w:type="dxa"/>
              <w:bottom w:w="120" w:type="dxa"/>
              <w:end w:w="120" w:type="dxa"/>
            </w:tcMar>
          </w:tcPr>
          <w:p>
            <w:pPr>
              <w:spacing w:after="40" w:line="240" w:lineRule="auto" w:before="0"/>
            </w:pPr>
            <w:r>
              <w:rPr>
                <w:sz w:val="20"/>
              </w:rPr>
              <w:t>Métropole sud-africaine de catégorie A, avec budget métropolitain unique, système commun de property rates et tarifs de services, et fonctions urbaines intégrées.</w:t>
            </w:r>
          </w:p>
        </w:tc>
        <w:tc>
          <w:tcPr>
            <w:tcW w:type="dxa" w:w="3150"/>
            <w:tcMar>
              <w:top w:w="120" w:type="dxa"/>
              <w:start w:w="120" w:type="dxa"/>
              <w:bottom w:w="120" w:type="dxa"/>
              <w:end w:w="120" w:type="dxa"/>
            </w:tcMar>
          </w:tcPr>
          <w:p>
            <w:pPr>
              <w:spacing w:after="40" w:line="240" w:lineRule="auto" w:before="0"/>
            </w:pPr>
            <w:r>
              <w:rPr>
                <w:sz w:val="20"/>
              </w:rPr>
              <w:t>Étudier une logique « un espace métropolitain, une assiette consolidée, des services mesurables » pour la mobilité, les services urbains et l’investissement.</w:t>
            </w:r>
          </w:p>
        </w:tc>
        <w:tc>
          <w:tcPr>
            <w:tcW w:type="dxa" w:w="2160"/>
            <w:tcMar>
              <w:top w:w="120" w:type="dxa"/>
              <w:start w:w="120" w:type="dxa"/>
              <w:bottom w:w="120" w:type="dxa"/>
              <w:end w:w="120" w:type="dxa"/>
            </w:tcMar>
          </w:tcPr>
          <w:p>
            <w:pPr>
              <w:spacing w:after="40" w:line="240" w:lineRule="auto" w:before="0"/>
            </w:pPr>
            <w:r>
              <w:rPr>
                <w:sz w:val="20"/>
              </w:rPr>
              <w:t>Exiger comptes fiables, cadastre fiscal, qualité de service et mécanismes sociaux pour éviter une fiscalité ressentie comme punitive.</w:t>
            </w:r>
          </w:p>
        </w:tc>
      </w:tr>
      <w:tr>
        <w:tc>
          <w:tcPr>
            <w:tcW w:type="dxa" w:w="1300"/>
            <w:tcMar>
              <w:top w:w="120" w:type="dxa"/>
              <w:start w:w="120" w:type="dxa"/>
              <w:bottom w:w="120" w:type="dxa"/>
              <w:end w:w="120" w:type="dxa"/>
            </w:tcMar>
          </w:tcPr>
          <w:p>
            <w:pPr>
              <w:spacing w:after="40" w:line="240" w:lineRule="auto" w:before="0"/>
            </w:pPr>
            <w:r>
              <w:rPr>
                <w:sz w:val="20"/>
              </w:rPr>
              <w:t>Le Caire</w:t>
            </w:r>
          </w:p>
        </w:tc>
        <w:tc>
          <w:tcPr>
            <w:tcW w:type="dxa" w:w="2750"/>
            <w:tcMar>
              <w:top w:w="120" w:type="dxa"/>
              <w:start w:w="120" w:type="dxa"/>
              <w:bottom w:w="120" w:type="dxa"/>
              <w:end w:w="120" w:type="dxa"/>
            </w:tcMar>
          </w:tcPr>
          <w:p>
            <w:pPr>
              <w:spacing w:after="40" w:line="240" w:lineRule="auto" w:before="0"/>
            </w:pPr>
            <w:r>
              <w:rPr>
                <w:sz w:val="20"/>
              </w:rPr>
              <w:t>Gouvernorat-capitale organisé avec districts, services locaux, portail de services, transport, tourisme, investissement et entités administratives spécialisées.</w:t>
            </w:r>
          </w:p>
        </w:tc>
        <w:tc>
          <w:tcPr>
            <w:tcW w:type="dxa" w:w="3150"/>
            <w:tcMar>
              <w:top w:w="120" w:type="dxa"/>
              <w:start w:w="120" w:type="dxa"/>
              <w:bottom w:w="120" w:type="dxa"/>
              <w:end w:w="120" w:type="dxa"/>
            </w:tcMar>
          </w:tcPr>
          <w:p>
            <w:pPr>
              <w:spacing w:after="40" w:line="240" w:lineRule="auto" w:before="0"/>
            </w:pPr>
            <w:r>
              <w:rPr>
                <w:sz w:val="20"/>
              </w:rPr>
              <w:t>Retenir l’intérêt d’une coordination capitale-districts et d’un portail de services, sans importer un modèle trop administré.</w:t>
            </w:r>
          </w:p>
        </w:tc>
        <w:tc>
          <w:tcPr>
            <w:tcW w:type="dxa" w:w="2160"/>
            <w:tcMar>
              <w:top w:w="120" w:type="dxa"/>
              <w:start w:w="120" w:type="dxa"/>
              <w:bottom w:w="120" w:type="dxa"/>
              <w:end w:w="120" w:type="dxa"/>
            </w:tcMar>
          </w:tcPr>
          <w:p>
            <w:pPr>
              <w:spacing w:after="40" w:line="240" w:lineRule="auto" w:before="0"/>
            </w:pPr>
            <w:r>
              <w:rPr>
                <w:sz w:val="20"/>
              </w:rPr>
              <w:t>Garantir une gouvernance compatible avec la libre administration, la participation citoyenne et les équilibres État-Ville-communes.</w:t>
            </w:r>
          </w:p>
        </w:tc>
      </w:tr>
    </w:tbl>
    <w:p>
      <w:pPr>
        <w:pStyle w:val="Heading2"/>
      </w:pPr>
      <w:r>
        <w:t>Leçons transversales pour Dakar</w:t>
      </w:r>
    </w:p>
    <w:p>
      <w:pPr>
        <w:pStyle w:val="ListBullet"/>
      </w:pPr>
      <w:r>
        <w:t>Le benchmark confirme qu’une métropole performante dispose d’un dispositif de suivi mesurable, pas seulement d’une vision.</w:t>
      </w:r>
    </w:p>
    <w:p>
      <w:pPr>
        <w:pStyle w:val="ListBullet"/>
      </w:pPr>
      <w:r>
        <w:t>Les véhicules de projet peuvent accélérer l’investissement, mais seulement si leur gouvernance est transparente et leur modèle économique robuste.</w:t>
      </w:r>
    </w:p>
    <w:p>
      <w:pPr>
        <w:pStyle w:val="ListBullet"/>
      </w:pPr>
      <w:r>
        <w:t>L’emprunt municipal exige une discipline forte : comptes fiables, audit, notation, reporting, règles de dette et projets générateurs de valeur publique.</w:t>
      </w:r>
    </w:p>
    <w:p>
      <w:pPr>
        <w:pStyle w:val="ListBullet"/>
      </w:pPr>
      <w:r>
        <w:t>Le statut métropolitain doit clarifier les fonctions d’échelle : mobilité, déchets, espaces publics, attractivité, grands équipements, données et transition écologique.</w:t>
      </w:r>
    </w:p>
    <w:p>
      <w:pPr>
        <w:pStyle w:val="ListBullet"/>
      </w:pPr>
      <w:r>
        <w:t>La valorisation de l’histoire et du patrimoine n’est pas seulement culturelle ; elle peut soutenir tourisme, économie créative, diplomatie territoriale et sentiment d’appartenance.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900"/>
        <w:gridCol w:w="1750"/>
        <w:gridCol w:w="3650"/>
        <w:gridCol w:w="2060"/>
      </w:tblGrid>
      <w:tr>
        <w:trPr>
          <w:tblHeader w:val="true"/>
        </w:trPr>
        <w:tc>
          <w:tcPr>
            <w:tcW w:type="dxa" w:w="19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Instrument à étudier</w:t>
            </w:r>
          </w:p>
        </w:tc>
        <w:tc>
          <w:tcPr>
            <w:tcW w:type="dxa" w:w="17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Inspiration</w:t>
            </w:r>
          </w:p>
        </w:tc>
        <w:tc>
          <w:tcPr>
            <w:tcW w:type="dxa" w:w="36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Application possible à Dakar</w:t>
            </w:r>
          </w:p>
        </w:tc>
        <w:tc>
          <w:tcPr>
            <w:tcW w:type="dxa" w:w="20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Première étape</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Contrat de performance municipal</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Kigali / Imihigo</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Contrat annuel entre autorité municipale, directions et programmes prioritaires.</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Piloter 7 programmes avec indicateurs SMART.</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Véhicule de développement municipal</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Casablanca / SDL</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Structure dédiée à certains projets patrimoniaux, équipements, mobilité ou services urbains.</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Étude juridique et financière préalable.</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Obligation verte ou emprunt structuré</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Johannesburg / Green bond</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Financement climat pour drainage, énergie, espaces verts ou mobilité bas carbone.</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Audit, notation, portefeuille vert et cadre MRV.</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Autorité ou cadre métropolitain</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Abidjan / district autonome</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Clarification de certaines fonctions métropolitaines de Dakar dans l’Acte IV.</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Note de position sur compétences et ressources.</w:t>
            </w:r>
          </w:p>
        </w:tc>
      </w:tr>
      <w:tr>
        <w:tc>
          <w:tcPr>
            <w:tcW w:type="dxa" w:w="1900"/>
            <w:tcMar>
              <w:top w:w="120" w:type="dxa"/>
              <w:start w:w="120" w:type="dxa"/>
              <w:bottom w:w="120" w:type="dxa"/>
              <w:end w:w="120" w:type="dxa"/>
            </w:tcMar>
            <w:vAlign w:val="center"/>
          </w:tcPr>
          <w:p>
            <w:pPr>
              <w:spacing w:after="40" w:line="240" w:lineRule="auto" w:before="0"/>
            </w:pPr>
            <w:r>
              <w:rPr>
                <w:rFonts w:ascii="Calibri" w:hAnsi="Calibri"/>
                <w:color w:val="232323"/>
                <w:sz w:val="20"/>
              </w:rPr>
              <w:t>Patrimoine et récit urbain</w:t>
            </w:r>
          </w:p>
        </w:tc>
        <w:tc>
          <w:tcPr>
            <w:tcW w:type="dxa" w:w="1750"/>
            <w:tcMar>
              <w:top w:w="120" w:type="dxa"/>
              <w:start w:w="120" w:type="dxa"/>
              <w:bottom w:w="120" w:type="dxa"/>
              <w:end w:w="120" w:type="dxa"/>
            </w:tcMar>
            <w:vAlign w:val="center"/>
          </w:tcPr>
          <w:p>
            <w:pPr>
              <w:spacing w:after="40" w:line="240" w:lineRule="auto" w:before="0"/>
            </w:pPr>
            <w:r>
              <w:rPr>
                <w:rFonts w:ascii="Calibri" w:hAnsi="Calibri"/>
                <w:color w:val="232323"/>
                <w:sz w:val="20"/>
              </w:rPr>
              <w:t>Rabat / patrimoine historique</w:t>
            </w:r>
          </w:p>
        </w:tc>
        <w:tc>
          <w:tcPr>
            <w:tcW w:type="dxa" w:w="3650"/>
            <w:tcMar>
              <w:top w:w="120" w:type="dxa"/>
              <w:start w:w="120" w:type="dxa"/>
              <w:bottom w:w="120" w:type="dxa"/>
              <w:end w:w="120" w:type="dxa"/>
            </w:tcMar>
            <w:vAlign w:val="center"/>
          </w:tcPr>
          <w:p>
            <w:pPr>
              <w:spacing w:after="40" w:line="240" w:lineRule="auto" w:before="0"/>
            </w:pPr>
            <w:r>
              <w:rPr>
                <w:rFonts w:ascii="Calibri" w:hAnsi="Calibri"/>
                <w:color w:val="232323"/>
                <w:sz w:val="20"/>
              </w:rPr>
              <w:t>Circuits historiques, signalétique, événements, Dakar Brand et tourisme culturel.</w:t>
            </w:r>
          </w:p>
        </w:tc>
        <w:tc>
          <w:tcPr>
            <w:tcW w:type="dxa" w:w="2060"/>
            <w:tcMar>
              <w:top w:w="120" w:type="dxa"/>
              <w:start w:w="120" w:type="dxa"/>
              <w:bottom w:w="120" w:type="dxa"/>
              <w:end w:w="120" w:type="dxa"/>
            </w:tcMar>
            <w:vAlign w:val="center"/>
          </w:tcPr>
          <w:p>
            <w:pPr>
              <w:spacing w:after="40" w:line="240" w:lineRule="auto" w:before="0"/>
            </w:pPr>
            <w:r>
              <w:rPr>
                <w:rFonts w:ascii="Calibri" w:hAnsi="Calibri"/>
                <w:color w:val="232323"/>
                <w:sz w:val="20"/>
              </w:rPr>
              <w:t>Récit institutionnel et trois circuits pilotes.</w:t>
            </w:r>
          </w:p>
        </w:tc>
      </w:tr>
      <w:tr>
        <w:tc>
          <w:tcPr>
            <w:tcW w:type="dxa" w:w="1900"/>
            <w:tcMar>
              <w:top w:w="120" w:type="dxa"/>
              <w:start w:w="120" w:type="dxa"/>
              <w:bottom w:w="120" w:type="dxa"/>
              <w:end w:w="120" w:type="dxa"/>
            </w:tcMar>
          </w:tcPr>
          <w:p>
            <w:pPr>
              <w:spacing w:after="40" w:line="240" w:lineRule="auto" w:before="0"/>
            </w:pPr>
            <w:r>
              <w:rPr>
                <w:sz w:val="20"/>
              </w:rPr>
              <w:t>District spécial / pôle urbain métropolitain</w:t>
            </w:r>
          </w:p>
        </w:tc>
        <w:tc>
          <w:tcPr>
            <w:tcW w:type="dxa" w:w="1750"/>
            <w:tcMar>
              <w:top w:w="120" w:type="dxa"/>
              <w:start w:w="120" w:type="dxa"/>
              <w:bottom w:w="120" w:type="dxa"/>
              <w:end w:w="120" w:type="dxa"/>
            </w:tcMar>
          </w:tcPr>
          <w:p>
            <w:pPr>
              <w:spacing w:after="40" w:line="240" w:lineRule="auto" w:before="0"/>
            </w:pPr>
            <w:r>
              <w:rPr>
                <w:sz w:val="20"/>
              </w:rPr>
              <w:t>Abidjan / Accra / Le Cap / Le Caire</w:t>
            </w:r>
          </w:p>
        </w:tc>
        <w:tc>
          <w:tcPr>
            <w:tcW w:type="dxa" w:w="3650"/>
            <w:tcMar>
              <w:top w:w="120" w:type="dxa"/>
              <w:start w:w="120" w:type="dxa"/>
              <w:bottom w:w="120" w:type="dxa"/>
              <w:end w:w="120" w:type="dxa"/>
            </w:tcMar>
          </w:tcPr>
          <w:p>
            <w:pPr>
              <w:spacing w:after="40" w:line="240" w:lineRule="auto" w:before="0"/>
            </w:pPr>
            <w:r>
              <w:rPr>
                <w:sz w:val="20"/>
              </w:rPr>
              <w:t>Statut différencié pour Dakar avec blocs de compétences, ressources dédiées et coordination Ville-communes-pôle-État.</w:t>
            </w:r>
          </w:p>
        </w:tc>
        <w:tc>
          <w:tcPr>
            <w:tcW w:type="dxa" w:w="2060"/>
            <w:tcMar>
              <w:top w:w="120" w:type="dxa"/>
              <w:start w:w="120" w:type="dxa"/>
              <w:bottom w:w="120" w:type="dxa"/>
              <w:end w:w="120" w:type="dxa"/>
            </w:tcMar>
          </w:tcPr>
          <w:p>
            <w:pPr>
              <w:spacing w:after="40" w:line="240" w:lineRule="auto" w:before="0"/>
            </w:pPr>
            <w:r>
              <w:rPr>
                <w:sz w:val="20"/>
              </w:rPr>
              <w:t>Préparer une note Acte IV comparant trois scénarios et leurs impacts juridiques, fiscaux et démocratiques.</w:t>
            </w:r>
          </w:p>
        </w:tc>
      </w:tr>
    </w:tbl>
    <w:p>
      <w:pPr>
        <w:pStyle w:val="Heading1"/>
      </w:pPr>
      <w:r>
        <w:t>Programme de transformation proposé</w:t>
      </w:r>
    </w:p>
    <w:p>
      <w:r>
        <w:t>Les recommandations des Journées scientifiques gagnent à être regroupées en programmes de transformation. Cette présentation facilite le passage de la réflexion à l’action, car elle relie chaque enjeu à un objectif, à des actions, à des livrables et à des indicateurs. Elle permet aussi d’éviter la dispersion : au lieu de traiter les propositions comme une longue liste, la Ville peut les organiser en chantiers cohérents, pilotables et évaluables.</w:t>
      </w:r>
    </w:p>
    <w:p>
      <w:r>
        <w:t>Les huit programmes proposés ci-dessous reprennent la logique des panels et des documents de soutien. La cohérence générale repose sur un principe : la GAR et la gouvernance des données sont intégrées dans un même programme de pilotage ; le numérique et la transition écologique sont séparés afin d’éviter les répétitions et de donner à chaque chantier ses livrables propres. Ces programmes ne constituent pas un plan d’action administratif définitif ; ils forment une base de travail pour l’autorité municipale, le Conseil municipal, le Secrétariat général, les directions techniques, l’APEC, les communes et les partenaires.</w:t>
      </w:r>
    </w:p>
    <w:p>
      <w:pPr>
        <w:pStyle w:val="Heading2"/>
      </w:pPr>
      <w:r>
        <w:t>Programme 1 – Statut, gouvernance territoriale et leadership métropolitain</w:t>
      </w:r>
    </w:p>
    <w:p>
      <w:r>
        <w:rPr>
          <w:rFonts w:ascii="Calibri" w:hAnsi="Calibri"/>
          <w:b/>
          <w:color w:val="0B2545"/>
        </w:rPr>
        <w:t>Objectif :</w:t>
      </w:r>
      <w:r>
        <w:t xml:space="preserve"> Clarifier la place de Dakar dans l’Acte IV et organiser sa fonction de capitale, de ville-centre et de locomotive du pôle territorial ouest.</w:t>
      </w:r>
    </w:p>
    <w:p>
      <w:r>
        <w:t>Ce programme répond à la préoccupation la plus structurante des travaux : l’écart entre la vocation réelle de Dakar et les instruments institutionnels dont elle dispose. Les échanges ont montré que beaucoup de difficultés financières et opérationnelles découlent d’une architecture territoriale insuffisamment claire. Lorsque les responsabilités sont dispersées, les recettes deviennent difficiles à capter, les projets sont ralentis et la redevabilité se dilue.</w:t>
      </w:r>
    </w:p>
    <w:p>
      <w:r>
        <w:t>L’objectif n’est pas de créer une opposition entre la Ville et les communes. Il s’agit plutôt de définir une gouvernance à plusieurs échelles : la proximité pour les services qui doivent rester proches des populations ; l’échelle municipale et métropolitaine pour les fonctions qui exigent cohérence, mutualisation et capacité d’investissement ; l’État pour les fonctions régaliennes, les normes nationales et les arbitrages stratégiques.</w:t>
      </w:r>
    </w:p>
    <w:p>
      <w:pPr>
        <w:pStyle w:val="Heading3"/>
      </w:pPr>
      <w:r>
        <w:t>Actions prioritaires</w:t>
      </w:r>
    </w:p>
    <w:p>
      <w:pPr>
        <w:pStyle w:val="ListBullet"/>
      </w:pPr>
      <w:r>
        <w:t>Préparer un mémorandum institutionnel sur le statut de Dakar dans l’Acte IV.</w:t>
      </w:r>
    </w:p>
    <w:p>
      <w:pPr>
        <w:pStyle w:val="ListBullet"/>
      </w:pPr>
      <w:r>
        <w:t>Cartographier les compétences problématiques entre État, Ville, communes et agences.</w:t>
      </w:r>
    </w:p>
    <w:p>
      <w:pPr>
        <w:pStyle w:val="ListBullet"/>
      </w:pPr>
      <w:r>
        <w:t>Proposer un mécanisme permanent de coordination Ville-communes.</w:t>
      </w:r>
    </w:p>
    <w:p>
      <w:pPr>
        <w:pStyle w:val="ListBullet"/>
      </w:pPr>
      <w:r>
        <w:t>Formaliser les fonctions métropolitaines à exercer à l’échelle de Dakar.</w:t>
      </w:r>
    </w:p>
    <w:p>
      <w:pPr>
        <w:pStyle w:val="ListBullet"/>
      </w:pPr>
      <w:r>
        <w:t>Produire une note comparative sur les modèles de gouvernance des capitales africaines.</w:t>
      </w:r>
    </w:p>
    <w:p>
      <w:pPr>
        <w:pStyle w:val="ListBullet"/>
      </w:pPr>
      <w:r>
        <w:t>Soumettre trois scénarios au débat : District spécial de Dakar, pôle urbain métropolitain ou ville-capitale renforcée.</w:t>
      </w:r>
    </w:p>
    <w:p>
      <w:pPr>
        <w:pStyle w:val="ListBullet"/>
      </w:pPr>
      <w:r>
        <w:t>Négocier un pacte de compétences nouvelles : fiscalité urbaine, transport, levée de fonds, données, PPP, climat et valorisation patrimoniale.</w:t>
      </w:r>
    </w:p>
    <w:p>
      <w:pPr>
        <w:pStyle w:val="ListBullet"/>
      </w:pPr>
      <w:r>
        <w:t>Prévoir une clause de redevabilité : indicateurs, rapports publics, audits et revues périodiques avec les communes.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Mémorandum Acte IV ; cartographie des compétences ; proposition de cadre de coordination ; note comparative ; feuille de plaidoyer.</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compétences clarifiées ; nombre de réunions Ville-communes ; existence d’un document de position validé ; intégration des propositions dans les discussions nationales.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principal risque est de limiter le débat au statut juridique sans traiter les ressources, les responsabilités et les mécanismes de redevabilité. Le plaidoyer doit donc toujours relier compétence, financement et performance.</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r>
        <w:t>Programme 2 – GAR, gouvernance des données et budget-programme</w:t>
      </w:r>
    </w:p>
    <w:p>
      <w:r>
        <w:rPr>
          <w:rFonts w:ascii="Calibri" w:hAnsi="Calibri"/>
          <w:b/>
          <w:color w:val="0B2545"/>
        </w:rPr>
        <w:t>Objectif :</w:t>
      </w:r>
      <w:r>
        <w:t xml:space="preserve"> Faire de la GAR et de la donnée municipale un même système de pilotage, depuis la planification jusqu’au rapport de performance.</w:t>
      </w:r>
    </w:p>
    <w:p>
      <w:r>
        <w:t>La GAR constitue une réponse à la demande de transparence et d’efficacité. Elle permet de passer d’une administration qui rend compte principalement des dépenses à une administration qui rend compte des résultats. Mais elle ne peut fonctionner sans données fiables : indicateurs, projets, recettes, dépenses, RH, climat, patrimoine et services urbains doivent alimenter un même tableau de bord.</w:t>
      </w:r>
    </w:p>
    <w:p>
      <w:r>
        <w:t>Ce programme doit donc porter à la fois le budget-programme, le suivi-évaluation, la gouvernance des données municipales et le rapport de performance. Il évite de créer un programme ’données’ séparé qui répéterait les mêmes objectifs ailleurs dans le rapport. Le numérique, lui, relève d’un programme distinct de services, d’interopérabilité et de systèmes.</w:t>
      </w:r>
    </w:p>
    <w:p>
      <w:pPr>
        <w:pStyle w:val="Heading3"/>
      </w:pPr>
      <w:r>
        <w:t>Actions prioritaires</w:t>
      </w:r>
    </w:p>
    <w:p>
      <w:pPr>
        <w:pStyle w:val="ListBullet"/>
      </w:pPr>
      <w:r>
        <w:t>Installer une cellule GAR, données municipales, grands projets et suivi-évaluation.</w:t>
      </w:r>
    </w:p>
    <w:p>
      <w:pPr>
        <w:pStyle w:val="ListBullet"/>
      </w:pPr>
      <w:r>
        <w:t>Définir cinq à sept programmes municipaux pilotes.</w:t>
      </w:r>
    </w:p>
    <w:p>
      <w:pPr>
        <w:pStyle w:val="ListBullet"/>
      </w:pPr>
      <w:r>
        <w:t>Construire une chaîne objectifs-activités-indicateurs-responsables.</w:t>
      </w:r>
    </w:p>
    <w:p>
      <w:pPr>
        <w:pStyle w:val="ListBullet"/>
      </w:pPr>
      <w:r>
        <w:t>Préparer un premier tableau de bord de performance.</w:t>
      </w:r>
    </w:p>
    <w:p>
      <w:pPr>
        <w:pStyle w:val="ListBullet"/>
      </w:pPr>
      <w:r>
        <w:t>Définir le référentiel des données municipales : fiscalité, foncier, budget, RH, climat, patrimoine, projets et attractivité.</w:t>
      </w:r>
    </w:p>
    <w:p>
      <w:pPr>
        <w:pStyle w:val="ListBullet"/>
      </w:pPr>
      <w:r>
        <w:t>Former les cadres aux budgets-programmes, cadres logiques et indicateurs.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Décision de création de la cellule ; manuel GAR-données ; référentiel de données ; tableau de bord pilote ; rapport semestriel de performance ; plan de formation.</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programmes pilotes ; taux de renseignement des indicateurs ; nombre de jeux de données fiabilisés ; fréquence des revues ; proportion du budget analysée par programme.</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multiplier les indicateurs ou les bases de données sans usage décisionnel. Le dispositif doit rester sélectif, lisible et directement relié aux arbitrages budgétaires.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r>
        <w:t>Programme 3 – Autonomie financière, assiette fiscale et ressources propres</w:t>
      </w:r>
    </w:p>
    <w:p>
      <w:r>
        <w:rPr>
          <w:rFonts w:ascii="Calibri" w:hAnsi="Calibri"/>
          <w:b/>
          <w:color w:val="0B2545"/>
        </w:rPr>
        <w:t>Objectif :</w:t>
      </w:r>
      <w:r>
        <w:t xml:space="preserve"> Accroître la capacité financière de Dakar en améliorant la connaissance de l’assiette, le recouvrement, la valorisation du patrimoine et l’utilisation des ressources.</w:t>
      </w:r>
    </w:p>
    <w:p>
      <w:r>
        <w:t>Les travaux ont montré que Dakar n’est pas seulement confrontée à un manque de ressources ; elle est confrontée à un problème de maîtrise de ses ressources potentielles. La fiscalité foncière, les activités économiques, le stationnement, les autorisations, les services urbains, la publicité et les actifs municipaux constituent des leviers importants, mais ils exigent des données fiables et une coordination institutionnelle.</w:t>
      </w:r>
    </w:p>
    <w:p>
      <w:r>
        <w:t>L’autonomie financière doit être pensée avec équité. Une stratégie de recettes qui pèse uniquement sur les contribuables les plus visibles risque de créer une injustice et de renforcer la défiance. La modernisation doit donc combiner élargissement de l’assiette, simplification, digitalisation, pédagogie fiscale et démonstration de l’usage des recettes.</w:t>
      </w:r>
    </w:p>
    <w:p>
      <w:pPr>
        <w:pStyle w:val="Heading3"/>
      </w:pPr>
      <w:r>
        <w:t>Actions prioritaires</w:t>
      </w:r>
    </w:p>
    <w:p>
      <w:pPr>
        <w:pStyle w:val="ListBullet"/>
      </w:pPr>
      <w:r>
        <w:t>Lancer un diagnostic de l’assiette fiscale et du recouvrement.</w:t>
      </w:r>
    </w:p>
    <w:p>
      <w:pPr>
        <w:pStyle w:val="ListBullet"/>
      </w:pPr>
      <w:r>
        <w:t>Construire un cadastre fiscal municipal ou métropolitain avec données géolocalisées.</w:t>
      </w:r>
    </w:p>
    <w:p>
      <w:pPr>
        <w:pStyle w:val="ListBullet"/>
      </w:pPr>
      <w:r>
        <w:t>Développer des procédures de paiement mobile et de notification numérique.</w:t>
      </w:r>
    </w:p>
    <w:p>
      <w:pPr>
        <w:pStyle w:val="ListBullet"/>
      </w:pPr>
      <w:r>
        <w:t>Identifier les actifs municipaux valorisables sans perte de maîtrise publique.</w:t>
      </w:r>
    </w:p>
    <w:p>
      <w:pPr>
        <w:pStyle w:val="ListBullet"/>
      </w:pPr>
      <w:r>
        <w:t>Produire une stratégie de recettes à moyen terme adaptée à Dakar.</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Diagnostic fiscal ; base initiale d’assiette ; plan de digitalisation du recouvrement ; inventaire patrimonial ; stratégie de recettes à moyen terme.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Taux d’identification des contribuables ; évolution du recouvrement ; part des paiements digitaux ; rendement des taxes ciblées ; nombre d’actifs documentés.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rechercher des recettes nouvelles sans améliorer la confiance. La stratégie doit rendre visibles les services financés par l’effort fiscal.</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r>
        <w:t>Programme 4 – Ingénierie de projets, PPP et finance climat</w:t>
      </w:r>
    </w:p>
    <w:p>
      <w:r>
        <w:rPr>
          <w:rFonts w:ascii="Calibri" w:hAnsi="Calibri"/>
          <w:b/>
          <w:color w:val="0B2545"/>
        </w:rPr>
        <w:t>Objectif :</w:t>
      </w:r>
      <w:r>
        <w:t xml:space="preserve"> Transformer les besoins urbains de Dakar en projets structurés, bancables et finançables par des instruments diversifiés.</w:t>
      </w:r>
    </w:p>
    <w:p>
      <w:r>
        <w:t>Une distinction importante doit être retenue : un besoin n’est pas encore un projet. Pour intéresser un partenaire privé, un fonds climat ou un bailleur, la Ville doit présenter des projets documentés : objectifs, coût, modèle économique, risques, impacts, gouvernance, foncier, calendrier, autorisations, indicateurs et modalités contractuelles.</w:t>
      </w:r>
    </w:p>
    <w:p>
      <w:r>
        <w:t>Ce programme vise à créer une capacité municipale d’ingénierie. Il doit protéger la Ville dans ses négociations, éviter les partenariats déséquilibrés, préparer les projets prioritaires et mobiliser les financements adaptés. Il peut aussi organiser le dialogue avec l’UNAPPP, les banques, les investisseurs, les fonds climat, les universités et les cabinets spécialisés.</w:t>
      </w:r>
    </w:p>
    <w:p>
      <w:pPr>
        <w:pStyle w:val="Heading3"/>
      </w:pPr>
      <w:r>
        <w:t>Actions prioritaires</w:t>
      </w:r>
    </w:p>
    <w:p>
      <w:pPr>
        <w:pStyle w:val="ListBullet"/>
      </w:pPr>
      <w:r>
        <w:t>Mettre en place une fonction d’ingénierie financière et contractuelle.</w:t>
      </w:r>
    </w:p>
    <w:p>
      <w:pPr>
        <w:pStyle w:val="ListBullet"/>
      </w:pPr>
      <w:r>
        <w:t>Constituer un portefeuille de dix projets structurants priorisés.</w:t>
      </w:r>
    </w:p>
    <w:p>
      <w:pPr>
        <w:pStyle w:val="ListBullet"/>
      </w:pPr>
      <w:r>
        <w:t>Préparer des fiches projets complètes pour au moins trois projets bancables.</w:t>
      </w:r>
    </w:p>
    <w:p>
      <w:pPr>
        <w:pStyle w:val="ListBullet"/>
      </w:pPr>
      <w:r>
        <w:t>Identifier les projets éligibles à la finance climat.</w:t>
      </w:r>
    </w:p>
    <w:p>
      <w:pPr>
        <w:pStyle w:val="ListBullet"/>
      </w:pPr>
      <w:r>
        <w:t>Organiser une plateforme de dialogue public-privé transparente.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 ; fiches bancables ; matrice des risques ; note d’éligibilité climat ; calendrier de concertation public-privé.</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projets documentés ; nombre de projets soumis à financement ; volume de financements mobilisés ; nombre de contrats suivis par indicateurs ; délais de préparation des projets.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considérer le PPP comme une solution automatique. Chaque montage doit être justifié par la valeur publique créée, la soutenabilité budgétaire et la protection des intérêts de la Ville.</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r>
        <w:t>Programme 5 – Capital humain, GPEC et administration apprenante</w:t>
      </w:r>
    </w:p>
    <w:p>
      <w:r>
        <w:rPr>
          <w:rFonts w:ascii="Calibri" w:hAnsi="Calibri"/>
          <w:b/>
          <w:color w:val="0B2545"/>
        </w:rPr>
        <w:t>Objectif :</w:t>
      </w:r>
      <w:r>
        <w:t xml:space="preserve"> Aligner les compétences, les parcours, les formations et la motivation des agents sur la transformation de Dakar.</w:t>
      </w:r>
    </w:p>
    <w:p>
      <w:r>
        <w:t>Le capital humain est apparu comme le levier transversal par excellence. Aucune réforme ne sera durable si les agents ne disposent pas des compétences, des outils, de la reconnaissance et des perspectives nécessaires. Le rapport recommande de traiter la fonction RH comme une fonction stratégique, et non comme une simple administration du personnel.</w:t>
      </w:r>
    </w:p>
    <w:p>
      <w:r>
        <w:t>Ce programme doit articuler audit RH, GPEC, formation continue, digitalisation, mobilité interne, valorisation des acquis et amélioration des conditions de travail. Il doit aussi reconnaître la capacité des cadres municipaux à produire de la pensée publique, à documenter les expériences et à contribuer à la décision.</w:t>
      </w:r>
    </w:p>
    <w:p>
      <w:pPr>
        <w:pStyle w:val="Heading3"/>
      </w:pPr>
      <w:r>
        <w:t>Actions prioritaires</w:t>
      </w:r>
    </w:p>
    <w:p>
      <w:pPr>
        <w:pStyle w:val="ListBullet"/>
      </w:pPr>
      <w:r>
        <w:t>Finaliser l’audit du personnel et des compétences.</w:t>
      </w:r>
    </w:p>
    <w:p>
      <w:pPr>
        <w:pStyle w:val="ListBullet"/>
      </w:pPr>
      <w:r>
        <w:t>Élaborer une cartographie des métiers actuels et émergents.</w:t>
      </w:r>
    </w:p>
    <w:p>
      <w:pPr>
        <w:pStyle w:val="ListBullet"/>
      </w:pPr>
      <w:r>
        <w:t>Construire un plan de formation lié aux programmes prioritaires.</w:t>
      </w:r>
    </w:p>
    <w:p>
      <w:pPr>
        <w:pStyle w:val="ListBullet"/>
      </w:pPr>
      <w:r>
        <w:t>Déployer un système d’information RH fiable.</w:t>
      </w:r>
    </w:p>
    <w:p>
      <w:pPr>
        <w:pStyle w:val="ListBullet"/>
      </w:pPr>
      <w:r>
        <w:t>Mettre en place des mécanismes de mobilité, mentorat et valorisation des acquis.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Audit RH ; référentiel métiers-compétences ; plan de formation triennal ; SIRH ; dispositif de mobilité et de reconnaissance.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Taux de couverture de l’audit ; nombre d’agents formés ; taux d’utilisation du SIRH ; nombre de mobilités internes ; satisfaction des agents.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réduire la réforme RH à des outils numériques. La transformation doit rester humaine, transparente et portée par un dialogue social régulier.</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r>
        <w:t>Programme 6 – Rayonnement international, Dakar Brand et attractivité</w:t>
      </w:r>
    </w:p>
    <w:p>
      <w:r>
        <w:rPr>
          <w:rFonts w:ascii="Calibri" w:hAnsi="Calibri"/>
          <w:b/>
          <w:color w:val="0B2545"/>
        </w:rPr>
        <w:t>Objectif :</w:t>
      </w:r>
      <w:r>
        <w:t xml:space="preserve"> Faire du rayonnement de Dakar une politique publique mesurable, articulant marque territoriale, partenariats, événements, culture, tourisme et qualité urbaine.</w:t>
      </w:r>
    </w:p>
    <w:p>
      <w:r>
        <w:t>Dakar dispose d’un capital symbolique exceptionnel, mais les panels ont montré que ce capital doit être mieux organisé. L’attractivité ne se décrète pas ; elle se construit par la qualité des services, la cohérence de l’image, la force des événements, la sécurité, la propreté, la mobilité, l’ouverture culturelle et la capacité à transformer les réseaux internationaux en projets concrets.</w:t>
      </w:r>
    </w:p>
    <w:p>
      <w:r>
        <w:t>L’histoire de Dakar doit être intégrée comme actif stratégique d’attractivité. Ancienne commune de plein exercice, ville portuaire, capitale politique, espace de mémoire atlantique, héritière de fonctions administratives et diplomatiques majeures, Dakar possède un récit urbain qui peut soutenir le tourisme culturel, la diplomatie territoriale, les industries créatives et le sentiment d’appartenance.</w:t>
      </w:r>
    </w:p>
    <w:p>
      <w:r>
        <w:t>Ce programme doit éviter une approche uniquement communicationnelle. La marque territoriale ne doit pas être un slogan décoratif ; elle doit exprimer une promesse fondée sur des transformations réelles. Elle doit parler aux visiteurs, aux investisseurs et aux partenaires, mais d’abord aux Dakarois eux-mêmes.</w:t>
      </w:r>
    </w:p>
    <w:p>
      <w:pPr>
        <w:pStyle w:val="Heading3"/>
      </w:pPr>
      <w:r>
        <w:t>Actions prioritaires</w:t>
      </w:r>
    </w:p>
    <w:p>
      <w:pPr>
        <w:pStyle w:val="ListBullet"/>
      </w:pPr>
      <w:r>
        <w:t>Élaborer une stratégie Dakar Brand associant habitants, créateurs, institutions et secteur privé.</w:t>
      </w:r>
    </w:p>
    <w:p>
      <w:pPr>
        <w:pStyle w:val="ListBullet"/>
      </w:pPr>
      <w:r>
        <w:t>Structurer un observatoire de l’attractivité territoriale.</w:t>
      </w:r>
    </w:p>
    <w:p>
      <w:pPr>
        <w:pStyle w:val="ListBullet"/>
      </w:pPr>
      <w:r>
        <w:t>Prioriser les réseaux internationaux selon les opportunités réelles de projets.</w:t>
      </w:r>
    </w:p>
    <w:p>
      <w:pPr>
        <w:pStyle w:val="ListBullet"/>
      </w:pPr>
      <w:r>
        <w:t>Préparer un plan d’héritage des JOJ 2026.</w:t>
      </w:r>
    </w:p>
    <w:p>
      <w:pPr>
        <w:pStyle w:val="ListBullet"/>
      </w:pPr>
      <w:r>
        <w:t>Construire des circuits culturels, mémoriels, historiques, sportifs et économiques valorisant les atouts de Dakar.</w:t>
      </w:r>
    </w:p>
    <w:p>
      <w:pPr>
        <w:pStyle w:val="ListBullet"/>
      </w:pPr>
      <w:r>
        <w:t>Produire un récit institutionnel de l’histoire de Dakar : ville-capitale, ville-port, ville de mémoire, ville culturelle, ville sportive et ville de diplomatie africaine.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Stratégie de marque ; récit historique institutionnel ; tableau de bord attractivité ; cartographie des réseaux ; plan héritage JOJ ; calendrier d’événements et circuits territoriaux.</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partenariats actifs ; événements accueillis ; fréquentation des sites historiques et culturels ; circuits mémoriels structurés ; projets issus des réseaux ; indicateurs de perception et de satisfaction.</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communiquer plus vite que la ville ne se transforme. La marque doit rester connectée à la qualité urbaine et au vécu des habitants.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r>
        <w:t>Programme 7 – Transformation numérique et services municipaux</w:t>
      </w:r>
    </w:p>
    <w:p>
      <w:r>
        <w:rPr>
          <w:rFonts w:ascii="Calibri" w:hAnsi="Calibri"/>
          <w:b/>
          <w:color w:val="0B2545"/>
        </w:rPr>
        <w:t>Objectif :</w:t>
      </w:r>
      <w:r>
        <w:t xml:space="preserve"> Accélérer la modernisation numérique de Dakar par des services en ligne, l’interopérabilité, l’e-taxe, le SIG, l’archivage électronique et les tableaux de bord.</w:t>
      </w:r>
    </w:p>
    <w:p>
      <w:r>
        <w:t>Le numérique doit être traité comme un programme opérationnel propre, distinct de la transition écologique. Il ne doit pas absorber la gouvernance des données, déjà rattachée au programme GAR-données, mais il doit fournir les systèmes, services et standards qui permettent de produire, sécuriser et partager l’information.</w:t>
      </w:r>
    </w:p>
    <w:p>
      <w:r>
        <w:t>Le programme numérique doit prioriser les services à fort impact : e-taxe, occupation du domaine public, autorisations événementielles, suivi des projets, gestion RH, courrier, archivage, SIG, portail usager et tableaux de bord. Sa réussite dépend de l’interopérabilité et de l’appropriation par les services.</w:t>
      </w:r>
    </w:p>
    <w:p>
      <w:pPr>
        <w:pStyle w:val="Heading3"/>
      </w:pPr>
      <w:r>
        <w:t>Actions prioritaires</w:t>
      </w:r>
    </w:p>
    <w:p>
      <w:pPr>
        <w:pStyle w:val="ListBullet"/>
      </w:pPr>
      <w:r>
        <w:t>Élaborer une feuille de route numérique municipale alignée sur le Plan stratégique Dakar 2035-2050.</w:t>
      </w:r>
    </w:p>
    <w:p>
      <w:pPr>
        <w:pStyle w:val="ListBullet"/>
      </w:pPr>
      <w:r>
        <w:t>Déployer les services numériques prioritaires : e-taxe, occupation du domaine public, événements, RH, projets et courrier.</w:t>
      </w:r>
    </w:p>
    <w:p>
      <w:pPr>
        <w:pStyle w:val="ListBullet"/>
      </w:pPr>
      <w:r>
        <w:t>Définir des standards d’interopérabilité entre Ville, communes, État, DGID, Trésor et prestataires.</w:t>
      </w:r>
    </w:p>
    <w:p>
      <w:pPr>
        <w:pStyle w:val="ListBullet"/>
      </w:pPr>
      <w:r>
        <w:t>Mettre en place un SIG municipal relié aux données fiscales, foncières, patrimoniales et de projets.</w:t>
      </w:r>
    </w:p>
    <w:p>
      <w:pPr>
        <w:pStyle w:val="ListBullet"/>
      </w:pPr>
      <w:r>
        <w:t>Organiser la formation des agents et l’assistance aux usagers pour éviter une digitalisation excluante.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Feuille de route numérique ; cartographie des systèmes ; protocole d’interopérabilité ; services prioritaires cadrés ; SIG pilote ; plan de formation.</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Nombre de services en ligne ; délais réduits ; taux d’utilisation ; données échangées ; agents formés ; incidents traités.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multiplier des applications isolées. La transformation numérique doit être pilotée par des standards, une architecture et un support aux usagers.</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2"/>
      </w:pPr>
      <w:r>
        <w:t>Programme 8 – Transition écologique, PCET et résilience climatique</w:t>
      </w:r>
    </w:p>
    <w:p>
      <w:r>
        <w:rPr>
          <w:rFonts w:ascii="Calibri" w:hAnsi="Calibri"/>
          <w:b/>
          <w:color w:val="0B2545"/>
        </w:rPr>
        <w:t>Objectif :</w:t>
      </w:r>
      <w:r>
        <w:t xml:space="preserve"> Transformer le PCET en portefeuille de projets verts, financés et suivis par des indicateurs MRV.</w:t>
      </w:r>
      <w:r>
        <w:rPr>
          <w:rStyle w:val="FootnoteReference"/>
        </w:rPr>
        <w:footnoteReference w:id="13"/>
      </w:r>
    </w:p>
    <w:p>
      <w:r>
        <w:t>La transition écologique doit être séparée du numérique afin de conserver sa logique propre : adaptation climatique, atténuation, cadre de vie, déchets, énergie, mobilité bas carbone, espaces verts, littoral, inondations et finance climat.</w:t>
      </w:r>
    </w:p>
    <w:p>
      <w:r>
        <w:t>Le PCET fournit déjà un socle : vision Dakar 2050, 7 axes, 22 actions, gouvernance climatique, dispositif MRV et stratégie de finance verte. Le programme doit convertir ce socle en projets bancables et en résultats mesurables pour les habitants.</w:t>
      </w:r>
    </w:p>
    <w:p>
      <w:pPr>
        <w:pStyle w:val="Heading3"/>
      </w:pPr>
      <w:r>
        <w:t>Actions prioritaires</w:t>
      </w:r>
    </w:p>
    <w:p>
      <w:pPr>
        <w:pStyle w:val="ListBullet"/>
      </w:pPr>
      <w:r>
        <w:t>Structurer un portefeuille prioritaire de projets verts : drainage, littoral, espaces verts, solaire, efficacité énergétique, déchets et mobilité bas carbone.</w:t>
      </w:r>
    </w:p>
    <w:p>
      <w:pPr>
        <w:pStyle w:val="ListBullet"/>
      </w:pPr>
      <w:r>
        <w:t>Déployer un tableau de bord PCET avec indicateurs MRV, bénéficiaires, coûts, risques et impacts.</w:t>
      </w:r>
    </w:p>
    <w:p>
      <w:pPr>
        <w:pStyle w:val="ListBullet"/>
      </w:pPr>
      <w:r>
        <w:t>Préparer des dossiers de financement vert fondés sur les vulnérabilités, les pertes évitées et les bénéfices sociaux.</w:t>
      </w:r>
    </w:p>
    <w:p>
      <w:pPr>
        <w:pStyle w:val="ListBullet"/>
      </w:pPr>
      <w:r>
        <w:t>Relier fiscalité environnementale, redevances déchets et valorisation énergétique au financement du PCET.</w:t>
      </w:r>
    </w:p>
    <w:p>
      <w:pPr>
        <w:pStyle w:val="ListBullet"/>
      </w:pPr>
      <w:r>
        <w:t>Organiser une revue semestrielle des projets climat avec les partenaires et communes concernées.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000"/>
        <w:gridCol w:w="3000"/>
        <w:gridCol w:w="3360"/>
      </w:tblGrid>
      <w:tr>
        <w:trPr>
          <w:tblHeader w:val="true"/>
        </w:trPr>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w:t>
            </w:r>
          </w:p>
        </w:tc>
        <w:tc>
          <w:tcPr>
            <w:tcW w:type="dxa" w:w="3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 à maîtriser</w:t>
            </w:r>
          </w:p>
        </w:tc>
      </w:tr>
      <w:tr>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PCET priorisé ; tableau de bord MRV ; fiches projets climat ; stratégie de finance verte ; calendrier de revue ; dossier fiscalité environnementale.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Projets climat documentés ; indicateurs MRV renseignés ; financements verts soumis ou obtenus ; zones vulnérables traitées ; espaces verts créés ou réhabilités.</w:t>
            </w:r>
          </w:p>
        </w:tc>
        <w:tc>
          <w:tcPr>
            <w:tcW w:type="dxa" w:w="3360"/>
            <w:tcMar>
              <w:top w:w="80" w:type="dxa"/>
              <w:start w:w="120" w:type="dxa"/>
              <w:bottom w:w="80" w:type="dxa"/>
              <w:end w:w="120" w:type="dxa"/>
            </w:tcMar>
            <w:vAlign w:val="center"/>
          </w:tcPr>
          <w:p>
            <w:pPr>
              <w:spacing w:after="40" w:line="240" w:lineRule="auto" w:before="0"/>
            </w:pPr>
            <w:r>
              <w:rPr>
                <w:rFonts w:ascii="Calibri" w:hAnsi="Calibri"/>
                <w:color w:val="232323"/>
                <w:sz w:val="20"/>
              </w:rPr>
              <w:t>Le risque est de garder le PCET comme document stratégique sans portefeuille financé. Chaque action doit être reliée à un coût, un indicateur, un responsable et un financement potentiel.</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DE VIGILANCE</w:t>
            </w:r>
          </w:p>
          <w:p>
            <w:pPr>
              <w:spacing w:after="40" w:line="252" w:lineRule="auto"/>
            </w:pPr>
            <w:r>
              <w:rPr>
                <w:sz w:val="20"/>
              </w:rPr>
              <w:t>Le programme doit être placé sous une responsabilité clairement identifiée, avec un calendrier court de lancement et une revue périodique. Sans portage et sans indicateurs, il restera une recommandation générale.</w:t>
            </w:r>
          </w:p>
        </w:tc>
      </w:tr>
    </w:tbl>
    <w:p>
      <w:pPr>
        <w:pStyle w:val="Heading1"/>
      </w:pPr>
      <w:r>
        <w:t>Chantiers critiques à intégrer</w:t>
      </w:r>
    </w:p>
    <w:p>
      <w:r>
        <w:t>Les échanges et les compléments demandés conduisent à formuler des recommandations plus fortes sur six chantiers transversaux. Ces chantiers doivent être intégrés à la fois dans le plaidoyer sur l’Acte IV, dans la stratégie municipale de Dakar et dans la feuille de route de suivi de l’APEC. Leur point commun est simple : ils transforment les recommandations générales en instruments de gestion, de financement et de performance.</w:t>
      </w:r>
    </w:p>
    <w:p>
      <w:pPr>
        <w:pStyle w:val="Heading2"/>
      </w:pPr>
      <w:r>
        <w:t>1. Faire de la donnée une priorité de financement</w:t>
      </w:r>
    </w:p>
    <w:p>
      <w:r>
        <w:t>La donnée doit être considérée comme une infrastructure municipale au même titre que la voirie, les équipements ou les réseaux. Sans données fiables, Dakar ne peut ni élargir son assiette fiscale, ni structurer des projets bancables, ni accéder aux financements climat, ni piloter la GAR, ni rendre compte aux citoyens. Les données foncières, fiscales, budgétaires, RH, climatiques, patrimoniales, événementielles et de projets doivent être organisées dans un référentiel commun.</w:t>
      </w:r>
    </w:p>
    <w:p>
      <w:r>
        <w:t>La priorité est de créer une gouvernance de la donnée : règles de production, de qualité, de mise à jour, de partage, de sécurisation et d’usage. La Ville doit disposer d’un registre de données stratégiques, d’un SIG territorial, d’un cadastre fiscal géolocalisé, d’une base des actifs municipaux, d’un système d’information RH et d’un tableau de bord des projets. Ces outils ne doivent pas rester dispersés dans les directions ; ils doivent alimenter une même chaîne de décision.</w:t>
      </w:r>
    </w:p>
    <w:p>
      <w:r>
        <w:t>Cette approche a une dimension financière directe. Les bailleurs, fonds climat, banques et partenaires privés financent plus facilement une collectivité qui documente ses besoins, chiffre ses impacts, mesure ses risques et démontre sa capacité de suivi. La donnée devient donc un préalable à la mobilisation des ressources. Le rapport recommande de financer en priorité la donnée municipale avant même certains projets physiques, car elle conditionne la qualité de tous les projets ultérieurs.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200"/>
        <w:gridCol w:w="3500"/>
        <w:gridCol w:w="3660"/>
      </w:tblGrid>
      <w:tr>
        <w:trPr>
          <w:tblHeader w:val="true"/>
        </w:trPr>
        <w:tc>
          <w:tcPr>
            <w:tcW w:type="dxa" w:w="2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Bloc de données</w:t>
            </w:r>
          </w:p>
        </w:tc>
        <w:tc>
          <w:tcPr>
            <w:tcW w:type="dxa" w:w="3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Usage prioritaire</w:t>
            </w:r>
          </w:p>
        </w:tc>
        <w:tc>
          <w:tcPr>
            <w:tcW w:type="dxa" w:w="36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Lien avec le financement</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Fiscal et foncier</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Identifier les contribuables, les propriétés, les activités et les bases imposables.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Elargissement de l’assiette, e-taxe, recouvrement et crédibilité des projections de recettes.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Projets</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Suivre les idées, études, coûts, risques, autorisations, impacts et financements.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Constitution d’un portefeuille bancable et négociation avec bailleurs, banques et PPP.</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Climat et environnement</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Documenter inondations, littoral, espaces verts, îlots de chaleur, émissions et vulnérabilités.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Eligibilité aux fonds climat, financements verts et projets de résilience.</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Patrimoine municipal</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Inventorier foncier, bâtiments, équipements, contrats et revenus associés.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Valorisation sans aliénation, montage de sociétés de projet et recettes patrimoniales.</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RH et performance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Cartographier effectifs, compétences, formations, mobilités et productivité des services.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Alignement du capital humain sur les programmes et justification des investissements de formation.</w:t>
            </w:r>
          </w:p>
        </w:tc>
      </w:tr>
      <w:tr>
        <w:tc>
          <w:tcPr>
            <w:tcW w:type="dxa" w:w="2200"/>
            <w:tcMar>
              <w:top w:w="80" w:type="dxa"/>
              <w:start w:w="120" w:type="dxa"/>
              <w:bottom w:w="80" w:type="dxa"/>
              <w:end w:w="120" w:type="dxa"/>
            </w:tcMar>
            <w:vAlign w:val="center"/>
          </w:tcPr>
          <w:p>
            <w:pPr>
              <w:spacing w:after="40" w:line="240" w:lineRule="auto" w:before="0"/>
            </w:pPr>
            <w:r>
              <w:rPr>
                <w:rFonts w:ascii="Calibri" w:hAnsi="Calibri"/>
                <w:color w:val="232323"/>
                <w:sz w:val="20"/>
              </w:rPr>
              <w:t>Événementiel et attractivité</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Suivre événements, fréquentation, occupation du domaine public, sécurité, propreté et retombées économiques.</w:t>
            </w:r>
          </w:p>
        </w:tc>
        <w:tc>
          <w:tcPr>
            <w:tcW w:type="dxa" w:w="3660"/>
            <w:tcMar>
              <w:top w:w="80" w:type="dxa"/>
              <w:start w:w="120" w:type="dxa"/>
              <w:bottom w:w="80" w:type="dxa"/>
              <w:end w:w="120" w:type="dxa"/>
            </w:tcMar>
            <w:vAlign w:val="center"/>
          </w:tcPr>
          <w:p>
            <w:pPr>
              <w:spacing w:after="40" w:line="240" w:lineRule="auto" w:before="0"/>
            </w:pPr>
            <w:r>
              <w:rPr>
                <w:rFonts w:ascii="Calibri" w:hAnsi="Calibri"/>
                <w:color w:val="232323"/>
                <w:sz w:val="20"/>
              </w:rPr>
              <w:t>Fiscalité événementielle, redevances, partenariats et stratégie Dakar Brand.</w:t>
            </w:r>
          </w:p>
        </w:tc>
      </w:tr>
    </w:tbl>
    <w:p>
      <w:pPr>
        <w:pStyle w:val="Heading2"/>
      </w:pPr>
      <w:r>
        <w:t>2. Normaliser et généraliser la GAR dans l’Acte IV</w:t>
      </w:r>
    </w:p>
    <w:p>
      <w:r>
        <w:t>La GAR doit être élevée au rang de recommandation forte. Il ne suffit pas de conseiller aux collectivités de mieux suivre leurs projets ; l’Acte IV doit poser la GAR comme une norme de gestion de la performance territoriale, particulièrement pour les grandes villes, les pôles territoriaux et les collectivités disposant de budgets significatifs. Cette norme doit relier planification, budget-programme, indicateurs, rapports de performance et redevabilité citoyenne.</w:t>
      </w:r>
    </w:p>
    <w:p>
      <w:r>
        <w:t>La généralisation de la GAR doit être progressive mais obligatoire. Elle peut commencer par Dakar et les grandes collectivités, avec un noyau minimal d’exigences : programmes budgétaires, responsables de programme, indicateurs de résultat, revue trimestrielle, rapport annuel de performance et publication d’un tableau de bord. La GAR doit aussi devenir un critère d’accès aux appuis de l’État et aux financements structurants.</w:t>
      </w:r>
    </w:p>
    <w:p>
      <w:r>
        <w:t>Cette recommandation est cohérente avec les données du panel : les collectivités territoriales mobilisent environ 200 à 220 milliards FCFA par an, soit près de 1,1% du PIB et moins de 4% des dépenses publiques. Dans un contexte de ressources limitées, la question n’est pas seulement de dépenser plus ; elle est de prouver que chaque franc public produit un résultat observable.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RECOMMANDATION FORTE</w:t>
            </w:r>
          </w:p>
          <w:p>
            <w:pPr>
              <w:spacing w:after="40" w:line="252" w:lineRule="auto"/>
            </w:pPr>
            <w:r>
              <w:rPr>
                <w:sz w:val="20"/>
              </w:rPr>
              <w:t>Inscrire dans l’Acte IV l’obligation progressive d’une gestion axée sur les résultats pour les grandes collectivités : budget-programme, indicateurs, responsable de programme, revue de performance et publication annuelle des résultats.</w:t>
            </w:r>
          </w:p>
        </w:tc>
      </w:tr>
    </w:tbl>
    <w:p>
      <w:pPr>
        <w:pStyle w:val="Heading2"/>
      </w:pPr>
      <w:r>
        <w:t>3. Déployer l’e-taxe pour élargir l’assiette fiscale</w:t>
      </w:r>
    </w:p>
    <w:p>
      <w:r>
        <w:t>L’e-taxe doit devenir un chantier prioritaire d’autonomie financière. Elle ne doit pas être comprise comme un simple mode de paiement numérique, mais comme une chaîne intégrée : identification du contribuable, cadastre fiscal, déclaration, liquidation, paiement, relance, contentieux, reporting et partage de données entre la Ville, les communes, la DGID et le Trésor.</w:t>
      </w:r>
    </w:p>
    <w:p>
      <w:r>
        <w:t>Les échanges sur le foncier montrent l’ampleur du potentiel. Une expérimentation citée dans les débats indiquait que 20% des propriétés auraient été recensées et 12% auraient effectivement payé. Même si ces chiffres doivent être actualisés, ils confirment que l’enjeu principal est l’assiette réelle. Un système e-taxe permettrait de transformer une assiette potentielle en assiette suivie, notifiée et recouvrée.</w:t>
      </w:r>
    </w:p>
    <w:p>
      <w:r>
        <w:t>Le rapport recommande une stratégie fiscale numérique en trois temps : d’abord nettoyer les données et géolocaliser l’assiette ; ensuite offrir des canaux de paiement simples, notamment mobile money, banque, guichet et portail ; enfin publier des tableaux de bord de recouvrement par catégorie fiscale et zone territoriale. La digitalisation doit être accompagnée d’une pédagogie citoyenne sur l’usage des recettes.</w:t>
      </w:r>
    </w:p>
    <w:p>
      <w:pPr>
        <w:pStyle w:val="Heading2"/>
      </w:pPr>
      <w:r>
        <w:t>4. Structurer la fiscalité événementielle</w:t>
      </w:r>
    </w:p>
    <w:p>
      <w:r>
        <w:t>Dakar dispose d’un potentiel événementiel important : JOJ 2026, culture, sport, conférences, salons, festivals, cérémonies, tourisme d’affaires, patrimoine, gastronomie, mode et industries créatives. Ce potentiel doit être organisé comme une base économique et fiscale. La question n’est pas de taxer brutalement l’événementiel, mais de créer un cadre clair, prévisible et équitable qui permette à la Ville de capter une partie de la valeur générée.</w:t>
      </w:r>
    </w:p>
    <w:p>
      <w:r>
        <w:t>La fiscalité événementielle peut couvrir plusieurs objets : occupation temporaire du domaine public, publicité et affichage, billetterie lorsque le cadre juridique le permet, redevances de propreté et sécurité, droits liés aux marchés temporaires, espaces sponsorisés, stationnement, concessions, licences commerciales temporaires et partenariats de marque. L’objectif est d’élargir les recettes tout en améliorant la qualité d’accueil, la sécurité et la propreté des événements.</w:t>
      </w:r>
    </w:p>
    <w:p>
      <w:r>
        <w:t>La condition de réussite est la donnée. La Ville doit disposer d’un calendrier événementiel consolidé, d’une procédure d’autorisation numérique, d’un barème public, d’une traçabilité des paiements et d’une évaluation des retombées économiques. Les JOJ 2026 peuvent servir de laboratoire pour tester un dispositif d’événementiel fiscalement organisé, puis l’étendre aux grands rendez-vous culturels, sportifs et économiques.</w:t>
      </w:r>
    </w:p>
    <w:p>
      <w:pPr>
        <w:pStyle w:val="Heading2"/>
      </w:pPr>
      <w:r>
        <w:t>5. Intégrer le numérique comme norme de l’Acte IV</w:t>
      </w:r>
    </w:p>
    <w:p>
      <w:r>
        <w:t>Le numérique doit être reconnu dans l’Acte IV comme une norme de gouvernance territoriale et non comme un projet facultatif. Une réforme territoriale moderne doit prévoir l’interopérabilité des systèmes, l’identifiant territorial, les services en ligne, l’archivage électronique, les tableaux de bord, les données ouvertes utiles et les obligations minimales de reporting numérique.</w:t>
      </w:r>
    </w:p>
    <w:p>
      <w:r>
        <w:t>Pour Dakar, cela signifie connecter les chantiers déjà identifiés : e-taxe, SIRH, SIG, tableau de bord GAR, gestion des projets, autorisations d’occupation du domaine public, gestion de l’événementiel, coopération internationale et observatoire de l’attractivité. La digitalisation doit réduire les délais, limiter les pertes d’information, améliorer la transparence et produire des données de pilotage.</w:t>
      </w:r>
    </w:p>
    <w:p>
      <w:r>
        <w:t>L’intégration du numérique dans l’Acte IV permettrait aussi d’éviter des systèmes isolés. Chaque niveau territorial doit pouvoir échanger des données selon des règles communes. L’État, la Ville, les communes et les pôles doivent partager les référentiels indispensables à la fiscalité, à l’urbanisme, au foncier, à l’état civil, à la planification et à l’évaluation.</w:t>
      </w:r>
    </w:p>
    <w:p>
      <w:pPr>
        <w:pStyle w:val="Heading2"/>
      </w:pPr>
      <w:r>
        <w:t>6. Faire de la transition écologique un portefeuille de projets finançables</w:t>
      </w:r>
    </w:p>
    <w:p>
      <w:r>
        <w:t>La transition écologique doit être présentée comme une politique de résilience, mais aussi comme un champ de financement. Dakar est exposée aux inondations, à l’érosion côtière, aux vagues de chaleur, à la pression foncière, à la congestion et au déficit d’espaces verts. Ces vulnérabilités peuvent être transformées en projets éligibles aux financements climat si elles sont documentées, chiffrées et structurées.</w:t>
      </w:r>
    </w:p>
    <w:p>
      <w:r>
        <w:t>Les priorités peuvent inclure la récupération des eaux pluviales, le drainage, la protection du littoral, la végétalisation des espaces publics, les îlots de fraîcheur, la mobilité décarbonée, l’efficacité énergétique des bâtiments municipaux, la gestion des déchets, les écoquartiers et la résilience des équipements publics. Chaque projet doit préciser les bénéficiaires, les impacts attendus, les données de référence, les coûts, les risques et les cofinancements possibles.</w:t>
      </w:r>
    </w:p>
    <w:p>
      <w:r>
        <w:t>La transition écologique doit donc être liée à la gestion du portefeuille de projets. Un projet climat sans données de vulnérabilité et sans indicateurs d’impact restera difficile à financer. À l’inverse, un portefeuille climat bien documenté peut mobiliser fonds verts, coopération décentralisée, banques de développement, PPP et financements mixtes.</w:t>
      </w:r>
    </w:p>
    <w:p>
      <w:pPr>
        <w:pStyle w:val="Heading2"/>
      </w:pPr>
      <w:r>
        <w:t>Gestion du portefeuille de projets : principe de maturité</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900"/>
        <w:gridCol w:w="4300"/>
        <w:gridCol w:w="4160"/>
      </w:tblGrid>
      <w:tr>
        <w:trPr>
          <w:tblHeader w:val="true"/>
        </w:trPr>
        <w:tc>
          <w:tcPr>
            <w:tcW w:type="dxa" w:w="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Niveau</w:t>
            </w:r>
          </w:p>
        </w:tc>
        <w:tc>
          <w:tcPr>
            <w:tcW w:type="dxa" w:w="4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Statut du projet</w:t>
            </w:r>
          </w:p>
        </w:tc>
        <w:tc>
          <w:tcPr>
            <w:tcW w:type="dxa" w:w="41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Décision de gestion</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0</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Idée ou besoin non documenté.</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Ne pas présenter au financement ; demander une fiche problème et une première estimation.</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1</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Fiche projet courte avec objectif, localisation, bénéficiaires et ordre de coût.</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Classer dans le portefeuille et demander les données de base.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2</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Pré-faisabilité disponible : coûts, risques, impacts, parties prenantes et options de financement.</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Prioriser ou écarter selon alignement stratégique et capacité municipale.</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3</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Faisabilité technique, économique, environnementale et sociale engagée ou disponible.</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Préparer la structuration financière et le dialogue avec partenaires.</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4</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Projet bancable : modèle économique, gouvernance, risques, indicateurs, calendrier et autorisations.</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Soumettre aux bailleurs, fonds climat, banques ou partenaires privés.</w:t>
            </w:r>
          </w:p>
        </w:tc>
      </w:tr>
      <w:tr>
        <w:tc>
          <w:tcPr>
            <w:tcW w:type="dxa" w:w="900"/>
            <w:tcMar>
              <w:top w:w="80" w:type="dxa"/>
              <w:start w:w="120" w:type="dxa"/>
              <w:bottom w:w="80" w:type="dxa"/>
              <w:end w:w="120" w:type="dxa"/>
            </w:tcMar>
            <w:vAlign w:val="center"/>
          </w:tcPr>
          <w:p>
            <w:pPr>
              <w:spacing w:after="40" w:line="240" w:lineRule="auto" w:before="0"/>
            </w:pPr>
            <w:r>
              <w:rPr>
                <w:rFonts w:ascii="Calibri" w:hAnsi="Calibri"/>
                <w:color w:val="232323"/>
                <w:sz w:val="20"/>
              </w:rPr>
              <w:t>5</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Projet financé et contractualisé.</w:t>
            </w:r>
          </w:p>
        </w:tc>
        <w:tc>
          <w:tcPr>
            <w:tcW w:type="dxa" w:w="4160"/>
            <w:tcMar>
              <w:top w:w="80" w:type="dxa"/>
              <w:start w:w="120" w:type="dxa"/>
              <w:bottom w:w="80" w:type="dxa"/>
              <w:end w:w="120" w:type="dxa"/>
            </w:tcMar>
            <w:vAlign w:val="center"/>
          </w:tcPr>
          <w:p>
            <w:pPr>
              <w:spacing w:after="40" w:line="240" w:lineRule="auto" w:before="0"/>
            </w:pPr>
            <w:r>
              <w:rPr>
                <w:rFonts w:ascii="Calibri" w:hAnsi="Calibri"/>
                <w:color w:val="232323"/>
                <w:sz w:val="20"/>
              </w:rPr>
              <w:t>Suivre l’exécution, les indicateurs, les risques, les décaissements et l’impact citoyen.</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PRINCIPE DE DISCIPLINE</w:t>
            </w:r>
          </w:p>
          <w:p>
            <w:pPr>
              <w:spacing w:after="40" w:line="252" w:lineRule="auto"/>
            </w:pPr>
            <w:r>
              <w:rPr>
                <w:sz w:val="20"/>
              </w:rPr>
              <w:t>Aucun projet ne devrait être présenté comme priorité de financement sans niveau de maturité connu. La Ville doit gérer un portefeuille, pas seulement une liste d’idées.</w:t>
            </w:r>
          </w:p>
        </w:tc>
      </w:tr>
    </w:tbl>
    <w:p>
      <w:pPr>
        <w:pStyle w:val="Heading1"/>
      </w:pPr>
      <w:r>
        <w:t>Réformes fiscales territoriales pour financer Dakar à long terme</w:t>
      </w:r>
    </w:p>
    <w:p>
      <w:r>
        <w:t>La réforme fiscale territoriale doit être traitée comme l’un des leviers centraux de financement de Dakar. Le problème principal n’est pas uniquement le niveau des impôts ; il réside surtout dans l’assiette incomplète, le recensement insuffisant des contribuables, la faible exploitation de la fiscalité foncière, la digitalisation inachevée, le partage limité de données avec la DGID, le rendement faible de certaines taxes locales et la dépendance aux transferts et ressources traditionnelles.</w:t>
      </w:r>
      <w:r>
        <w:rPr>
          <w:rStyle w:val="FootnoteReference"/>
        </w:rPr>
        <w:footnoteReference w:id="14"/>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MESSAGE STRATÉGIQUE</w:t>
            </w:r>
          </w:p>
          <w:p>
            <w:pPr>
              <w:spacing w:after="40" w:line="252" w:lineRule="auto"/>
            </w:pPr>
            <w:r>
              <w:rPr>
                <w:sz w:val="20"/>
              </w:rPr>
              <w:t>Les expériences de Lagos, Johannesburg, Casablanca, Rabat et Kigali montrent que la prospérité financière des métropoles repose moins sur l’augmentation des taux d’imposition que sur la maîtrise de l’assiette, la qualité des données, la digitalisation du recouvrement et la diversification des sources de revenus.</w:t>
            </w:r>
          </w:p>
        </w:tc>
      </w:tr>
    </w:tbl>
    <w:p>
      <w:pPr>
        <w:pStyle w:val="Heading2"/>
      </w:pPr>
      <w:r>
        <w:t>Les sept réformes fiscales prioritaires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3500"/>
        <w:gridCol w:w="2700"/>
        <w:gridCol w:w="106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Réforme</w:t>
            </w:r>
          </w:p>
        </w:tc>
        <w:tc>
          <w:tcPr>
            <w:tcW w:type="dxa" w:w="3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Objectif</w:t>
            </w:r>
          </w:p>
        </w:tc>
        <w:tc>
          <w:tcPr>
            <w:tcW w:type="dxa" w:w="27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Impact attendu</w:t>
            </w:r>
          </w:p>
        </w:tc>
        <w:tc>
          <w:tcPr>
            <w:tcW w:type="dxa" w:w="10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numérique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Recenser 100 % des parcelles, géolocaliser les propriétés et mettre à jour les bases foncières.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Hausse du rendement foncier et meilleure équité fiscale.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Échange de données Ville-DGID</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un protocole permanent et une plateforme commune sur contribuables, parcelles, activités et recettes.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Assiette mieux connue, recouvrement mieux suivi et décisions fiscales fondées sur des données.</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Généralisation de l’e-Taxe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Digitaliser paiement mobile, paiement web, notifications automatiques et relances électroniques.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Recouvrement plus rapide, coûts de collecte réduits, traçabilité renforcée.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Réforme de la fiscalité foncière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Elargir l’assiette plutôt qu’augmenter les taux ; actualiser les bases ; intégrer les nouvelles constructions.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Ressource structurante pour les investissements métropolitains.</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Fiscalité de l’économie urbaine moderne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Renforcer stationnement, publicité urbaine, occupation du domaine public, activités événementielles et plateformes numériques locales.</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Diversification des recettes et captation d’une partie de la valeur urbaine.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Fiscalité environnementale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Développer redevances déchets, fiscalité verte, mécanismes carbone locaux et valorisation énergétique.</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Lien direct avec le PCET, la propreté, la résilience et les financements climat.</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Ingénierie financière territoriale</w:t>
            </w:r>
          </w:p>
        </w:tc>
        <w:tc>
          <w:tcPr>
            <w:tcW w:type="dxa" w:w="3500"/>
            <w:tcMar>
              <w:top w:w="80" w:type="dxa"/>
              <w:start w:w="120" w:type="dxa"/>
              <w:bottom w:w="80" w:type="dxa"/>
              <w:end w:w="120" w:type="dxa"/>
            </w:tcMar>
            <w:vAlign w:val="center"/>
          </w:tcPr>
          <w:p>
            <w:pPr>
              <w:spacing w:after="40" w:line="240" w:lineRule="auto" w:before="0"/>
            </w:pPr>
            <w:r>
              <w:rPr>
                <w:rFonts w:ascii="Calibri" w:hAnsi="Calibri"/>
                <w:color w:val="232323"/>
                <w:sz w:val="20"/>
              </w:rPr>
              <w:t>Passer du recouvrement à la création de valeur : portefeuille bancable, fonds de développement, société de développement local, véhicule financier.</w:t>
            </w:r>
          </w:p>
        </w:tc>
        <w:tc>
          <w:tcPr>
            <w:tcW w:type="dxa" w:w="2700"/>
            <w:tcMar>
              <w:top w:w="80" w:type="dxa"/>
              <w:start w:w="120" w:type="dxa"/>
              <w:bottom w:w="80" w:type="dxa"/>
              <w:end w:w="120" w:type="dxa"/>
            </w:tcMar>
            <w:vAlign w:val="center"/>
          </w:tcPr>
          <w:p>
            <w:pPr>
              <w:spacing w:after="40" w:line="240" w:lineRule="auto" w:before="0"/>
            </w:pPr>
            <w:r>
              <w:rPr>
                <w:rFonts w:ascii="Calibri" w:hAnsi="Calibri"/>
                <w:color w:val="232323"/>
                <w:sz w:val="20"/>
              </w:rPr>
              <w:t>Capacité à mobiliser financements externes, PPP, emprunt et valorisation patrimoniale.</w:t>
            </w:r>
          </w:p>
        </w:tc>
        <w:tc>
          <w:tcPr>
            <w:tcW w:type="dxa" w:w="1060"/>
            <w:tcMar>
              <w:top w:w="80" w:type="dxa"/>
              <w:start w:w="120" w:type="dxa"/>
              <w:bottom w:w="80" w:type="dxa"/>
              <w:end w:w="120" w:type="dxa"/>
            </w:tcMar>
            <w:vAlign w:val="center"/>
          </w:tcPr>
          <w:p>
            <w:pPr>
              <w:spacing w:after="40" w:line="240" w:lineRule="auto" w:before="0"/>
            </w:pPr>
            <w:r>
              <w:rPr>
                <w:rFonts w:ascii="Calibri" w:hAnsi="Calibri"/>
                <w:color w:val="232323"/>
                <w:sz w:val="20"/>
              </w:rPr>
              <w:t>Long terme</w:t>
            </w:r>
          </w:p>
        </w:tc>
      </w:tr>
    </w:tbl>
    <w:p>
      <w:pPr>
        <w:pStyle w:val="Heading2"/>
      </w:pPr>
      <w:r>
        <w:t>Encadré de priorisation fiscale à l’horizon 2035</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600"/>
        <w:gridCol w:w="1350"/>
        <w:gridCol w:w="1500"/>
        <w:gridCol w:w="3910"/>
      </w:tblGrid>
      <w:tr>
        <w:trPr>
          <w:tblHeader w:val="true"/>
        </w:trPr>
        <w:tc>
          <w:tcPr>
            <w:tcW w:type="dxa" w:w="2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Réforme structurante</w:t>
            </w:r>
          </w:p>
        </w:tc>
        <w:tc>
          <w:tcPr>
            <w:tcW w:type="dxa" w:w="13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c>
          <w:tcPr>
            <w:tcW w:type="dxa" w:w="1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Impact attendu</w:t>
            </w:r>
          </w:p>
        </w:tc>
        <w:tc>
          <w:tcPr>
            <w:tcW w:type="dxa" w:w="39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Condition de réussite</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numérique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Base géolocalisée, coopération DGID, données communales.</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Partage de données DGID-Ville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Protocole permanent, plateforme commune, règles de mise à jour.</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E-Taxe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Court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Canaux simples, mobile money, relances, pédagogie citoyenne.</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Réforme foncière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Actualisation des bases et intégration des nouvelles constructions.</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Fiscalité urbaine moderne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Barèmes clairs, traçabilité, équité et services visibles.</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Fiscalité verte</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Moyen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Moyen à élevé</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Lien avec PCET, déchets, énergie, carbone et finance climat.</w:t>
            </w:r>
          </w:p>
        </w:tc>
      </w:tr>
      <w:tr>
        <w:tc>
          <w:tcPr>
            <w:tcW w:type="dxa" w:w="2600"/>
            <w:tcMar>
              <w:top w:w="80" w:type="dxa"/>
              <w:start w:w="120" w:type="dxa"/>
              <w:bottom w:w="80" w:type="dxa"/>
              <w:end w:w="120" w:type="dxa"/>
            </w:tcMar>
            <w:vAlign w:val="center"/>
          </w:tcPr>
          <w:p>
            <w:pPr>
              <w:spacing w:after="40" w:line="240" w:lineRule="auto" w:before="0"/>
            </w:pPr>
            <w:r>
              <w:rPr>
                <w:rFonts w:ascii="Calibri" w:hAnsi="Calibri"/>
                <w:color w:val="232323"/>
                <w:sz w:val="20"/>
              </w:rPr>
              <w:t>Accès aux marchés financiers</w:t>
            </w:r>
          </w:p>
        </w:tc>
        <w:tc>
          <w:tcPr>
            <w:tcW w:type="dxa" w:w="1350"/>
            <w:tcMar>
              <w:top w:w="80" w:type="dxa"/>
              <w:start w:w="120" w:type="dxa"/>
              <w:bottom w:w="80" w:type="dxa"/>
              <w:end w:w="120" w:type="dxa"/>
            </w:tcMar>
            <w:vAlign w:val="center"/>
          </w:tcPr>
          <w:p>
            <w:pPr>
              <w:spacing w:after="40" w:line="240" w:lineRule="auto" w:before="0"/>
            </w:pPr>
            <w:r>
              <w:rPr>
                <w:rFonts w:ascii="Calibri" w:hAnsi="Calibri"/>
                <w:color w:val="232323"/>
                <w:sz w:val="20"/>
              </w:rPr>
              <w:t>Long terme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Transformateur</w:t>
            </w:r>
          </w:p>
        </w:tc>
        <w:tc>
          <w:tcPr>
            <w:tcW w:type="dxa" w:w="3910"/>
            <w:tcMar>
              <w:top w:w="80" w:type="dxa"/>
              <w:start w:w="120" w:type="dxa"/>
              <w:bottom w:w="80" w:type="dxa"/>
              <w:end w:w="120" w:type="dxa"/>
            </w:tcMar>
            <w:vAlign w:val="center"/>
          </w:tcPr>
          <w:p>
            <w:pPr>
              <w:spacing w:after="40" w:line="240" w:lineRule="auto" w:before="0"/>
            </w:pPr>
            <w:r>
              <w:rPr>
                <w:rFonts w:ascii="Calibri" w:hAnsi="Calibri"/>
                <w:color w:val="232323"/>
                <w:sz w:val="20"/>
              </w:rPr>
              <w:t>Comptes fiables, notation, projets bancables et soutenabilité de dette.</w:t>
            </w:r>
          </w:p>
        </w:tc>
      </w:tr>
    </w:tbl>
    <w:p>
      <w:pPr>
        <w:pStyle w:val="Heading2"/>
      </w:pPr>
      <w:r>
        <w:t>Benchmark fiscal comparatif</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300"/>
        <w:gridCol w:w="1600"/>
        <w:gridCol w:w="1500"/>
        <w:gridCol w:w="1900"/>
        <w:gridCol w:w="1400"/>
        <w:gridCol w:w="1660"/>
      </w:tblGrid>
      <w:tr>
        <w:trPr>
          <w:tblHeader w:val="true"/>
        </w:trPr>
        <w:tc>
          <w:tcPr>
            <w:tcW w:type="dxa" w:w="1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Ville</w:t>
            </w:r>
          </w:p>
        </w:tc>
        <w:tc>
          <w:tcPr>
            <w:tcW w:type="dxa" w:w="1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Assiette fiscale</w:t>
            </w:r>
          </w:p>
        </w:tc>
        <w:tc>
          <w:tcPr>
            <w:tcW w:type="dxa" w:w="1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Recouvrement estimatif</w:t>
            </w:r>
          </w:p>
        </w:tc>
        <w:tc>
          <w:tcPr>
            <w:tcW w:type="dxa" w:w="1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Fiscalité foncière</w:t>
            </w:r>
          </w:p>
        </w:tc>
        <w:tc>
          <w:tcPr>
            <w:tcW w:type="dxa" w:w="14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Marché financier</w:t>
            </w:r>
          </w:p>
        </w:tc>
        <w:tc>
          <w:tcPr>
            <w:tcW w:type="dxa" w:w="16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Digitalisation fiscale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Dakar</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Faible à moyenne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50-70 %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Sous-exploitée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Très limité</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Kigali</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80-90 %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Faible</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Lagos</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85-95 %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Très 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Johannesburg</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90-95 %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Principale ressource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Casablanca</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85-95 %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Très 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Rabat</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80-90 %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r>
      <w:tr>
        <w:tc>
          <w:tcPr>
            <w:tcW w:type="dxa" w:w="1300"/>
            <w:tcMar>
              <w:top w:w="80" w:type="dxa"/>
              <w:start w:w="120" w:type="dxa"/>
              <w:bottom w:w="80" w:type="dxa"/>
              <w:end w:w="120" w:type="dxa"/>
            </w:tcMar>
            <w:vAlign w:val="center"/>
          </w:tcPr>
          <w:p>
            <w:pPr>
              <w:spacing w:after="40" w:line="240" w:lineRule="auto" w:before="0"/>
            </w:pPr>
            <w:r>
              <w:rPr>
                <w:rFonts w:ascii="Calibri" w:hAnsi="Calibri"/>
                <w:color w:val="232323"/>
                <w:sz w:val="20"/>
              </w:rPr>
              <w:t>Port-Louis</w:t>
            </w:r>
          </w:p>
        </w:tc>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500"/>
            <w:tcMar>
              <w:top w:w="80" w:type="dxa"/>
              <w:start w:w="120" w:type="dxa"/>
              <w:bottom w:w="80" w:type="dxa"/>
              <w:end w:w="120" w:type="dxa"/>
            </w:tcMar>
            <w:vAlign w:val="center"/>
          </w:tcPr>
          <w:p>
            <w:pPr>
              <w:spacing w:after="40" w:line="240" w:lineRule="auto" w:before="0"/>
            </w:pPr>
            <w:r>
              <w:rPr>
                <w:rFonts w:ascii="Calibri" w:hAnsi="Calibri"/>
                <w:color w:val="232323"/>
                <w:sz w:val="20"/>
              </w:rPr>
              <w:t>85-95 %</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Forte</w:t>
            </w:r>
          </w:p>
        </w:tc>
        <w:tc>
          <w:tcPr>
            <w:tcW w:type="dxa" w:w="1400"/>
            <w:tcMar>
              <w:top w:w="80" w:type="dxa"/>
              <w:start w:w="120" w:type="dxa"/>
              <w:bottom w:w="80" w:type="dxa"/>
              <w:end w:w="120" w:type="dxa"/>
            </w:tcMar>
            <w:vAlign w:val="center"/>
          </w:tcPr>
          <w:p>
            <w:pPr>
              <w:spacing w:after="40" w:line="240" w:lineRule="auto" w:before="0"/>
            </w:pPr>
            <w:r>
              <w:rPr>
                <w:rFonts w:ascii="Calibri" w:hAnsi="Calibri"/>
                <w:color w:val="232323"/>
                <w:sz w:val="20"/>
              </w:rPr>
              <w:t>Oui</w:t>
            </w:r>
          </w:p>
        </w:tc>
        <w:tc>
          <w:tcPr>
            <w:tcW w:type="dxa" w:w="166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r>
    </w:tbl>
    <w:p>
      <w:r>
        <w:t>Pour Dakar, la réforme fiscale doit donc être considérée comme une réforme de gouvernance et de développement territorial avant d’être une réforme budgétaire. Elle doit être intégrée au Plan stratégique Dakar 2035-2050, reliée à la GAR et pilotée par des données municipales fiables.</w:t>
      </w:r>
    </w:p>
    <w:p>
      <w:pPr>
        <w:pStyle w:val="Heading1"/>
      </w:pPr>
      <w:r>
        <w:t>Messages transversaux</w:t>
      </w:r>
    </w:p>
    <w:p>
      <w:pPr>
        <w:pStyle w:val="Heading2"/>
      </w:pPr>
      <w:r>
        <w:t>Une vision métropolitaine doit précéder les instruments.</w:t>
      </w:r>
    </w:p>
    <w:p>
      <w:r>
        <w:t>L’analyse transversale montre qu’il ne suffit pas d’accumuler des outils, des textes ou des projets. Dakar doit d’abord formuler une vision partagée de sa vocation : capitale nationale, pivot du pôle territorial ouest, métropole africaine durable, hub culturel, sportif, économique et climatique. Cette vision doit dépasser les mandats électifs afin de devenir un référentiel collectif pour les élus, l’administration, les citoyens et les partenaires.</w:t>
      </w:r>
    </w:p>
    <w:p>
      <w:pPr>
        <w:pStyle w:val="Heading2"/>
      </w:pPr>
      <w:r>
        <w:t>La clarification institutionnelle conditionne la performance.</w:t>
      </w:r>
    </w:p>
    <w:p>
      <w:r>
        <w:t>La plupart des contraintes financières et opérationnelles sont liées à la distribution des compétences. Lorsque la Ville ne maîtrise pas l’urbanisme, la fiscalité correspondante, les données ou les arbitrages, elle ne peut pas optimiser les ressources. La clarification des rôles entre État, Ville, communes et pôles est donc une condition préalable à l’autonomie financière, à la planification et à la redevabilité.</w:t>
      </w:r>
    </w:p>
    <w:p>
      <w:pPr>
        <w:pStyle w:val="Heading2"/>
      </w:pPr>
      <w:r>
        <w:t>La donnée devient un actif municipal.</w:t>
      </w:r>
    </w:p>
    <w:p>
      <w:r>
        <w:t>Les interventions sur la GAR, la fiscalité, les PPP, la finance climat et l’attractivité convergent vers une même exigence : disposer de données fiables, désagrégées, actualisées et accessibles. Données foncières, données RH, données budgétaires, données de projets, données climatiques, données de satisfaction citoyenne et données d’attractivité doivent être organisées comme un patrimoine stratégique.</w:t>
      </w:r>
    </w:p>
    <w:p>
      <w:pPr>
        <w:pStyle w:val="Heading2"/>
      </w:pPr>
      <w:r>
        <w:t>La mobilisation des ressources commence par la crédibilité.</w:t>
      </w:r>
    </w:p>
    <w:p>
      <w:r>
        <w:t>Les partenaires privés, les marchés financiers, les bailleurs et les fonds climat recherchent des collectivités capables de planifier, documenter, suivre, rendre compte et sécuriser leurs engagements. La transparence budgétaire, la certification, la GAR, l’ingénierie de projets et la stabilité des règles sont donc des leviers de financement autant que des outils de bonne gouvernance.</w:t>
      </w:r>
    </w:p>
    <w:p>
      <w:pPr>
        <w:pStyle w:val="Heading2"/>
      </w:pPr>
      <w:r>
        <w:t>Le capital humain relie toutes les transformations.</w:t>
      </w:r>
    </w:p>
    <w:p>
      <w:r>
        <w:t>Aucune réforme institutionnelle ou financière ne produira ses effets sans agents compétents, motivés et reconnus. Les compétences à développer sont nombreuses : ingénierie financière, montage PPP, fiscalité, SIG, numérique, suivi-évaluation, coopération internationale, climat, planification, communication publique et management du changement.</w:t>
      </w:r>
    </w:p>
    <w:p>
      <w:pPr>
        <w:pStyle w:val="Heading2"/>
      </w:pPr>
      <w:r>
        <w:t>L’attractivité internationale doit être fondée sur la qualité urbaine.</w:t>
      </w:r>
    </w:p>
    <w:p>
      <w:r>
        <w:t>Dakar peut développer une marque forte, mais celle-ci doit être cohérente avec l’expérience vécue : mobilité, propreté, espaces verts, sécurité, services, culture, accès au littoral, accueil des visiteurs, gestion des événements et implication des habitants. Le marketing territorial doit être le reflet d’une transformation réelle, non un habillage.</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MESSAGE DE SYNTHÈSE</w:t>
            </w:r>
          </w:p>
          <w:p>
            <w:pPr>
              <w:spacing w:after="40" w:line="252" w:lineRule="auto"/>
            </w:pPr>
            <w:r>
              <w:rPr>
                <w:sz w:val="20"/>
              </w:rPr>
              <w:t>La transformation de Dakar doit être pensée comme un système : un statut clarifié, une gouvernance par résultats, des ressources mobilisées, des agents renforcés et un rayonnement organisé.</w:t>
            </w:r>
          </w:p>
        </w:tc>
      </w:tr>
    </w:tbl>
    <w:p>
      <w:pPr>
        <w:pStyle w:val="Heading1"/>
      </w:pPr>
      <w:r>
        <w:t>Recommandations stratégiques et opérationnelles</w:t>
      </w:r>
    </w:p>
    <w:p>
      <w:pPr>
        <w:pStyle w:val="Heading2"/>
      </w:pPr>
      <w:r>
        <w:t>Pour l’État</w:t>
      </w:r>
    </w:p>
    <w:p>
      <w:pPr>
        <w:pStyle w:val="ListBullet"/>
      </w:pPr>
      <w:r>
        <w:t>Clarifier dans l’Acte IV le statut de Dakar, ses compétences, ses ressources et son articulation avec les pôles territoriaux.</w:t>
      </w:r>
    </w:p>
    <w:p>
      <w:pPr>
        <w:pStyle w:val="ListBullet"/>
      </w:pPr>
      <w:r>
        <w:t>Étudier explicitement l’option d’un District spécial de Dakar ou d’un pôle urbain métropolitain, à comparer avec une ville-capitale renforcée.</w:t>
      </w:r>
    </w:p>
    <w:p>
      <w:pPr>
        <w:pStyle w:val="ListBullet"/>
      </w:pPr>
      <w:r>
        <w:t>Transférer les compétences d’échelle avec les ressources correspondantes : fiscalité urbaine, mobilité, données, PPP, finance climat et levée de fonds.</w:t>
      </w:r>
    </w:p>
    <w:p>
      <w:pPr>
        <w:pStyle w:val="ListBullet"/>
      </w:pPr>
      <w:r>
        <w:t>Définir des blocs de compétences différenciés entre communes, villes, départements, pôles et services de l’État.</w:t>
      </w:r>
    </w:p>
    <w:p>
      <w:pPr>
        <w:pStyle w:val="ListBullet"/>
      </w:pPr>
      <w:r>
        <w:t>Inscrire dans l’Acte IV la GAR comme norme progressive de gestion de la performance des grandes collectivités et des pôles territoriaux.</w:t>
      </w:r>
    </w:p>
    <w:p>
      <w:pPr>
        <w:pStyle w:val="ListBullet"/>
      </w:pPr>
      <w:r>
        <w:t>Intégrer le numérique dans l’Acte IV comme norme de gouvernance : interopérabilité, données partagées, e-services, reporting et tableaux de bord.</w:t>
      </w:r>
    </w:p>
    <w:p>
      <w:pPr>
        <w:pStyle w:val="ListBullet"/>
      </w:pPr>
      <w:r>
        <w:t>Mettre en place un cadre national de partage des données fiscales, foncières, urbaines et budgétaires entre l’État, la Ville et les communes.</w:t>
      </w:r>
    </w:p>
    <w:p>
      <w:pPr>
        <w:pStyle w:val="ListBullet"/>
      </w:pPr>
      <w:r>
        <w:t>Ouvrir un cadre sécurisé d’accès des grandes villes aux marchés financiers, avec exigences de transparence, notation, certification et suivi.</w:t>
      </w:r>
    </w:p>
    <w:p>
      <w:pPr>
        <w:pStyle w:val="ListBullet"/>
      </w:pPr>
      <w:r>
        <w:t>Accélérer la décentralisation maîtrisée de la chaîne fiscale, en particulier sur les données, l’assiette et le recouvrement de proximité.</w:t>
      </w:r>
    </w:p>
    <w:p>
      <w:pPr>
        <w:pStyle w:val="ListBullet"/>
      </w:pPr>
      <w:r>
        <w:t>Mettre en œuvre les recommandations de l’évaluation de l’Acte III relatives au recensement exhaustif des contribuables, à la rationalisation de la fiscalité locale, à l’évaluation du coût des compétences transférées et à l’accès encadré des grandes collectivités à l’emprunt.</w:t>
      </w:r>
    </w:p>
    <w:p>
      <w:pPr>
        <w:pStyle w:val="ListBullet"/>
      </w:pPr>
      <w:r>
        <w:t>Adapter les dispositifs PPP aux besoins des collectivités territoriales, conformément à la loi n° 2021-23, avec appui à la maturation, fonds d’appui, contractualisation équilibrée et renforcement des capacités locales.</w:t>
      </w:r>
    </w:p>
    <w:p>
      <w:pPr>
        <w:pStyle w:val="ListBullet"/>
      </w:pPr>
      <w:r>
        <w:t>Mettre en place des dispositifs nationaux d’appui à l’ingénierie territoriale, financière, climatique et PPP.</w:t>
      </w:r>
    </w:p>
    <w:p>
      <w:pPr>
        <w:pStyle w:val="Heading2"/>
      </w:pPr>
      <w:r>
        <w:t>Pour la Ville de Dakar</w:t>
      </w:r>
    </w:p>
    <w:p>
      <w:pPr>
        <w:pStyle w:val="ListBullet"/>
      </w:pPr>
      <w:r>
        <w:t>Doter la Ville de Dakar d’un Plan stratégique Dakar 2035-2050, adopté par le conseil municipal et partagé avec les communes, les citoyens et les partenaires.</w:t>
      </w:r>
    </w:p>
    <w:p>
      <w:pPr>
        <w:pStyle w:val="ListBullet"/>
      </w:pPr>
      <w:r>
        <w:t>Préparer une note de plaidoyer Acte IV présentant les trois scénarios de statut et leurs implications fiscales, institutionnelles et démocratiques.</w:t>
      </w:r>
    </w:p>
    <w:p>
      <w:pPr>
        <w:pStyle w:val="ListBullet"/>
      </w:pPr>
      <w:r>
        <w:t>Organiser une consultation technique Ville-communes sur les compétences à mutualiser : mobilité, déchets, voirie, fiscalité de proximité, données et événements.</w:t>
      </w:r>
    </w:p>
    <w:p>
      <w:pPr>
        <w:pStyle w:val="ListBullet"/>
      </w:pPr>
      <w:r>
        <w:t>Mettre en place une cellule interdirectionnelle GAR, données municipales, grands projets et suivi-évaluation.</w:t>
      </w:r>
    </w:p>
    <w:p>
      <w:pPr>
        <w:pStyle w:val="ListBullet"/>
      </w:pPr>
      <w:r>
        <w:t>Construire un portefeuille priorisé de projets structurants, avec fiches techniques, coûts, impacts, risques et modes de financement possibles.</w:t>
      </w:r>
    </w:p>
    <w:p>
      <w:pPr>
        <w:pStyle w:val="ListBullet"/>
      </w:pPr>
      <w:r>
        <w:t>Intégrer la gouvernance des données municipales au programme GAR-données : référentiel fiscal, foncier, RH, climat, patrimoine, projets et attractivité.</w:t>
      </w:r>
    </w:p>
    <w:p>
      <w:pPr>
        <w:pStyle w:val="ListBullet"/>
      </w:pPr>
      <w:r>
        <w:t>Élaborer une stratégie de mobilisation des ressources propres : fiscalité foncière, recouvrement digital, stationnement, patrimoine, événementiel, services urbains.</w:t>
      </w:r>
    </w:p>
    <w:p>
      <w:pPr>
        <w:pStyle w:val="ListBullet"/>
      </w:pPr>
      <w:r>
        <w:t>Adopter un paquet de réformes fiscales territoriales : cadastre fiscal numérique, protocole Ville-DGID, e-taxe, fiscalité foncière, fiscalité urbaine moderne, fiscalité environnementale et ingénierie financière territoriale.</w:t>
      </w:r>
    </w:p>
    <w:p>
      <w:pPr>
        <w:pStyle w:val="ListBullet"/>
      </w:pPr>
      <w:r>
        <w:t>Déployer une feuille de route e-taxe : cadastre fiscal géolocalisé, compte contribuable, paiement mobile, relance numérique et tableau de bord de recouvrement.</w:t>
      </w:r>
    </w:p>
    <w:p>
      <w:pPr>
        <w:pStyle w:val="ListBullet"/>
      </w:pPr>
      <w:r>
        <w:t>Exploiter le Budget 2024 comme base de pilotage : isoler le budget réel, suivre la part d’investissement, relier chaque crédit important à un programme, un responsable, un indicateur et un calendrier.</w:t>
      </w:r>
    </w:p>
    <w:p>
      <w:pPr>
        <w:pStyle w:val="ListBullet"/>
      </w:pPr>
      <w:r>
        <w:t>Accélérer le programme de recensement des redevables à l’impôt foncier bâti avec la DGID, afin de rapprocher le produit recouvré du potentiel d’au moins 10 milliards FCFA signalé dans le rapport budgétaire.</w:t>
      </w:r>
    </w:p>
    <w:p>
      <w:pPr>
        <w:pStyle w:val="ListBullet"/>
      </w:pPr>
      <w:r>
        <w:t>Structurer une fiscalité événementielle autour des JOJ 2026, des événements culturels, sportifs, économiques et de l’occupation temporaire du domaine public.</w:t>
      </w:r>
    </w:p>
    <w:p>
      <w:pPr>
        <w:pStyle w:val="ListBullet"/>
      </w:pPr>
      <w:r>
        <w:t>Créer une fonction d’ingénierie financière territoriale chargée des PPP, fonds verts, financements mixtes et partenariats privés.</w:t>
      </w:r>
    </w:p>
    <w:p>
      <w:pPr>
        <w:pStyle w:val="ListBullet"/>
      </w:pPr>
      <w:r>
        <w:t>Institutionnaliser la cellule horizontale de planification comme espace de suivi des projets, d’arbitrage de maturité, de remontée d’information et de reporting vers les décideurs.</w:t>
      </w:r>
    </w:p>
    <w:p>
      <w:pPr>
        <w:pStyle w:val="ListBullet"/>
      </w:pPr>
      <w:r>
        <w:t>Adosser la mise en œuvre du PCET à un dispositif MRV, une unité de données climatiques, une stratégie de finance verte et un portefeuille de projets bancables.</w:t>
      </w:r>
    </w:p>
    <w:p>
      <w:pPr>
        <w:pStyle w:val="ListBullet"/>
      </w:pPr>
      <w:r>
        <w:t>Lancer un programme numérique municipal distinct : e-services, interopérabilité, SIG, e-taxe, archivage, cybersécurité et tableaux de bord.</w:t>
      </w:r>
    </w:p>
    <w:p>
      <w:pPr>
        <w:pStyle w:val="ListBullet"/>
      </w:pPr>
      <w:r>
        <w:t>Lancer un programme transition écologique-PCET distinct : portefeuille vert, MRV, finance climat, adaptation, littoral, déchets, énergie et mobilité décarbonée.</w:t>
      </w:r>
    </w:p>
    <w:p>
      <w:pPr>
        <w:pStyle w:val="ListBullet"/>
      </w:pPr>
      <w:r>
        <w:t>Finaliser l’audit RH, établir une GPEC municipale et aligner le plan de formation sur les priorités de transformation.</w:t>
      </w:r>
    </w:p>
    <w:p>
      <w:pPr>
        <w:pStyle w:val="ListBullet"/>
      </w:pPr>
      <w:r>
        <w:t>Développer une stratégie de marque territoriale et un observatoire de l’attractivité.</w:t>
      </w:r>
    </w:p>
    <w:p>
      <w:pPr>
        <w:pStyle w:val="ListBullet"/>
      </w:pPr>
      <w:r>
        <w:t>Intégrer l’histoire de Dakar dans la stratégie d’attractivité : récit institutionnel, circuits mémoriels, patrimoine urbain, signalétique, événements et tourisme culturel.</w:t>
      </w:r>
    </w:p>
    <w:p>
      <w:pPr>
        <w:pStyle w:val="ListBullet"/>
      </w:pPr>
      <w:r>
        <w:t>Constituer un portefeuille de projets de transition écologique finançables : eaux pluviales, littoral, espaces verts, énergie, déchets et mobilité décarbonée.</w:t>
      </w:r>
    </w:p>
    <w:p>
      <w:pPr>
        <w:pStyle w:val="Heading2"/>
      </w:pPr>
      <w:r>
        <w:t>Pour les communes de Dakar</w:t>
      </w:r>
    </w:p>
    <w:p>
      <w:pPr>
        <w:pStyle w:val="ListBullet"/>
      </w:pPr>
      <w:r>
        <w:t>Participer à une conférence permanente Ville-communes sur les compétences, projets, ressources et services urbains partagés.</w:t>
      </w:r>
    </w:p>
    <w:p>
      <w:pPr>
        <w:pStyle w:val="ListBullet"/>
      </w:pPr>
      <w:r>
        <w:t>Contribuer à la construction d’un cadastre fiscal et territorial métropolitain.</w:t>
      </w:r>
    </w:p>
    <w:p>
      <w:pPr>
        <w:pStyle w:val="ListBullet"/>
      </w:pPr>
      <w:r>
        <w:t>Partager les données d’adressage, d’activités, d’occupation du domaine public, de marchés et d’événements de proximité.</w:t>
      </w:r>
    </w:p>
    <w:p>
      <w:pPr>
        <w:pStyle w:val="ListBullet"/>
      </w:pPr>
      <w:r>
        <w:t>Mettre en cohérence les projets de proximité avec les programmes structurants de la Ville.</w:t>
      </w:r>
    </w:p>
    <w:p>
      <w:pPr>
        <w:pStyle w:val="ListBullet"/>
      </w:pPr>
      <w:r>
        <w:t>Organiser des mécanismes de solidarité financière et de mutualisation pour les services à échelle métropolitaine.</w:t>
      </w:r>
    </w:p>
    <w:p>
      <w:pPr>
        <w:pStyle w:val="ListBullet"/>
      </w:pPr>
      <w:r>
        <w:t>Appliquer les standards numériques et GAR retenus dans l’Acte IV afin d’éviter une fragmentation des systèmes locaux.</w:t>
      </w:r>
    </w:p>
    <w:p>
      <w:pPr>
        <w:pStyle w:val="Heading2"/>
      </w:pPr>
      <w:r>
        <w:t>Pour l’APEC</w:t>
      </w:r>
    </w:p>
    <w:p>
      <w:pPr>
        <w:pStyle w:val="ListBullet"/>
      </w:pPr>
      <w:r>
        <w:t>Assurer la capitalisation des journées scientifiques et la diffusion du rapport auprès des décideurs.</w:t>
      </w:r>
    </w:p>
    <w:p>
      <w:pPr>
        <w:pStyle w:val="ListBullet"/>
      </w:pPr>
      <w:r>
        <w:t>Mettre en place un cadre permanent de réflexion entre cadres municipaux, universitaires, experts et praticiens.</w:t>
      </w:r>
    </w:p>
    <w:p>
      <w:pPr>
        <w:pStyle w:val="ListBullet"/>
      </w:pPr>
      <w:r>
        <w:t>Suivre la mise en œuvre des recommandations à travers une matrice annuelle.</w:t>
      </w:r>
    </w:p>
    <w:p>
      <w:pPr>
        <w:pStyle w:val="ListBullet"/>
      </w:pPr>
      <w:r>
        <w:t>Contribuer au plaidoyer pour la GAR, le statut de Dakar, la formation continue et la valorisation du capital humain.</w:t>
      </w:r>
    </w:p>
    <w:p>
      <w:pPr>
        <w:pStyle w:val="ListBullet"/>
      </w:pPr>
      <w:r>
        <w:t>Animer une veille sur les données, l’e-taxe, la fiscalité événementielle, le portefeuille de projets et la transition écologique.</w:t>
      </w:r>
    </w:p>
    <w:p>
      <w:pPr>
        <w:pStyle w:val="Heading2"/>
      </w:pPr>
      <w:r>
        <w:t>Pour les partenaires techniques, financiers et privés</w:t>
      </w:r>
    </w:p>
    <w:p>
      <w:pPr>
        <w:pStyle w:val="ListBullet"/>
      </w:pPr>
      <w:r>
        <w:t>Appuyer l’assistance à maîtrise d’ouvrage et la préparation des projets bancables.</w:t>
      </w:r>
    </w:p>
    <w:p>
      <w:pPr>
        <w:pStyle w:val="ListBullet"/>
      </w:pPr>
      <w:r>
        <w:t>Financer les études techniques, climatiques, économiques et sociales nécessaires aux projets structurants.</w:t>
      </w:r>
    </w:p>
    <w:p>
      <w:pPr>
        <w:pStyle w:val="ListBullet"/>
      </w:pPr>
      <w:r>
        <w:t>Appuyer le programme GAR-données : référentiel municipal, data room, interopérabilité, qualité des données et portefeuille de projets classés par maturité.</w:t>
      </w:r>
    </w:p>
    <w:p>
      <w:pPr>
        <w:pStyle w:val="ListBullet"/>
      </w:pPr>
      <w:r>
        <w:t>Participer à des plateformes de dialogue public-privé encadrées, transparentes et orientées résultats.</w:t>
      </w:r>
    </w:p>
    <w:p>
      <w:pPr>
        <w:pStyle w:val="ListBullet"/>
      </w:pPr>
      <w:r>
        <w:t>Accompagner la formation des agents municipaux sur les métiers émergents de la transformation urbaine.</w:t>
      </w:r>
    </w:p>
    <w:p>
      <w:pPr>
        <w:pStyle w:val="ListBullet"/>
      </w:pPr>
      <w:r>
        <w:t>Financer les projets de transition écologique et les outils numériques de performance, notamment e-taxe, SIG et tableaux de bord GAR.</w:t>
      </w:r>
    </w:p>
    <w:p>
      <w:pPr>
        <w:pStyle w:val="ListBullet"/>
      </w:pPr>
      <w:r>
        <w:t>Appuyer séparément le programme numérique municipal et le programme transition écologique-PCET, afin que chaque chantier dispose d’objectifs, de financements et d’indicateurs propres.</w:t>
      </w:r>
    </w:p>
    <w:p>
      <w:pPr>
        <w:pStyle w:val="Heading2"/>
      </w:pPr>
      <w:r>
        <w:t>Matrice synthétique des priorités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600"/>
        <w:gridCol w:w="4450"/>
        <w:gridCol w:w="3310"/>
      </w:tblGrid>
      <w:tr>
        <w:trPr>
          <w:tblHeader w:val="true"/>
        </w:trPr>
        <w:tc>
          <w:tcPr>
            <w:tcW w:type="dxa" w:w="1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Priorité</w:t>
            </w:r>
          </w:p>
        </w:tc>
        <w:tc>
          <w:tcPr>
            <w:tcW w:type="dxa" w:w="44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w:t>
            </w:r>
          </w:p>
        </w:tc>
        <w:tc>
          <w:tcPr>
            <w:tcW w:type="dxa" w:w="33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Effet attendu</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Statut</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Plaidoyer pour un cadre spécial ou clarifié de Dakar</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Leadership métropolitain et compétences lisibles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GAR</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Cellule interdirectionnelle et budget-programme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Pilotage par résultats et redevabilité</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Données</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Programme GAR-données, référentiel municipal, data room, SIG, bases fiscales, RH, climat et projets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Décisions mieux documentées et accès facilité aux financements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Ressources</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e-taxe, digitalisation, SRMT locale, fiscalité événementielle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Hausse de l’assiette, recouvrement sécurisé et autonomie financière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Réformes fiscales territoriales</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numérique, protocole DGID-Ville, foncier, fiscalité urbaine moderne et fiscalité verte</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Assiette élargie, équité fiscale et recettes propres plus prévisibles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PPP</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 bancables, maturité des projets et dialogue public-privé</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Investissements structurants hors budget direct</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Numérique</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Normes Acte IV, interopérabilité, services en ligne, tableaux de bord</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Administration plus transparente, plus rapide et plus mesurable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écologique-PCET</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Projets adaptation, eaux pluviales, littoral, reverdissement, énergie, déchets et MRV</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Accès aux fonds climat et résilience écologique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RH</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Audit, GPEC, formation continue, mobilité</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Agents motivés et compétences alignées</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w:t>
            </w:r>
          </w:p>
        </w:tc>
        <w:tc>
          <w:tcPr>
            <w:tcW w:type="dxa" w:w="4450"/>
            <w:tcMar>
              <w:top w:w="80" w:type="dxa"/>
              <w:start w:w="120" w:type="dxa"/>
              <w:bottom w:w="80" w:type="dxa"/>
              <w:end w:w="120" w:type="dxa"/>
            </w:tcMar>
            <w:vAlign w:val="center"/>
          </w:tcPr>
          <w:p>
            <w:pPr>
              <w:spacing w:after="40" w:line="240" w:lineRule="auto" w:before="0"/>
            </w:pPr>
            <w:r>
              <w:rPr>
                <w:rFonts w:ascii="Calibri" w:hAnsi="Calibri"/>
                <w:color w:val="232323"/>
                <w:sz w:val="20"/>
              </w:rPr>
              <w:t>Dakar Brand, histoire de Dakar, observatoire territorial et circuits mémoriels</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Rayonnement, événements, investissements, tourisme culturel</w:t>
            </w:r>
          </w:p>
        </w:tc>
      </w:tr>
    </w:tbl>
    <w:p>
      <w:pPr>
        <w:pStyle w:val="Heading1"/>
      </w:pPr>
      <w:r>
        <w:t>Priorisation et opérationnalisation renforcée</w:t>
      </w:r>
    </w:p>
    <w:p>
      <w:r>
        <w:t>Cette section répond à l’exigence de rendre les recommandations plus directement actionnables. Elle distingue les niveaux d’acteurs, hiérarchise les priorités et précise, pour les mesures les plus structurantes, un responsable, un horizon, un coût indicatif de démarrage, un indicateur SMART, un risque et un moyen de vérification. Les montants indiqués sont des ordres de grandeur de préparation et de pilotage ; ils n’incluent pas les investissements lourds, qui devront faire l’objet d’études de faisabilité.</w:t>
      </w:r>
    </w:p>
    <w:p>
      <w:pPr>
        <w:pStyle w:val="Heading2"/>
      </w:pPr>
      <w:r>
        <w:t>Recommandations par niveau territorial</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600"/>
        <w:gridCol w:w="2800"/>
        <w:gridCol w:w="3000"/>
        <w:gridCol w:w="1000"/>
        <w:gridCol w:w="960"/>
      </w:tblGrid>
      <w:tr>
        <w:trPr>
          <w:tblHeader w:val="true"/>
        </w:trPr>
        <w:tc>
          <w:tcPr>
            <w:tcW w:type="dxa" w:w="16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Niveau</w:t>
            </w:r>
          </w:p>
        </w:tc>
        <w:tc>
          <w:tcPr>
            <w:tcW w:type="dxa" w:w="2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Priorités</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Décisions à prendre</w:t>
            </w:r>
          </w:p>
        </w:tc>
        <w:tc>
          <w:tcPr>
            <w:tcW w:type="dxa" w:w="1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c>
          <w:tcPr>
            <w:tcW w:type="dxa" w:w="9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 de résultat</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État / Acte IV</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Statut de Dakar ; normes GAR ; numérique territorial ; partage de données ; fiscalité locale ; emprunt et PPP.</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Ouvrir un cadre de dialogue formel et intégrer dans l’Acte IV les dispositions relatives aux grandes villes, à la GAR et aux données.</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0-18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Au moins une note officielle de propositions transmise ; dispositions ou protocoles discutés avec l’État.</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Plan stratégique Dakar 2035-2050 ; cellule GAR-données-projets ; réformes fiscales territoriales ; programmes numérique et transition écologique-PCET ; portefeuille bancable ; Dakar Brand historique.</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Adopter un paquet municipal de transformation et désigner des responsables par programme.</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0-6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Plan cadré ; cellule installée ; deux programmes distincts cadrés ; portefeuille de 10 projets ; tableau de bord initial.</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Grandes communes</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Données d’assiette ; projets intercommunaux ; voirie, déchets, événements, occupations du domaine public.</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Désigner des points focaux et signer des conventions de coopération avec la Ville.</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0-12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Nombre de conventions signées ; données transmises ; projets mutualisés inscrits au portefeuille.</w:t>
            </w:r>
          </w:p>
        </w:tc>
      </w:tr>
      <w:tr>
        <w:tc>
          <w:tcPr>
            <w:tcW w:type="dxa" w:w="1600"/>
            <w:tcMar>
              <w:top w:w="80" w:type="dxa"/>
              <w:start w:w="120" w:type="dxa"/>
              <w:bottom w:w="80" w:type="dxa"/>
              <w:end w:w="120" w:type="dxa"/>
            </w:tcMar>
            <w:vAlign w:val="center"/>
          </w:tcPr>
          <w:p>
            <w:pPr>
              <w:spacing w:after="40" w:line="240" w:lineRule="auto" w:before="0"/>
            </w:pPr>
            <w:r>
              <w:rPr>
                <w:rFonts w:ascii="Calibri" w:hAnsi="Calibri"/>
                <w:color w:val="232323"/>
                <w:sz w:val="20"/>
              </w:rPr>
              <w:t>Petites communes</w:t>
            </w:r>
          </w:p>
        </w:tc>
        <w:tc>
          <w:tcPr>
            <w:tcW w:type="dxa" w:w="2800"/>
            <w:tcMar>
              <w:top w:w="80" w:type="dxa"/>
              <w:start w:w="120" w:type="dxa"/>
              <w:bottom w:w="80" w:type="dxa"/>
              <w:end w:w="120" w:type="dxa"/>
            </w:tcMar>
            <w:vAlign w:val="center"/>
          </w:tcPr>
          <w:p>
            <w:pPr>
              <w:spacing w:after="40" w:line="240" w:lineRule="auto" w:before="0"/>
            </w:pPr>
            <w:r>
              <w:rPr>
                <w:rFonts w:ascii="Calibri" w:hAnsi="Calibri"/>
                <w:color w:val="232323"/>
                <w:sz w:val="20"/>
              </w:rPr>
              <w:t>Données de proximité ; participation citoyenne ; services de base ; relais fiscal et événementiel.</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un format léger de reporting et participer aux cadres Ville-communes.</w:t>
            </w:r>
          </w:p>
        </w:tc>
        <w:tc>
          <w:tcPr>
            <w:tcW w:type="dxa" w:w="1000"/>
            <w:tcMar>
              <w:top w:w="80" w:type="dxa"/>
              <w:start w:w="120" w:type="dxa"/>
              <w:bottom w:w="80" w:type="dxa"/>
              <w:end w:w="120" w:type="dxa"/>
            </w:tcMar>
            <w:vAlign w:val="center"/>
          </w:tcPr>
          <w:p>
            <w:pPr>
              <w:spacing w:after="40" w:line="240" w:lineRule="auto" w:before="0"/>
            </w:pPr>
            <w:r>
              <w:rPr>
                <w:rFonts w:ascii="Calibri" w:hAnsi="Calibri"/>
                <w:color w:val="232323"/>
                <w:sz w:val="20"/>
              </w:rPr>
              <w:t>0-12 mois</w:t>
            </w:r>
          </w:p>
        </w:tc>
        <w:tc>
          <w:tcPr>
            <w:tcW w:type="dxa" w:w="960"/>
            <w:tcMar>
              <w:top w:w="80" w:type="dxa"/>
              <w:start w:w="120" w:type="dxa"/>
              <w:bottom w:w="80" w:type="dxa"/>
              <w:end w:w="120" w:type="dxa"/>
            </w:tcMar>
            <w:vAlign w:val="center"/>
          </w:tcPr>
          <w:p>
            <w:pPr>
              <w:spacing w:after="40" w:line="240" w:lineRule="auto" w:before="0"/>
            </w:pPr>
            <w:r>
              <w:rPr>
                <w:rFonts w:ascii="Calibri" w:hAnsi="Calibri"/>
                <w:color w:val="232323"/>
                <w:sz w:val="20"/>
              </w:rPr>
              <w:t>Tableaux de remontée transmis ; réunions tenues ; besoins de proximité intégrés aux programmes.</w:t>
            </w:r>
          </w:p>
        </w:tc>
      </w:tr>
    </w:tbl>
    <w:p>
      <w:pPr>
        <w:pStyle w:val="Heading2"/>
      </w:pPr>
      <w:r>
        <w:t>Matrice de priorisation impact – faisabilité – urgence</w:t>
      </w:r>
    </w:p>
    <w:p>
      <w:r>
        <w:t>La notation ci-dessous utilise une échelle simple de 1 à 3 : 1 faible, 2 moyen, 3 élevé. Le score total permet de hiérarchiser les premières décisions sans remplacer l’analyse politique et financière détaillée.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350"/>
        <w:gridCol w:w="900"/>
        <w:gridCol w:w="1100"/>
        <w:gridCol w:w="900"/>
        <w:gridCol w:w="800"/>
        <w:gridCol w:w="2310"/>
      </w:tblGrid>
      <w:tr>
        <w:trPr>
          <w:tblHeader w:val="true"/>
        </w:trPr>
        <w:tc>
          <w:tcPr>
            <w:tcW w:type="dxa" w:w="33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Action prioritaire</w:t>
            </w:r>
          </w:p>
        </w:tc>
        <w:tc>
          <w:tcPr>
            <w:tcW w:type="dxa" w:w="9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Impact</w:t>
            </w:r>
          </w:p>
        </w:tc>
        <w:tc>
          <w:tcPr>
            <w:tcW w:type="dxa" w:w="11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Faisabilité</w:t>
            </w:r>
          </w:p>
        </w:tc>
        <w:tc>
          <w:tcPr>
            <w:tcW w:type="dxa" w:w="9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Urgence</w:t>
            </w:r>
          </w:p>
        </w:tc>
        <w:tc>
          <w:tcPr>
            <w:tcW w:type="dxa" w:w="8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Score</w:t>
            </w:r>
          </w:p>
        </w:tc>
        <w:tc>
          <w:tcPr>
            <w:tcW w:type="dxa" w:w="231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Rang</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Cadrer le Plan stratégique Dakar 2035-2050</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9</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1</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Créer la cellule GAR-données-projets</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9</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1</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Adopter le paquet de réformes fiscales territoriales avec la DGID</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Lancer le programme numérique municipal</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Lancer le programme transition écologique-PCET</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Valider la note Acte IV/statut/compétences sur la base du Code des CL</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8</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Construire le portefeuille de 10 projets et 3 fiches bancables</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7</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Intégrer la data room au programme GAR-données</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7</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Produire le récit historique et les circuits d’attractivité de Dakar</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7</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3</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Structurer la fiscalité événementielle</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6</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4</w:t>
            </w:r>
          </w:p>
        </w:tc>
      </w:tr>
      <w:tr>
        <w:tc>
          <w:tcPr>
            <w:tcW w:type="dxa" w:w="3350"/>
            <w:tcMar>
              <w:top w:w="120" w:type="dxa"/>
              <w:start w:w="120" w:type="dxa"/>
              <w:bottom w:w="120" w:type="dxa"/>
              <w:end w:w="120" w:type="dxa"/>
            </w:tcMar>
            <w:vAlign w:val="center"/>
          </w:tcPr>
          <w:p>
            <w:pPr>
              <w:spacing w:after="40" w:line="240" w:lineRule="auto" w:before="0"/>
            </w:pPr>
            <w:r>
              <w:rPr>
                <w:rFonts w:ascii="Calibri" w:hAnsi="Calibri"/>
                <w:color w:val="232323"/>
                <w:sz w:val="20"/>
              </w:rPr>
              <w:t>Finaliser l’audit RH et la GPEC</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11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900"/>
            <w:tcMar>
              <w:top w:w="120" w:type="dxa"/>
              <w:start w:w="120" w:type="dxa"/>
              <w:bottom w:w="120" w:type="dxa"/>
              <w:end w:w="120" w:type="dxa"/>
            </w:tcMar>
            <w:vAlign w:val="center"/>
          </w:tcPr>
          <w:p>
            <w:pPr>
              <w:spacing w:after="40" w:line="240" w:lineRule="auto" w:before="0"/>
            </w:pPr>
            <w:r>
              <w:rPr>
                <w:rFonts w:ascii="Calibri" w:hAnsi="Calibri"/>
                <w:color w:val="232323"/>
                <w:sz w:val="20"/>
              </w:rPr>
              <w:t>2</w:t>
            </w:r>
          </w:p>
        </w:tc>
        <w:tc>
          <w:tcPr>
            <w:tcW w:type="dxa" w:w="800"/>
            <w:tcMar>
              <w:top w:w="120" w:type="dxa"/>
              <w:start w:w="120" w:type="dxa"/>
              <w:bottom w:w="120" w:type="dxa"/>
              <w:end w:w="120" w:type="dxa"/>
            </w:tcMar>
            <w:vAlign w:val="center"/>
          </w:tcPr>
          <w:p>
            <w:pPr>
              <w:spacing w:after="40" w:line="240" w:lineRule="auto" w:before="0"/>
            </w:pPr>
            <w:r>
              <w:rPr>
                <w:rFonts w:ascii="Calibri" w:hAnsi="Calibri"/>
                <w:color w:val="232323"/>
                <w:sz w:val="20"/>
              </w:rPr>
              <w:t>6</w:t>
            </w:r>
          </w:p>
        </w:tc>
        <w:tc>
          <w:tcPr>
            <w:tcW w:type="dxa" w:w="2310"/>
            <w:tcMar>
              <w:top w:w="120" w:type="dxa"/>
              <w:start w:w="120" w:type="dxa"/>
              <w:bottom w:w="120" w:type="dxa"/>
              <w:end w:w="120" w:type="dxa"/>
            </w:tcMar>
            <w:vAlign w:val="center"/>
          </w:tcPr>
          <w:p>
            <w:pPr>
              <w:spacing w:after="40" w:line="240" w:lineRule="auto" w:before="0"/>
            </w:pPr>
            <w:r>
              <w:rPr>
                <w:rFonts w:ascii="Calibri" w:hAnsi="Calibri"/>
                <w:color w:val="232323"/>
                <w:sz w:val="20"/>
              </w:rPr>
              <w:t>4</w:t>
            </w:r>
          </w:p>
        </w:tc>
      </w:tr>
      <w:tr>
        <w:tc>
          <w:tcPr>
            <w:tcW w:type="dxa" w:w="3350"/>
            <w:tcMar>
              <w:top w:w="120" w:type="dxa"/>
              <w:start w:w="120" w:type="dxa"/>
              <w:bottom w:w="120" w:type="dxa"/>
              <w:end w:w="120" w:type="dxa"/>
            </w:tcMar>
          </w:tcPr>
          <w:p>
            <w:pPr>
              <w:spacing w:after="40" w:line="240" w:lineRule="auto" w:before="0"/>
            </w:pPr>
            <w:r>
              <w:rPr>
                <w:sz w:val="20"/>
              </w:rPr>
              <w:t>Arbitrer le scénario District spécial / pôle urbain métropolitain</w:t>
            </w:r>
          </w:p>
        </w:tc>
        <w:tc>
          <w:tcPr>
            <w:tcW w:type="dxa" w:w="900"/>
            <w:tcMar>
              <w:top w:w="120" w:type="dxa"/>
              <w:start w:w="120" w:type="dxa"/>
              <w:bottom w:w="120" w:type="dxa"/>
              <w:end w:w="120" w:type="dxa"/>
            </w:tcMar>
          </w:tcPr>
          <w:p>
            <w:pPr>
              <w:spacing w:after="40" w:line="240" w:lineRule="auto" w:before="0"/>
            </w:pPr>
            <w:r>
              <w:rPr>
                <w:sz w:val="20"/>
              </w:rPr>
              <w:t>3</w:t>
            </w:r>
          </w:p>
        </w:tc>
        <w:tc>
          <w:tcPr>
            <w:tcW w:type="dxa" w:w="1100"/>
            <w:tcMar>
              <w:top w:w="120" w:type="dxa"/>
              <w:start w:w="120" w:type="dxa"/>
              <w:bottom w:w="120" w:type="dxa"/>
              <w:end w:w="120" w:type="dxa"/>
            </w:tcMar>
          </w:tcPr>
          <w:p>
            <w:pPr>
              <w:spacing w:after="40" w:line="240" w:lineRule="auto" w:before="0"/>
            </w:pPr>
            <w:r>
              <w:rPr>
                <w:sz w:val="20"/>
              </w:rPr>
              <w:t>2</w:t>
            </w:r>
          </w:p>
        </w:tc>
        <w:tc>
          <w:tcPr>
            <w:tcW w:type="dxa" w:w="900"/>
            <w:tcMar>
              <w:top w:w="120" w:type="dxa"/>
              <w:start w:w="120" w:type="dxa"/>
              <w:bottom w:w="120" w:type="dxa"/>
              <w:end w:w="120" w:type="dxa"/>
            </w:tcMar>
          </w:tcPr>
          <w:p>
            <w:pPr>
              <w:spacing w:after="40" w:line="240" w:lineRule="auto" w:before="0"/>
            </w:pPr>
            <w:r>
              <w:rPr>
                <w:sz w:val="20"/>
              </w:rPr>
              <w:t>3</w:t>
            </w:r>
          </w:p>
        </w:tc>
        <w:tc>
          <w:tcPr>
            <w:tcW w:type="dxa" w:w="800"/>
            <w:tcMar>
              <w:top w:w="120" w:type="dxa"/>
              <w:start w:w="120" w:type="dxa"/>
              <w:bottom w:w="120" w:type="dxa"/>
              <w:end w:w="120" w:type="dxa"/>
            </w:tcMar>
          </w:tcPr>
          <w:p>
            <w:pPr>
              <w:spacing w:after="40" w:line="240" w:lineRule="auto" w:before="0"/>
            </w:pPr>
            <w:r>
              <w:rPr>
                <w:sz w:val="20"/>
              </w:rPr>
              <w:t>8</w:t>
            </w:r>
          </w:p>
        </w:tc>
        <w:tc>
          <w:tcPr>
            <w:tcW w:type="dxa" w:w="2310"/>
            <w:tcMar>
              <w:top w:w="120" w:type="dxa"/>
              <w:start w:w="120" w:type="dxa"/>
              <w:bottom w:w="120" w:type="dxa"/>
              <w:end w:w="120" w:type="dxa"/>
            </w:tcMar>
          </w:tcPr>
          <w:p>
            <w:pPr>
              <w:spacing w:after="40" w:line="240" w:lineRule="auto" w:before="0"/>
            </w:pPr>
            <w:r>
              <w:rPr>
                <w:sz w:val="20"/>
              </w:rPr>
              <w:t>2</w:t>
            </w:r>
          </w:p>
        </w:tc>
      </w:tr>
    </w:tbl>
    <w:p>
      <w:pPr>
        <w:pStyle w:val="Heading2"/>
      </w:pPr>
      <w:r>
        <w:t>Matrice opérationnelle SMART</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150"/>
        <w:gridCol w:w="1050"/>
        <w:gridCol w:w="850"/>
        <w:gridCol w:w="1050"/>
        <w:gridCol w:w="700"/>
        <w:gridCol w:w="1850"/>
        <w:gridCol w:w="1350"/>
        <w:gridCol w:w="1360"/>
      </w:tblGrid>
      <w:tr>
        <w:trPr>
          <w:tblHeader w:val="true"/>
        </w:trPr>
        <w:tc>
          <w:tcPr>
            <w:tcW w:type="dxa" w:w="11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Action</w:t>
            </w:r>
          </w:p>
        </w:tc>
        <w:tc>
          <w:tcPr>
            <w:tcW w:type="dxa" w:w="10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Responsable</w:t>
            </w:r>
          </w:p>
        </w:tc>
        <w:tc>
          <w:tcPr>
            <w:tcW w:type="dxa" w:w="8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Priorité</w:t>
            </w:r>
          </w:p>
        </w:tc>
        <w:tc>
          <w:tcPr>
            <w:tcW w:type="dxa" w:w="10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Coût indicatif</w:t>
            </w:r>
          </w:p>
        </w:tc>
        <w:tc>
          <w:tcPr>
            <w:tcW w:type="dxa" w:w="7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Échéance</w:t>
            </w:r>
          </w:p>
        </w:tc>
        <w:tc>
          <w:tcPr>
            <w:tcW w:type="dxa" w:w="18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Indicateur SMART</w:t>
            </w:r>
          </w:p>
        </w:tc>
        <w:tc>
          <w:tcPr>
            <w:tcW w:type="dxa" w:w="13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Risque</w:t>
            </w:r>
          </w:p>
        </w:tc>
        <w:tc>
          <w:tcPr>
            <w:tcW w:type="dxa" w:w="13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Vérification</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Plan stratégique Dakar 2035-2050</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Cabinet + SG</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30-80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Note de cadrage validée, équipe installée et calendrier de concertation adopté.</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Vision non arbitrée</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Délibération, note de cadrage, calendrier.</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Cellule GAR-données-projets</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Secrétariat général</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25-75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M+2</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Cellule créée, référentiel de données adopté, revue trimestrielle tenue.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Mandat flou</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Décision, organigramme, PV de revue.</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Programme numérique municipal</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SG + numérique</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35-100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M+3</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Feuille de route numérique validée, 5 e-services priorisés et architecture d’interopérabilité définie.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Outils isolés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Note de cadrage, cartographie SI, tableau de bord.</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Programme transition écologique-PCET</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Environnement + finances</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M+3</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vert initial, MRV et 5 projets PCET prioritaires identifiés.</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Projets insuffisamment documentés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Note PCET, fiches projets, tableau MRV.</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Réformes fiscales territoriales</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Finances + DGID</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100-300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Protocole DGID signé, zone pilote choisie, base contribuables produite, paiement digital cadré.</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Accès incomplet aux données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Protocole DGID, carte fiscale, tableau recouvrement.</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Position Acte IV / Code des CL</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Cabinet + juridique</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Très 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10-30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M+3</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Note validée sur compétences, ressources, ville-communes et mutualisation.</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Arbitrage politique retardé</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Note transmise, PV de validation.</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de projets bancables</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Cellule projets</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10 projets classés, 3 fiches bancables prêtes.</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Projets trop peu documentés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Fiches projets, matrice risques, niveaux maturité.</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Dakar Brand historique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Culture + coopération</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Haute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20-60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M+6</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Récit historique, 3 circuits mémoriels, calendrier pilote.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Communication sans contenu</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Document de récit, cartes de circuits, calendrier.</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Fiscalité événementielle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Finances + domaine public</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Moyenne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20-50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M+9</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Barème, procédure numérique et suivi des redevances adoptés.</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Résistance des organisateurs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Délibération, procédure, tableau paiements.</w:t>
            </w:r>
          </w:p>
        </w:tc>
      </w:tr>
      <w:tr>
        <w:tc>
          <w:tcPr>
            <w:tcW w:type="dxa" w:w="1150"/>
            <w:tcMar>
              <w:top w:w="120" w:type="dxa"/>
              <w:start w:w="120" w:type="dxa"/>
              <w:bottom w:w="120" w:type="dxa"/>
              <w:end w:w="120" w:type="dxa"/>
            </w:tcMar>
            <w:vAlign w:val="center"/>
          </w:tcPr>
          <w:p>
            <w:pPr>
              <w:spacing w:after="40" w:line="240" w:lineRule="auto" w:before="0"/>
            </w:pPr>
            <w:r>
              <w:rPr>
                <w:rFonts w:ascii="Calibri" w:hAnsi="Calibri"/>
                <w:color w:val="232323"/>
                <w:sz w:val="20"/>
              </w:rPr>
              <w:t>Audit RH et GPEC</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DRH</w:t>
            </w:r>
          </w:p>
        </w:tc>
        <w:tc>
          <w:tcPr>
            <w:tcW w:type="dxa" w:w="850"/>
            <w:tcMar>
              <w:top w:w="120" w:type="dxa"/>
              <w:start w:w="120" w:type="dxa"/>
              <w:bottom w:w="120" w:type="dxa"/>
              <w:end w:w="120" w:type="dxa"/>
            </w:tcMar>
            <w:vAlign w:val="center"/>
          </w:tcPr>
          <w:p>
            <w:pPr>
              <w:spacing w:after="40" w:line="240" w:lineRule="auto" w:before="0"/>
            </w:pPr>
            <w:r>
              <w:rPr>
                <w:rFonts w:ascii="Calibri" w:hAnsi="Calibri"/>
                <w:color w:val="232323"/>
                <w:sz w:val="20"/>
              </w:rPr>
              <w:t>Moyenne</w:t>
            </w:r>
          </w:p>
        </w:tc>
        <w:tc>
          <w:tcPr>
            <w:tcW w:type="dxa" w:w="1050"/>
            <w:tcMar>
              <w:top w:w="120" w:type="dxa"/>
              <w:start w:w="120" w:type="dxa"/>
              <w:bottom w:w="120" w:type="dxa"/>
              <w:end w:w="120" w:type="dxa"/>
            </w:tcMar>
            <w:vAlign w:val="center"/>
          </w:tcPr>
          <w:p>
            <w:pPr>
              <w:spacing w:after="40" w:line="240" w:lineRule="auto" w:before="0"/>
            </w:pPr>
            <w:r>
              <w:rPr>
                <w:rFonts w:ascii="Calibri" w:hAnsi="Calibri"/>
                <w:color w:val="232323"/>
                <w:sz w:val="20"/>
              </w:rPr>
              <w:t>40-100 M FCFA</w:t>
            </w:r>
          </w:p>
        </w:tc>
        <w:tc>
          <w:tcPr>
            <w:tcW w:type="dxa" w:w="700"/>
            <w:tcMar>
              <w:top w:w="120" w:type="dxa"/>
              <w:start w:w="120" w:type="dxa"/>
              <w:bottom w:w="120" w:type="dxa"/>
              <w:end w:w="120" w:type="dxa"/>
            </w:tcMar>
            <w:vAlign w:val="center"/>
          </w:tcPr>
          <w:p>
            <w:pPr>
              <w:spacing w:after="40" w:line="240" w:lineRule="auto" w:before="0"/>
            </w:pPr>
            <w:r>
              <w:rPr>
                <w:rFonts w:ascii="Calibri" w:hAnsi="Calibri"/>
                <w:color w:val="232323"/>
                <w:sz w:val="20"/>
              </w:rPr>
              <w:t>M+12</w:t>
            </w:r>
          </w:p>
        </w:tc>
        <w:tc>
          <w:tcPr>
            <w:tcW w:type="dxa" w:w="1850"/>
            <w:tcMar>
              <w:top w:w="120" w:type="dxa"/>
              <w:start w:w="120" w:type="dxa"/>
              <w:bottom w:w="120" w:type="dxa"/>
              <w:end w:w="120" w:type="dxa"/>
            </w:tcMar>
            <w:vAlign w:val="center"/>
          </w:tcPr>
          <w:p>
            <w:pPr>
              <w:spacing w:after="40" w:line="240" w:lineRule="auto" w:before="0"/>
            </w:pPr>
            <w:r>
              <w:rPr>
                <w:rFonts w:ascii="Calibri" w:hAnsi="Calibri"/>
                <w:color w:val="232323"/>
                <w:sz w:val="20"/>
              </w:rPr>
              <w:t>Audit couvrant 100% des services ; référentiel métiers disponible.</w:t>
            </w:r>
          </w:p>
        </w:tc>
        <w:tc>
          <w:tcPr>
            <w:tcW w:type="dxa" w:w="1350"/>
            <w:tcMar>
              <w:top w:w="120" w:type="dxa"/>
              <w:start w:w="120" w:type="dxa"/>
              <w:bottom w:w="120" w:type="dxa"/>
              <w:end w:w="120" w:type="dxa"/>
            </w:tcMar>
            <w:vAlign w:val="center"/>
          </w:tcPr>
          <w:p>
            <w:pPr>
              <w:spacing w:after="40" w:line="240" w:lineRule="auto" w:before="0"/>
            </w:pPr>
            <w:r>
              <w:rPr>
                <w:rFonts w:ascii="Calibri" w:hAnsi="Calibri"/>
                <w:color w:val="232323"/>
                <w:sz w:val="20"/>
              </w:rPr>
              <w:t>Données RH incomplètes</w:t>
            </w:r>
          </w:p>
        </w:tc>
        <w:tc>
          <w:tcPr>
            <w:tcW w:type="dxa" w:w="1360"/>
            <w:tcMar>
              <w:top w:w="120" w:type="dxa"/>
              <w:start w:w="120" w:type="dxa"/>
              <w:bottom w:w="120" w:type="dxa"/>
              <w:end w:w="120" w:type="dxa"/>
            </w:tcMar>
            <w:vAlign w:val="center"/>
          </w:tcPr>
          <w:p>
            <w:pPr>
              <w:spacing w:after="40" w:line="240" w:lineRule="auto" w:before="0"/>
            </w:pPr>
            <w:r>
              <w:rPr>
                <w:rFonts w:ascii="Calibri" w:hAnsi="Calibri"/>
                <w:color w:val="232323"/>
                <w:sz w:val="20"/>
              </w:rPr>
              <w:t>Rapport audit, base RH, plan formation.</w:t>
            </w:r>
          </w:p>
        </w:tc>
      </w:tr>
      <w:tr>
        <w:tc>
          <w:tcPr>
            <w:tcW w:type="dxa" w:w="1150"/>
            <w:tcMar>
              <w:top w:w="120" w:type="dxa"/>
              <w:start w:w="120" w:type="dxa"/>
              <w:bottom w:w="120" w:type="dxa"/>
              <w:end w:w="120" w:type="dxa"/>
            </w:tcMar>
          </w:tcPr>
          <w:p>
            <w:pPr>
              <w:spacing w:after="40" w:line="240" w:lineRule="auto" w:before="0"/>
            </w:pPr>
            <w:r>
              <w:rPr>
                <w:sz w:val="20"/>
              </w:rPr>
              <w:t>Scénario statut Dakar</w:t>
            </w:r>
          </w:p>
        </w:tc>
        <w:tc>
          <w:tcPr>
            <w:tcW w:type="dxa" w:w="1050"/>
            <w:tcMar>
              <w:top w:w="120" w:type="dxa"/>
              <w:start w:w="120" w:type="dxa"/>
              <w:bottom w:w="120" w:type="dxa"/>
              <w:end w:w="120" w:type="dxa"/>
            </w:tcMar>
          </w:tcPr>
          <w:p>
            <w:pPr>
              <w:spacing w:after="40" w:line="240" w:lineRule="auto" w:before="0"/>
            </w:pPr>
            <w:r>
              <w:rPr>
                <w:sz w:val="20"/>
              </w:rPr>
              <w:t>Cabinet + juridique + SG</w:t>
            </w:r>
          </w:p>
        </w:tc>
        <w:tc>
          <w:tcPr>
            <w:tcW w:type="dxa" w:w="850"/>
            <w:tcMar>
              <w:top w:w="120" w:type="dxa"/>
              <w:start w:w="120" w:type="dxa"/>
              <w:bottom w:w="120" w:type="dxa"/>
              <w:end w:w="120" w:type="dxa"/>
            </w:tcMar>
          </w:tcPr>
          <w:p>
            <w:pPr>
              <w:spacing w:after="40" w:line="240" w:lineRule="auto" w:before="0"/>
            </w:pPr>
            <w:r>
              <w:rPr>
                <w:sz w:val="20"/>
              </w:rPr>
              <w:t>Très haute</w:t>
            </w:r>
          </w:p>
        </w:tc>
        <w:tc>
          <w:tcPr>
            <w:tcW w:type="dxa" w:w="1050"/>
            <w:tcMar>
              <w:top w:w="120" w:type="dxa"/>
              <w:start w:w="120" w:type="dxa"/>
              <w:bottom w:w="120" w:type="dxa"/>
              <w:end w:w="120" w:type="dxa"/>
            </w:tcMar>
          </w:tcPr>
          <w:p>
            <w:pPr>
              <w:spacing w:after="40" w:line="240" w:lineRule="auto" w:before="0"/>
            </w:pPr>
            <w:r>
              <w:rPr>
                <w:sz w:val="20"/>
              </w:rPr>
              <w:t>15-40 M FCFA</w:t>
            </w:r>
          </w:p>
        </w:tc>
        <w:tc>
          <w:tcPr>
            <w:tcW w:type="dxa" w:w="700"/>
            <w:tcMar>
              <w:top w:w="120" w:type="dxa"/>
              <w:start w:w="120" w:type="dxa"/>
              <w:bottom w:w="120" w:type="dxa"/>
              <w:end w:w="120" w:type="dxa"/>
            </w:tcMar>
          </w:tcPr>
          <w:p>
            <w:pPr>
              <w:spacing w:after="40" w:line="240" w:lineRule="auto" w:before="0"/>
            </w:pPr>
            <w:r>
              <w:rPr>
                <w:sz w:val="20"/>
              </w:rPr>
              <w:t>M+4</w:t>
            </w:r>
          </w:p>
        </w:tc>
        <w:tc>
          <w:tcPr>
            <w:tcW w:type="dxa" w:w="1850"/>
            <w:tcMar>
              <w:top w:w="120" w:type="dxa"/>
              <w:start w:w="120" w:type="dxa"/>
              <w:bottom w:w="120" w:type="dxa"/>
              <w:end w:w="120" w:type="dxa"/>
            </w:tcMar>
          </w:tcPr>
          <w:p>
            <w:pPr>
              <w:spacing w:after="40" w:line="240" w:lineRule="auto" w:before="0"/>
            </w:pPr>
            <w:r>
              <w:rPr>
                <w:sz w:val="20"/>
              </w:rPr>
              <w:t>Trois scénarios comparés, note de plaidoyer validée et calendrier État-Ville-communes établi.</w:t>
            </w:r>
          </w:p>
        </w:tc>
        <w:tc>
          <w:tcPr>
            <w:tcW w:type="dxa" w:w="1350"/>
            <w:tcMar>
              <w:top w:w="120" w:type="dxa"/>
              <w:start w:w="120" w:type="dxa"/>
              <w:bottom w:w="120" w:type="dxa"/>
              <w:end w:w="120" w:type="dxa"/>
            </w:tcMar>
          </w:tcPr>
          <w:p>
            <w:pPr>
              <w:spacing w:after="40" w:line="240" w:lineRule="auto" w:before="0"/>
            </w:pPr>
            <w:r>
              <w:rPr>
                <w:sz w:val="20"/>
              </w:rPr>
              <w:t>Débat institutionnel non cadré</w:t>
            </w:r>
          </w:p>
        </w:tc>
        <w:tc>
          <w:tcPr>
            <w:tcW w:type="dxa" w:w="1360"/>
            <w:tcMar>
              <w:top w:w="120" w:type="dxa"/>
              <w:start w:w="120" w:type="dxa"/>
              <w:bottom w:w="120" w:type="dxa"/>
              <w:end w:w="120" w:type="dxa"/>
            </w:tcMar>
          </w:tcPr>
          <w:p>
            <w:pPr>
              <w:spacing w:after="40" w:line="240" w:lineRule="auto" w:before="0"/>
            </w:pPr>
            <w:r>
              <w:rPr>
                <w:sz w:val="20"/>
              </w:rPr>
              <w:t>Note comparative, PV de consultation, transmission officielle.</w:t>
            </w:r>
          </w:p>
        </w:tc>
      </w:tr>
    </w:tbl>
    <w:p>
      <w:pPr>
        <w:pStyle w:val="Heading2"/>
      </w:pPr>
      <w:r>
        <w:t>Chiffrage, financement potentiel et gains attendus</w:t>
      </w:r>
    </w:p>
    <w:p>
      <w:r>
        <w:t>Les coûts ci-dessous sont des coûts indicatifs de préparation, de pilotage ou de démarrage. Ils ne constituent pas un budget d’investissement définitif. Leur fonction est d’aider les décideurs à répondre aux trois questions opérationnelles : combien cela coûte au départ, qui peut payer, et quel retour peut être attendu.</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00"/>
        <w:gridCol w:w="1450"/>
        <w:gridCol w:w="2100"/>
        <w:gridCol w:w="2250"/>
        <w:gridCol w:w="1860"/>
      </w:tblGrid>
      <w:tr>
        <w:trPr>
          <w:tblHeader w:val="true"/>
        </w:trPr>
        <w:tc>
          <w:tcPr>
            <w:tcW w:type="dxa" w:w="17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Action</w:t>
            </w:r>
          </w:p>
        </w:tc>
        <w:tc>
          <w:tcPr>
            <w:tcW w:type="dxa" w:w="14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Coût indicatif de démarrage</w:t>
            </w:r>
          </w:p>
        </w:tc>
        <w:tc>
          <w:tcPr>
            <w:tcW w:type="dxa" w:w="210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Financement potentiel</w:t>
            </w:r>
          </w:p>
        </w:tc>
        <w:tc>
          <w:tcPr>
            <w:tcW w:type="dxa" w:w="225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Gain attendu</w:t>
            </w:r>
          </w:p>
        </w:tc>
        <w:tc>
          <w:tcPr>
            <w:tcW w:type="dxa" w:w="1860"/>
            <w:tcMar>
              <w:top w:w="120" w:type="dxa"/>
              <w:start w:w="120" w:type="dxa"/>
              <w:bottom w:w="120" w:type="dxa"/>
              <w:end w:w="120" w:type="dxa"/>
            </w:tcMar>
            <w:vAlign w:val="center"/>
            <w:shd w:fill="1F4E79" w:val="clear" w:color="auto"/>
          </w:tcPr>
          <w:p>
            <w:pPr>
              <w:spacing w:after="40" w:line="240" w:lineRule="auto" w:before="0"/>
            </w:pPr>
            <w:r>
              <w:rPr>
                <w:rFonts w:ascii="Calibri" w:hAnsi="Calibri"/>
                <w:b/>
                <w:color w:val="FFFFFF"/>
                <w:sz w:val="20"/>
              </w:rPr>
              <w:t>Retour pour Dakar</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Cellule GAR-données-projets</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25-75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appui technique partenaires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Meilleure priorisation, reporting, réduction de la dispersion des projets.</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Décisions plus rapides et portefeuille plus crédible.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Plan stratégique Dakar 2035-2050</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30-80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coopération technique, universités, partenaires institutionnels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Vision unique, priorités arbitrées et alignement PNADT-PCET-Acte IV-GAR.</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Meilleure cohérence des décisions et réduction de la dispersion conceptuelle.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Réformes fiscales territoriales pilotes</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100-300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DGID, coopération numérique, partenaires techniques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Cadastre fiscal numérique, protocole DGID-Ville, e-taxe, foncier actualisé et fiscalité urbaine moderne.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Hausse de l’assiette, recouvrement plus prévisible et meilleure confiance fiscale.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Programme GAR-données et data room municipale</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bailleurs, assistance technique</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Données unifiées sur projets, fiscalité, climat, patrimoine, RH et attractivité.</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Accès facilité aux financements et suivi plus fiable.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de projets bancables</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Partenaires, fonds de préparation, UNAPPP, coopération</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Trois projets prêts à soumettre à bailleurs, banques, fonds climat ou PPP.</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Mobilisation de financements hors budget direct.</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Programme numérique municipal</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35-100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coopération numérique, secteur privé, partenaires techniques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E-services, interopérabilité, SIG, archivage, cybersécurité et tableaux de bord.</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Services municipaux plus rapides, traçables et mesurables.</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Programme transition écologique-PCET</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50-150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fonds climat, C40, coopération décentralisée</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Portefeuille vert, MRV, dossiers climat, résilience et finance verte.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Résilience urbaine et éligibilité accrue aux financements verts.</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Dakar Brand historique</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20-60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Ville, culture, tourisme, mécénat, partenariats événementiels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Récit de Dakar, circuits mémoriels, calendrier culturel, signalétique pilote.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Attractivité touristique, appartenance citoyenne et visibilité internationale.</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Fiscalité événementielle</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20-50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redevances, partenariat organisateurs</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Barème clair, traçabilité, meilleure captation de la valeur événementielle.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Recettes nouvelles et meilleure organisation des événements.</w:t>
            </w:r>
          </w:p>
        </w:tc>
      </w:tr>
      <w:tr>
        <w:tc>
          <w:tcPr>
            <w:tcW w:type="dxa" w:w="1700"/>
            <w:tcMar>
              <w:top w:w="120" w:type="dxa"/>
              <w:start w:w="120" w:type="dxa"/>
              <w:bottom w:w="120" w:type="dxa"/>
              <w:end w:w="120" w:type="dxa"/>
            </w:tcMar>
            <w:vAlign w:val="center"/>
          </w:tcPr>
          <w:p>
            <w:pPr>
              <w:spacing w:after="40" w:line="240" w:lineRule="auto" w:before="0"/>
            </w:pPr>
            <w:r>
              <w:rPr>
                <w:rFonts w:ascii="Calibri" w:hAnsi="Calibri"/>
                <w:color w:val="232323"/>
                <w:sz w:val="20"/>
              </w:rPr>
              <w:t>Audit RH et GPEC</w:t>
            </w:r>
          </w:p>
        </w:tc>
        <w:tc>
          <w:tcPr>
            <w:tcW w:type="dxa" w:w="1450"/>
            <w:tcMar>
              <w:top w:w="120" w:type="dxa"/>
              <w:start w:w="120" w:type="dxa"/>
              <w:bottom w:w="120" w:type="dxa"/>
              <w:end w:w="120" w:type="dxa"/>
            </w:tcMar>
            <w:vAlign w:val="center"/>
          </w:tcPr>
          <w:p>
            <w:pPr>
              <w:spacing w:after="40" w:line="240" w:lineRule="auto" w:before="0"/>
            </w:pPr>
            <w:r>
              <w:rPr>
                <w:rFonts w:ascii="Calibri" w:hAnsi="Calibri"/>
                <w:color w:val="232323"/>
                <w:sz w:val="20"/>
              </w:rPr>
              <w:t>40-100 M FCFA</w:t>
            </w:r>
          </w:p>
        </w:tc>
        <w:tc>
          <w:tcPr>
            <w:tcW w:type="dxa" w:w="2100"/>
            <w:tcMar>
              <w:top w:w="120" w:type="dxa"/>
              <w:start w:w="120" w:type="dxa"/>
              <w:bottom w:w="120" w:type="dxa"/>
              <w:end w:w="120" w:type="dxa"/>
            </w:tcMar>
            <w:vAlign w:val="center"/>
          </w:tcPr>
          <w:p>
            <w:pPr>
              <w:spacing w:after="40" w:line="240" w:lineRule="auto" w:before="0"/>
            </w:pPr>
            <w:r>
              <w:rPr>
                <w:rFonts w:ascii="Calibri" w:hAnsi="Calibri"/>
                <w:color w:val="232323"/>
                <w:sz w:val="20"/>
              </w:rPr>
              <w:t>Budget municipal, CNFPLF, coopération formation</w:t>
            </w:r>
          </w:p>
        </w:tc>
        <w:tc>
          <w:tcPr>
            <w:tcW w:type="dxa" w:w="2250"/>
            <w:tcMar>
              <w:top w:w="120" w:type="dxa"/>
              <w:start w:w="120" w:type="dxa"/>
              <w:bottom w:w="120" w:type="dxa"/>
              <w:end w:w="120" w:type="dxa"/>
            </w:tcMar>
            <w:vAlign w:val="center"/>
          </w:tcPr>
          <w:p>
            <w:pPr>
              <w:spacing w:after="40" w:line="240" w:lineRule="auto" w:before="0"/>
            </w:pPr>
            <w:r>
              <w:rPr>
                <w:rFonts w:ascii="Calibri" w:hAnsi="Calibri"/>
                <w:color w:val="232323"/>
                <w:sz w:val="20"/>
              </w:rPr>
              <w:t>Cartographie des compétences, plan de formation et mobilité interne.</w:t>
            </w:r>
          </w:p>
        </w:tc>
        <w:tc>
          <w:tcPr>
            <w:tcW w:type="dxa" w:w="1860"/>
            <w:tcMar>
              <w:top w:w="120" w:type="dxa"/>
              <w:start w:w="120" w:type="dxa"/>
              <w:bottom w:w="120" w:type="dxa"/>
              <w:end w:w="120" w:type="dxa"/>
            </w:tcMar>
            <w:vAlign w:val="center"/>
          </w:tcPr>
          <w:p>
            <w:pPr>
              <w:spacing w:after="40" w:line="240" w:lineRule="auto" w:before="0"/>
            </w:pPr>
            <w:r>
              <w:rPr>
                <w:rFonts w:ascii="Calibri" w:hAnsi="Calibri"/>
                <w:color w:val="232323"/>
                <w:sz w:val="20"/>
              </w:rPr>
              <w:t>Administration mieux alignée sur les projets structurants.</w:t>
            </w:r>
          </w:p>
        </w:tc>
      </w:tr>
      <w:tr>
        <w:tc>
          <w:tcPr>
            <w:tcW w:type="dxa" w:w="1700"/>
            <w:tcMar>
              <w:top w:w="120" w:type="dxa"/>
              <w:start w:w="120" w:type="dxa"/>
              <w:bottom w:w="120" w:type="dxa"/>
              <w:end w:w="120" w:type="dxa"/>
            </w:tcMar>
          </w:tcPr>
          <w:p>
            <w:pPr>
              <w:spacing w:after="40" w:line="240" w:lineRule="auto" w:before="0"/>
            </w:pPr>
            <w:r>
              <w:rPr>
                <w:sz w:val="20"/>
              </w:rPr>
              <w:t>Pacte de compétences Acte IV</w:t>
            </w:r>
          </w:p>
        </w:tc>
        <w:tc>
          <w:tcPr>
            <w:tcW w:type="dxa" w:w="1450"/>
            <w:tcMar>
              <w:top w:w="120" w:type="dxa"/>
              <w:start w:w="120" w:type="dxa"/>
              <w:bottom w:w="120" w:type="dxa"/>
              <w:end w:w="120" w:type="dxa"/>
            </w:tcMar>
          </w:tcPr>
          <w:p>
            <w:pPr>
              <w:spacing w:after="40" w:line="240" w:lineRule="auto" w:before="0"/>
            </w:pPr>
            <w:r>
              <w:rPr>
                <w:sz w:val="20"/>
              </w:rPr>
              <w:t>15-40 M FCFA</w:t>
            </w:r>
          </w:p>
        </w:tc>
        <w:tc>
          <w:tcPr>
            <w:tcW w:type="dxa" w:w="2100"/>
            <w:tcMar>
              <w:top w:w="120" w:type="dxa"/>
              <w:start w:w="120" w:type="dxa"/>
              <w:bottom w:w="120" w:type="dxa"/>
              <w:end w:w="120" w:type="dxa"/>
            </w:tcMar>
          </w:tcPr>
          <w:p>
            <w:pPr>
              <w:spacing w:after="40" w:line="240" w:lineRule="auto" w:before="0"/>
            </w:pPr>
            <w:r>
              <w:rPr>
                <w:sz w:val="20"/>
              </w:rPr>
              <w:t>Budget municipal, coopération institutionnelle, expertise juridique</w:t>
            </w:r>
          </w:p>
        </w:tc>
        <w:tc>
          <w:tcPr>
            <w:tcW w:type="dxa" w:w="2250"/>
            <w:tcMar>
              <w:top w:w="120" w:type="dxa"/>
              <w:start w:w="120" w:type="dxa"/>
              <w:bottom w:w="120" w:type="dxa"/>
              <w:end w:w="120" w:type="dxa"/>
            </w:tcMar>
          </w:tcPr>
          <w:p>
            <w:pPr>
              <w:spacing w:after="40" w:line="240" w:lineRule="auto" w:before="0"/>
            </w:pPr>
            <w:r>
              <w:rPr>
                <w:sz w:val="20"/>
              </w:rPr>
              <w:t>Clarification des compétences fiscales, transport, données, PPP, climat et levée de fonds.</w:t>
            </w:r>
          </w:p>
        </w:tc>
        <w:tc>
          <w:tcPr>
            <w:tcW w:type="dxa" w:w="1860"/>
            <w:tcMar>
              <w:top w:w="120" w:type="dxa"/>
              <w:start w:w="120" w:type="dxa"/>
              <w:bottom w:w="120" w:type="dxa"/>
              <w:end w:w="120" w:type="dxa"/>
            </w:tcMar>
          </w:tcPr>
          <w:p>
            <w:pPr>
              <w:spacing w:after="40" w:line="240" w:lineRule="auto" w:before="0"/>
            </w:pPr>
            <w:r>
              <w:rPr>
                <w:sz w:val="20"/>
              </w:rPr>
              <w:t>Base solide pour le plaidoyer et réduction des chevauchements.</w:t>
            </w:r>
          </w:p>
        </w:tc>
      </w:tr>
    </w:tbl>
    <w:p>
      <w:pPr>
        <w:pStyle w:val="Heading2"/>
      </w:pPr>
      <w:r>
        <w:t>Risques de non-mise en œuvre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2500"/>
        <w:gridCol w:w="3000"/>
        <w:gridCol w:w="176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w:t>
            </w:r>
          </w:p>
        </w:tc>
        <w:tc>
          <w:tcPr>
            <w:tcW w:type="dxa" w:w="25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Conséquence</w:t>
            </w:r>
          </w:p>
        </w:tc>
        <w:tc>
          <w:tcPr>
            <w:tcW w:type="dxa" w:w="3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Mesure de mitigation</w:t>
            </w:r>
          </w:p>
        </w:tc>
        <w:tc>
          <w:tcPr>
            <w:tcW w:type="dxa" w:w="17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Signal d’alerte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Rapport non arbitré</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Le document reste une capitalisation sans effet administratif.</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Note de décision, comité de suivi, mandat écrit.</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Aucune décision dans les 60 jours.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Recommandations trop nombreuses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Dispersion des directions et perte de priorité.</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Limiter le suivi initial aux 8 actions SMART.</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Plus de 20 actions ouvertes sans responsable.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Absence de données fiables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Impossibilité de piloter la GAR, l’e-taxe et les projets verts.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Data room, référentiel de données, points focaux.</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Indicateurs non renseignés au trimestre 1.</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Blocage État-Ville</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Retard sur fiscalité, statut, emprunt, données et Acte IV.</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Cadre de dialogue formel et notes de position.</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Aucune réunion technique État-Ville.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Faible implication des communes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Cadastre, événements, services urbains et proximité restent fragmentés.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Conventions Ville-communes et reporting simplifié.</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Données communales non transmises.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Projets non bancables</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Perte d’opportunités PPP, climat et bailleurs.</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Classification par maturité, études, fiches bancables.</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Projets soumis sans coûts ni risques.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Communication sans transformation</w:t>
            </w:r>
          </w:p>
        </w:tc>
        <w:tc>
          <w:tcPr>
            <w:tcW w:type="dxa" w:w="2500"/>
            <w:tcMar>
              <w:top w:w="80" w:type="dxa"/>
              <w:start w:w="120" w:type="dxa"/>
              <w:bottom w:w="80" w:type="dxa"/>
              <w:end w:w="120" w:type="dxa"/>
            </w:tcMar>
            <w:vAlign w:val="center"/>
          </w:tcPr>
          <w:p>
            <w:pPr>
              <w:spacing w:after="40" w:line="240" w:lineRule="auto" w:before="0"/>
            </w:pPr>
            <w:r>
              <w:rPr>
                <w:rFonts w:ascii="Calibri" w:hAnsi="Calibri"/>
                <w:color w:val="232323"/>
                <w:sz w:val="20"/>
              </w:rPr>
              <w:t>Dakar Brand perd en crédibilité.</w:t>
            </w:r>
          </w:p>
        </w:tc>
        <w:tc>
          <w:tcPr>
            <w:tcW w:type="dxa" w:w="3000"/>
            <w:tcMar>
              <w:top w:w="80" w:type="dxa"/>
              <w:start w:w="120" w:type="dxa"/>
              <w:bottom w:w="80" w:type="dxa"/>
              <w:end w:w="120" w:type="dxa"/>
            </w:tcMar>
            <w:vAlign w:val="center"/>
          </w:tcPr>
          <w:p>
            <w:pPr>
              <w:spacing w:after="40" w:line="240" w:lineRule="auto" w:before="0"/>
            </w:pPr>
            <w:r>
              <w:rPr>
                <w:rFonts w:ascii="Calibri" w:hAnsi="Calibri"/>
                <w:color w:val="232323"/>
                <w:sz w:val="20"/>
              </w:rPr>
              <w:t>Relier attractivité à propreté, patrimoine, circuits et services.</w:t>
            </w:r>
          </w:p>
        </w:tc>
        <w:tc>
          <w:tcPr>
            <w:tcW w:type="dxa" w:w="1760"/>
            <w:tcMar>
              <w:top w:w="80" w:type="dxa"/>
              <w:start w:w="120" w:type="dxa"/>
              <w:bottom w:w="80" w:type="dxa"/>
              <w:end w:w="120" w:type="dxa"/>
            </w:tcMar>
            <w:vAlign w:val="center"/>
          </w:tcPr>
          <w:p>
            <w:pPr>
              <w:spacing w:after="40" w:line="240" w:lineRule="auto" w:before="0"/>
            </w:pPr>
            <w:r>
              <w:rPr>
                <w:rFonts w:ascii="Calibri" w:hAnsi="Calibri"/>
                <w:color w:val="232323"/>
                <w:sz w:val="20"/>
              </w:rPr>
              <w:t>Lancement communication sans livrables urbains.</w:t>
            </w:r>
          </w:p>
        </w:tc>
      </w:tr>
    </w:tbl>
    <w:p>
      <w:pPr>
        <w:pStyle w:val="Heading1"/>
      </w:pPr>
      <w:r>
        <w:t>Matrice globale opérationnelle d’action</w:t>
      </w:r>
    </w:p>
    <w:p>
      <w:r>
        <w:t>La matrice ci-dessous traduit les recommandations en responsabilités par niveau d’acteur. Elle permet de distinguer ce qui relève de la Ville, de l’État, des communes, de l’APEC et des partenaires techniques, financiers ou privés. Elle doit servir de base à un comité de suivi, à une programmation annuelle et à une revue périodique de l’avancement.</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050"/>
        <w:gridCol w:w="2150"/>
        <w:gridCol w:w="2450"/>
        <w:gridCol w:w="1900"/>
        <w:gridCol w:w="1810"/>
      </w:tblGrid>
      <w:tr>
        <w:trPr>
          <w:tblHeader w:val="true"/>
        </w:trPr>
        <w:tc>
          <w:tcPr>
            <w:tcW w:type="dxa" w:w="10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Niveau</w:t>
            </w:r>
          </w:p>
        </w:tc>
        <w:tc>
          <w:tcPr>
            <w:tcW w:type="dxa" w:w="21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Actions prioritaires 0-6 mois</w:t>
            </w:r>
          </w:p>
        </w:tc>
        <w:tc>
          <w:tcPr>
            <w:tcW w:type="dxa" w:w="24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Actions structurantes 6-18 mois</w:t>
            </w:r>
          </w:p>
        </w:tc>
        <w:tc>
          <w:tcPr>
            <w:tcW w:type="dxa" w:w="19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Livrables attendus</w:t>
            </w:r>
          </w:p>
        </w:tc>
        <w:tc>
          <w:tcPr>
            <w:tcW w:type="dxa" w:w="18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 de suivi</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Cadrer le Plan stratégique Dakar 2035-2050 ; installer la cellule GAR-données-projets ; valider le portefeuille initial ; cadrer les réformes fiscales territoriales ; lancer les programmes numérique municipal et transition écologique-PCET.</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Déployer le tableau de bord GAR ; mettre en service la data room du programme GAR-données ; lancer le cadastre fiscal géolocalisé ; préparer au moins trois projets bancables ; structurer une fiscalité événementielle ; intégrer l’histoire de Dakar dans la stratégie d’attractivité.</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Cellule opérationnelle ; portefeuille de projets ; tableau de bord ; feuille de route e-taxe ; calendrier événementiel fiscal ; pipeline climat ; récit historique institutionnel.</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Nombre de projets classés ; taux de renseignement des données ; recettes suivies par e-taxe ; projets bancables ; indicateurs GAR publiés ; indicateurs MRV PCET renseignés.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État</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Ouvrir le dialogue Acte IV sur statut, GAR, numérique et partage des données ; identifier les textes nécessaires pour e-taxe, interopérabilité et financement local.</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Intégrer GAR et numérique comme normes de l’Acte IV ; organiser l’accès des grandes collectivités aux données fiscales et foncières ; sécuriser les cadres PPP et finance climat.</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Dispositions Acte IV ; protocole de partage de données ; cadre e-taxe ; mécanisme d’appui à l’ingénierie territoriale.</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Textes adoptés ; données partagées ; collectivités pilotes ; projets appuyés ; montants mobilisés pour les collectivités.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Communes de Dakar</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Désigner des points focaux données et fiscalité ; partager les informations d’adressage, marchés, occupations du domaine public et événements de proximité.</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Contribuer au cadastre fiscal métropolitain ; aligner les projets de proximité sur les programmes GAR ; appliquer les standards numériques communs.</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Référentiels locaux ; données d’assiette consolidées ; conventions Ville-communes ; projets communs priorisés.</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Taux de données transmises ; conventions signées ; recettes de proximité suivies ; projets mutualisés.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APEC</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Assurer la capitalisation du rapport ; proposer une matrice de suivi annuelle ; animer des groupes de travail sur GAR, données, fiscalité, projet et climat.</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Produire des notes de plaidoyer Acte IV ; organiser une revue annuelle des recommandations ; documenter les bonnes pratiques municipales.</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Matrice de suivi ; notes APEC ; ateliers techniques ; rapport annuel de capitalisation.</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Nombre de notes produites ; recommandations suivies ; ateliers tenus ; décisions influencées.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Partenaires techniques et financiers</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Financer les études, diagnostics et outils de données ; appuyer la préparation des projets ; accompagner la formation des cadres.</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Soutenir le programme GAR-données, l’e-taxe, le SIG, la GAR, les projets climat et les montages PPP ; cofinancer les projets bancables.</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Assistance technique ; études de faisabilité ; financements de préparation ; conventions de partenariat.</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Montants mobilisés ; études finalisées ; projets soumis ; projets financés ; agents formés.</w:t>
            </w:r>
          </w:p>
        </w:tc>
      </w:tr>
      <w:tr>
        <w:tc>
          <w:tcPr>
            <w:tcW w:type="dxa" w:w="1050"/>
            <w:tcMar>
              <w:top w:w="80" w:type="dxa"/>
              <w:start w:w="120" w:type="dxa"/>
              <w:bottom w:w="80" w:type="dxa"/>
              <w:end w:w="120" w:type="dxa"/>
            </w:tcMar>
            <w:vAlign w:val="center"/>
          </w:tcPr>
          <w:p>
            <w:pPr>
              <w:spacing w:after="40" w:line="240" w:lineRule="auto" w:before="0"/>
            </w:pPr>
            <w:r>
              <w:rPr>
                <w:rFonts w:ascii="Calibri" w:hAnsi="Calibri"/>
                <w:color w:val="232323"/>
                <w:sz w:val="20"/>
              </w:rPr>
              <w:t>Secteur privé</w:t>
            </w:r>
          </w:p>
        </w:tc>
        <w:tc>
          <w:tcPr>
            <w:tcW w:type="dxa" w:w="2150"/>
            <w:tcMar>
              <w:top w:w="80" w:type="dxa"/>
              <w:start w:w="120" w:type="dxa"/>
              <w:bottom w:w="80" w:type="dxa"/>
              <w:end w:w="120" w:type="dxa"/>
            </w:tcMar>
            <w:vAlign w:val="center"/>
          </w:tcPr>
          <w:p>
            <w:pPr>
              <w:spacing w:after="40" w:line="240" w:lineRule="auto" w:before="0"/>
            </w:pPr>
            <w:r>
              <w:rPr>
                <w:rFonts w:ascii="Calibri" w:hAnsi="Calibri"/>
                <w:color w:val="232323"/>
                <w:sz w:val="20"/>
              </w:rPr>
              <w:t>Participer au dialogue public-privé ; exprimer les conditions de bancabilité ; contribuer à l’identification des projets à potentiel économique.</w:t>
            </w:r>
          </w:p>
        </w:tc>
        <w:tc>
          <w:tcPr>
            <w:tcW w:type="dxa" w:w="2450"/>
            <w:tcMar>
              <w:top w:w="80" w:type="dxa"/>
              <w:start w:w="120" w:type="dxa"/>
              <w:bottom w:w="80" w:type="dxa"/>
              <w:end w:w="120" w:type="dxa"/>
            </w:tcMar>
            <w:vAlign w:val="center"/>
          </w:tcPr>
          <w:p>
            <w:pPr>
              <w:spacing w:after="40" w:line="240" w:lineRule="auto" w:before="0"/>
            </w:pPr>
            <w:r>
              <w:rPr>
                <w:rFonts w:ascii="Calibri" w:hAnsi="Calibri"/>
                <w:color w:val="232323"/>
                <w:sz w:val="20"/>
              </w:rPr>
              <w:t>Investir dans les projets PPP équilibrés ; soutenir l’événementiel, les équipements, les services urbains, l’énergie et la valorisation patrimoniale.</w:t>
            </w:r>
          </w:p>
        </w:tc>
        <w:tc>
          <w:tcPr>
            <w:tcW w:type="dxa" w:w="1900"/>
            <w:tcMar>
              <w:top w:w="80" w:type="dxa"/>
              <w:start w:w="120" w:type="dxa"/>
              <w:bottom w:w="80" w:type="dxa"/>
              <w:end w:w="120" w:type="dxa"/>
            </w:tcMar>
            <w:vAlign w:val="center"/>
          </w:tcPr>
          <w:p>
            <w:pPr>
              <w:spacing w:after="40" w:line="240" w:lineRule="auto" w:before="0"/>
            </w:pPr>
            <w:r>
              <w:rPr>
                <w:rFonts w:ascii="Calibri" w:hAnsi="Calibri"/>
                <w:color w:val="232323"/>
                <w:sz w:val="20"/>
              </w:rPr>
              <w:t>Manifestations d’intérêt ; contrats équilibrés ; projets d’investissement ; retombées fiscales et économiques.</w:t>
            </w:r>
          </w:p>
        </w:tc>
        <w:tc>
          <w:tcPr>
            <w:tcW w:type="dxa" w:w="1810"/>
            <w:tcMar>
              <w:top w:w="80" w:type="dxa"/>
              <w:start w:w="120" w:type="dxa"/>
              <w:bottom w:w="80" w:type="dxa"/>
              <w:end w:w="120" w:type="dxa"/>
            </w:tcMar>
            <w:vAlign w:val="center"/>
          </w:tcPr>
          <w:p>
            <w:pPr>
              <w:spacing w:after="40" w:line="240" w:lineRule="auto" w:before="0"/>
            </w:pPr>
            <w:r>
              <w:rPr>
                <w:rFonts w:ascii="Calibri" w:hAnsi="Calibri"/>
                <w:color w:val="232323"/>
                <w:sz w:val="20"/>
              </w:rPr>
              <w:t>Investissements engagés ; redevances ; emplois créés ; qualité de service ; risques maîtrisés.</w:t>
            </w:r>
          </w:p>
        </w:tc>
      </w:tr>
    </w:tbl>
    <w:p>
      <w:pPr>
        <w:pStyle w:val="Heading2"/>
      </w:pPr>
      <w:r>
        <w:t>Matrice thématique de responsabilité</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2100"/>
        <w:gridCol w:w="1800"/>
        <w:gridCol w:w="2750"/>
        <w:gridCol w:w="2710"/>
      </w:tblGrid>
      <w:tr>
        <w:trPr>
          <w:tblHeader w:val="true"/>
        </w:trPr>
        <w:tc>
          <w:tcPr>
            <w:tcW w:type="dxa" w:w="2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Chantier</w:t>
            </w:r>
          </w:p>
        </w:tc>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Chef de file</w:t>
            </w:r>
          </w:p>
        </w:tc>
        <w:tc>
          <w:tcPr>
            <w:tcW w:type="dxa" w:w="27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Contributeurs</w:t>
            </w:r>
          </w:p>
        </w:tc>
        <w:tc>
          <w:tcPr>
            <w:tcW w:type="dxa" w:w="27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Preuve de démarrage</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GAR normalisée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État et 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APEC, communes, partenaires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Disposition Acte IV ou décision municipale ; programmes pilotes ; indicateurs validés.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Programme GAR-données</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État, communes, partenaires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Référentiel de données, data room, gouvernance définie et tableau de bord initial.</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E-taxe et assiette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 et État</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Communes, DGID, Trésor, prestataires numériques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Cadastre fiscal géolocalisé, compte contribuable et canaux de paiement.</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Fiscalité événementielle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Communes, secteur privé, organisateurs, services de sécurité et propreté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Barème, procédure numérique, calendrier et traçabilité des paiements.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Portefeuille de projets</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APEC, partenaires,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Liste classée par maturité, fiches projets et data room de financement.</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Programme numérique municipal</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État, communes, partenaires numériques,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Feuille de route numérique, services prioritaires, SIG, e-taxe et standards d’interopérabilité.</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Transition écologique-PCET</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État, communes, C40, bailleurs,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Pipeline climat, tableau MRV, projets eaux pluviales, littoral, espaces verts, énergie et déchets.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Numérique Acte IV</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État</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Ville, communes, agences numériques, partenaires</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Standards d’interopérabilité, reporting numérique et obligations minimales.</w:t>
            </w:r>
          </w:p>
        </w:tc>
      </w:tr>
      <w:tr>
        <w:tc>
          <w:tcPr>
            <w:tcW w:type="dxa" w:w="21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historique</w:t>
            </w:r>
          </w:p>
        </w:tc>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Ville</w:t>
            </w:r>
          </w:p>
        </w:tc>
        <w:tc>
          <w:tcPr>
            <w:tcW w:type="dxa" w:w="2750"/>
            <w:tcMar>
              <w:top w:w="80" w:type="dxa"/>
              <w:start w:w="120" w:type="dxa"/>
              <w:bottom w:w="80" w:type="dxa"/>
              <w:end w:w="120" w:type="dxa"/>
            </w:tcMar>
            <w:vAlign w:val="center"/>
          </w:tcPr>
          <w:p>
            <w:pPr>
              <w:spacing w:after="40" w:line="240" w:lineRule="auto" w:before="0"/>
            </w:pPr>
            <w:r>
              <w:rPr>
                <w:rFonts w:ascii="Calibri" w:hAnsi="Calibri"/>
                <w:color w:val="232323"/>
                <w:sz w:val="20"/>
              </w:rPr>
              <w:t>Communes, acteurs culturels, tourisme, universités, secteur privé</w:t>
            </w:r>
          </w:p>
        </w:tc>
        <w:tc>
          <w:tcPr>
            <w:tcW w:type="dxa" w:w="2710"/>
            <w:tcMar>
              <w:top w:w="80" w:type="dxa"/>
              <w:start w:w="120" w:type="dxa"/>
              <w:bottom w:w="80" w:type="dxa"/>
              <w:end w:w="120" w:type="dxa"/>
            </w:tcMar>
            <w:vAlign w:val="center"/>
          </w:tcPr>
          <w:p>
            <w:pPr>
              <w:spacing w:after="40" w:line="240" w:lineRule="auto" w:before="0"/>
            </w:pPr>
            <w:r>
              <w:rPr>
                <w:rFonts w:ascii="Calibri" w:hAnsi="Calibri"/>
                <w:color w:val="232323"/>
                <w:sz w:val="20"/>
              </w:rPr>
              <w:t>Récit historique, circuits mémoriels, signalétique et calendrier culturel valorisant l’histoire de Dakar.</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USAGE DE LA MATRICE</w:t>
            </w:r>
          </w:p>
          <w:p>
            <w:pPr>
              <w:spacing w:after="40" w:line="252" w:lineRule="auto"/>
            </w:pPr>
            <w:r>
              <w:rPr>
                <w:sz w:val="20"/>
              </w:rPr>
              <w:t>Cette matrice doit être actualisée tous les trimestres. Chaque action doit avoir un responsable, une date cible, un indicateur, un état d’avancement et une décision attendue.</w:t>
            </w:r>
          </w:p>
        </w:tc>
      </w:tr>
    </w:tbl>
    <w:p>
      <w:pPr>
        <w:pStyle w:val="Heading1"/>
      </w:pPr>
      <w:r>
        <w:t>Matrice consolidée des risques de mise en œuvre</w:t>
      </w:r>
    </w:p>
    <w:p>
      <w:r>
        <w:t>La mise en œuvre des recommandations comporte des risques institutionnels, financiers, politiques, sociaux et techniques. Les anticiper permet d’éviter que le rapport reste un document intellectuel sans traduction administrative. La matrice ci-dessous doit être revue à chaque réunion du comité de pilotage.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3300"/>
        <w:gridCol w:w="1100"/>
        <w:gridCol w:w="1100"/>
        <w:gridCol w:w="3860"/>
      </w:tblGrid>
      <w:tr>
        <w:trPr>
          <w:tblHeader w:val="true"/>
        </w:trPr>
        <w:tc>
          <w:tcPr>
            <w:tcW w:type="dxa" w:w="3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Risque</w:t>
            </w:r>
          </w:p>
        </w:tc>
        <w:tc>
          <w:tcPr>
            <w:tcW w:type="dxa" w:w="1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Probabilité</w:t>
            </w:r>
          </w:p>
        </w:tc>
        <w:tc>
          <w:tcPr>
            <w:tcW w:type="dxa" w:w="11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Impact</w:t>
            </w:r>
          </w:p>
        </w:tc>
        <w:tc>
          <w:tcPr>
            <w:tcW w:type="dxa" w:w="38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Mesure d’atténuation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Institutionnel : ambiguïté persistante sur les compétences entre État, Ville, communes, pôles et agences.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Préparer une note Acte IV fondée sur le Code des CL ; cartographier les compétences ; formaliser les conventions Ville-communes.</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Financier : insuffisance de ressources pour lancer data room, e-taxe, études et portefeuille de projets.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Distinguer coûts de démarrage et investissements lourds ; mobiliser budget municipal, partenaires, fonds de préparation et coopération.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Politique : arbitrages retardés ou changement de priorité après diffusion du rapport.</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Faire valider la note de décision ; limiter le paquet initial à huit actions ; organiser une revue trimestrielle.</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Social : défiance citoyenne face à l’élargissement fiscal ou à la fiscalité événementielle.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Associer pédagogie fiscale, transparence sur l’usage des recettes, services visibles et mécanismes de réclamation.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Technique : données incomplètes, systèmes non interopérables et faible capacité de maintenance.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Définir une gouvernance des données, des standards d’interopérabilité, des points focaux et un plan de formation.</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Opérationnel : projets non bancables faute d’études, de coûts, de risques et d’indicateurs.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Très 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Appliquer le principe de maturité des projets et financer les études de préparation avant la recherche de financement.</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Partenarial : faible coordination avec l’État, DGID, Trésor, UNAPPP, communes et partenaires.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un calendrier de réunions techniques et des protocoles de partage de données.</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Climatique : portefeuille vert insuffisamment documenté pour accéder aux fonds climat.</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 à élevé</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Transformer le PCET en projets avec MRV, données de vulnérabilité, coûts, bénéficiaires et impacts.</w:t>
            </w:r>
          </w:p>
        </w:tc>
      </w:tr>
      <w:tr>
        <w:tc>
          <w:tcPr>
            <w:tcW w:type="dxa" w:w="3300"/>
            <w:tcMar>
              <w:top w:w="80" w:type="dxa"/>
              <w:start w:w="120" w:type="dxa"/>
              <w:bottom w:w="80" w:type="dxa"/>
              <w:end w:w="120" w:type="dxa"/>
            </w:tcMar>
            <w:vAlign w:val="center"/>
          </w:tcPr>
          <w:p>
            <w:pPr>
              <w:spacing w:after="40" w:line="240" w:lineRule="auto" w:before="0"/>
            </w:pPr>
            <w:r>
              <w:rPr>
                <w:rFonts w:ascii="Calibri" w:hAnsi="Calibri"/>
                <w:color w:val="232323"/>
                <w:sz w:val="20"/>
              </w:rPr>
              <w:t>Réputationnel : Dakar Brand perçu comme communicationnel si les services urbains ne progressent pas.</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Moyenne</w:t>
            </w:r>
          </w:p>
        </w:tc>
        <w:tc>
          <w:tcPr>
            <w:tcW w:type="dxa" w:w="1100"/>
            <w:tcMar>
              <w:top w:w="80" w:type="dxa"/>
              <w:start w:w="120" w:type="dxa"/>
              <w:bottom w:w="80" w:type="dxa"/>
              <w:end w:w="120" w:type="dxa"/>
            </w:tcMar>
            <w:vAlign w:val="center"/>
          </w:tcPr>
          <w:p>
            <w:pPr>
              <w:spacing w:after="40" w:line="240" w:lineRule="auto" w:before="0"/>
            </w:pPr>
            <w:r>
              <w:rPr>
                <w:rFonts w:ascii="Calibri" w:hAnsi="Calibri"/>
                <w:color w:val="232323"/>
                <w:sz w:val="20"/>
              </w:rPr>
              <w:t>Moyen</w:t>
            </w:r>
          </w:p>
        </w:tc>
        <w:tc>
          <w:tcPr>
            <w:tcW w:type="dxa" w:w="3860"/>
            <w:tcMar>
              <w:top w:w="80" w:type="dxa"/>
              <w:start w:w="120" w:type="dxa"/>
              <w:bottom w:w="80" w:type="dxa"/>
              <w:end w:w="120" w:type="dxa"/>
            </w:tcMar>
            <w:vAlign w:val="center"/>
          </w:tcPr>
          <w:p>
            <w:pPr>
              <w:spacing w:after="40" w:line="240" w:lineRule="auto" w:before="0"/>
            </w:pPr>
            <w:r>
              <w:rPr>
                <w:rFonts w:ascii="Calibri" w:hAnsi="Calibri"/>
                <w:color w:val="232323"/>
                <w:sz w:val="20"/>
              </w:rPr>
              <w:t>Relier attractivité à propreté, mobilité, patrimoine, circuits historiques, sécurité et qualité de l’accueil.</w:t>
            </w:r>
          </w:p>
        </w:tc>
      </w:tr>
    </w:tbl>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POINT D’ATTENTION</w:t>
            </w:r>
          </w:p>
          <w:p>
            <w:pPr>
              <w:spacing w:after="40" w:line="252" w:lineRule="auto"/>
            </w:pPr>
            <w:r>
              <w:rPr>
                <w:sz w:val="20"/>
              </w:rPr>
              <w:t>Le risque le plus critique est le risque d’inexécution : de bonnes recommandations sans responsable, budget de démarrage, calendrier, indicateur et preuve de suivi. C’est pourquoi le rapport insiste désormais sur les matrices SMART et les moyens de vérification.</w:t>
            </w:r>
          </w:p>
        </w:tc>
      </w:tr>
    </w:tbl>
    <w:p>
      <w:pPr>
        <w:pStyle w:val="Heading1"/>
      </w:pPr>
      <w:r>
        <w:t>Feuille de route opérationnelle</w:t>
      </w:r>
    </w:p>
    <w:p>
      <w:r>
        <w:t>La feuille de route proposée distingue trois horizons. Elle ne remplace pas une programmation municipale détaillée ; elle identifie les premières séquences permettant de transformer les recommandations en décisions, puis en actions suivies.</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00"/>
        <w:gridCol w:w="5000"/>
        <w:gridCol w:w="2660"/>
      </w:tblGrid>
      <w:tr>
        <w:trPr>
          <w:tblHeader w:val="true"/>
        </w:trPr>
        <w:tc>
          <w:tcPr>
            <w:tcW w:type="dxa" w:w="17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Horizon</w:t>
            </w:r>
          </w:p>
        </w:tc>
        <w:tc>
          <w:tcPr>
            <w:tcW w:type="dxa" w:w="50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Actions prioritaires</w:t>
            </w:r>
          </w:p>
        </w:tc>
        <w:tc>
          <w:tcPr>
            <w:tcW w:type="dxa" w:w="26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Indicateurs de suivi</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Court terme 0-6 mois</w:t>
            </w:r>
          </w:p>
        </w:tc>
        <w:tc>
          <w:tcPr>
            <w:tcW w:type="dxa" w:w="5000"/>
            <w:tcMar>
              <w:top w:w="80" w:type="dxa"/>
              <w:start w:w="120" w:type="dxa"/>
              <w:bottom w:w="80" w:type="dxa"/>
              <w:end w:w="120" w:type="dxa"/>
            </w:tcMar>
            <w:vAlign w:val="center"/>
          </w:tcPr>
          <w:p>
            <w:pPr>
              <w:spacing w:after="40" w:line="240" w:lineRule="auto" w:before="0"/>
            </w:pPr>
            <w:r>
              <w:rPr>
                <w:rFonts w:ascii="Calibri" w:hAnsi="Calibri"/>
                <w:color w:val="232323"/>
                <w:sz w:val="20"/>
              </w:rPr>
              <w:t>Adopter le rapport ; créer un comité de suivi ; valider la matrice des recommandations ; cadrer le Plan stratégique Dakar 2035-2050 ; lancer la cellule GAR-données-projets ; recenser les projets structurants ; cadrer les réformes fiscales territoriales ; définir les programmes numérique municipal et transition écologique-PCET.</w:t>
            </w:r>
          </w:p>
        </w:tc>
        <w:tc>
          <w:tcPr>
            <w:tcW w:type="dxa" w:w="2660"/>
            <w:tcMar>
              <w:top w:w="80" w:type="dxa"/>
              <w:start w:w="120" w:type="dxa"/>
              <w:bottom w:w="80" w:type="dxa"/>
              <w:end w:w="120" w:type="dxa"/>
            </w:tcMar>
            <w:vAlign w:val="center"/>
          </w:tcPr>
          <w:p>
            <w:pPr>
              <w:spacing w:after="40" w:line="240" w:lineRule="auto" w:before="0"/>
            </w:pPr>
            <w:r>
              <w:rPr>
                <w:rFonts w:ascii="Calibri" w:hAnsi="Calibri"/>
                <w:color w:val="232323"/>
                <w:sz w:val="20"/>
              </w:rPr>
              <w:t>Comité installé ; matrice validée ; feuille de route adoptée ; note Plan stratégique validée ; premiers indicateurs définis ; cadrage fiscal validé ; notes de cadrage numérique et PCET disponibles.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Moyen terme 6-18 mois</w:t>
            </w:r>
          </w:p>
        </w:tc>
        <w:tc>
          <w:tcPr>
            <w:tcW w:type="dxa" w:w="5000"/>
            <w:tcMar>
              <w:top w:w="80" w:type="dxa"/>
              <w:start w:w="120" w:type="dxa"/>
              <w:bottom w:w="80" w:type="dxa"/>
              <w:end w:w="120" w:type="dxa"/>
            </w:tcMar>
            <w:vAlign w:val="center"/>
          </w:tcPr>
          <w:p>
            <w:pPr>
              <w:spacing w:after="40" w:line="240" w:lineRule="auto" w:before="0"/>
            </w:pPr>
            <w:r>
              <w:rPr>
                <w:rFonts w:ascii="Calibri" w:hAnsi="Calibri"/>
                <w:color w:val="232323"/>
                <w:sz w:val="20"/>
              </w:rPr>
              <w:t>Mettre en place la cellule interdirectionnelle ; produire un premier tableau de bord municipal ; lancer l’audit des ressources fiscales et RH ; préparer trois projets bancables ; engager la stratégie Dakar Brand ; intégrer l’histoire de Dakar dans les circuits d’attractivité ; mettre en place la data room GAR-données et le cadastre fiscal géolocalisé.</w:t>
            </w:r>
          </w:p>
        </w:tc>
        <w:tc>
          <w:tcPr>
            <w:tcW w:type="dxa" w:w="2660"/>
            <w:tcMar>
              <w:top w:w="80" w:type="dxa"/>
              <w:start w:w="120" w:type="dxa"/>
              <w:bottom w:w="80" w:type="dxa"/>
              <w:end w:w="120" w:type="dxa"/>
            </w:tcMar>
            <w:vAlign w:val="center"/>
          </w:tcPr>
          <w:p>
            <w:pPr>
              <w:spacing w:after="40" w:line="240" w:lineRule="auto" w:before="0"/>
            </w:pPr>
            <w:r>
              <w:rPr>
                <w:rFonts w:ascii="Calibri" w:hAnsi="Calibri"/>
                <w:color w:val="232323"/>
                <w:sz w:val="20"/>
              </w:rPr>
              <w:t>Tableau de bord publié ; audit fiscal et RH avancé ; fiches projets finalisées ; stratégie de marque en cours ; récit historique produit ; formations lancées ; data room GAR-données et base fiscale pilotes opérationnelles.</w:t>
            </w:r>
          </w:p>
        </w:tc>
      </w:tr>
      <w:tr>
        <w:tc>
          <w:tcPr>
            <w:tcW w:type="dxa" w:w="1700"/>
            <w:tcMar>
              <w:top w:w="80" w:type="dxa"/>
              <w:start w:w="120" w:type="dxa"/>
              <w:bottom w:w="80" w:type="dxa"/>
              <w:end w:w="120" w:type="dxa"/>
            </w:tcMar>
            <w:vAlign w:val="center"/>
          </w:tcPr>
          <w:p>
            <w:pPr>
              <w:spacing w:after="40" w:line="240" w:lineRule="auto" w:before="0"/>
            </w:pPr>
            <w:r>
              <w:rPr>
                <w:rFonts w:ascii="Calibri" w:hAnsi="Calibri"/>
                <w:color w:val="232323"/>
                <w:sz w:val="20"/>
              </w:rPr>
              <w:t>Long terme 18-36 mois</w:t>
            </w:r>
          </w:p>
        </w:tc>
        <w:tc>
          <w:tcPr>
            <w:tcW w:type="dxa" w:w="5000"/>
            <w:tcMar>
              <w:top w:w="80" w:type="dxa"/>
              <w:start w:w="120" w:type="dxa"/>
              <w:bottom w:w="80" w:type="dxa"/>
              <w:end w:w="120" w:type="dxa"/>
            </w:tcMar>
            <w:vAlign w:val="center"/>
          </w:tcPr>
          <w:p>
            <w:pPr>
              <w:spacing w:after="40" w:line="240" w:lineRule="auto" w:before="0"/>
            </w:pPr>
            <w:r>
              <w:rPr>
                <w:rFonts w:ascii="Calibri" w:hAnsi="Calibri"/>
                <w:color w:val="232323"/>
                <w:sz w:val="20"/>
              </w:rPr>
              <w:t>Généraliser le budget-programme ; publier un rapport annuel de performance ; opérationnaliser les PPP prioritaires ; accéder aux financements climat ; installer l’observatoire de l’attractivité ; faire fonctionner le tableau MRV PCET ; intégrer les normes numériques et GAR dans les pratiques issues de l’Acte IV.</w:t>
            </w:r>
          </w:p>
        </w:tc>
        <w:tc>
          <w:tcPr>
            <w:tcW w:type="dxa" w:w="2660"/>
            <w:tcMar>
              <w:top w:w="80" w:type="dxa"/>
              <w:start w:w="120" w:type="dxa"/>
              <w:bottom w:w="80" w:type="dxa"/>
              <w:end w:w="120" w:type="dxa"/>
            </w:tcMar>
            <w:vAlign w:val="center"/>
          </w:tcPr>
          <w:p>
            <w:pPr>
              <w:spacing w:after="40" w:line="240" w:lineRule="auto" w:before="0"/>
            </w:pPr>
            <w:r>
              <w:rPr>
                <w:rFonts w:ascii="Calibri" w:hAnsi="Calibri"/>
                <w:color w:val="232323"/>
                <w:sz w:val="20"/>
              </w:rPr>
              <w:t>Budget-programme adopté ; rapport de performance publié ; projets PPP en transaction ; financements climat soumis ; observatoire fonctionnel ; tableau MRV PCET renseigné ; normes numériques et GAR appliquées.</w:t>
            </w:r>
          </w:p>
        </w:tc>
      </w:tr>
    </w:tbl>
    <w:p>
      <w:pPr>
        <w:pStyle w:val="Heading2"/>
      </w:pPr>
      <w:r>
        <w:t>Conditions de réussite</w:t>
      </w:r>
    </w:p>
    <w:p>
      <w:pPr>
        <w:pStyle w:val="ListBullet"/>
      </w:pPr>
      <w:r>
        <w:t>Un portage politique clair par l’autorité municipale, le conseil municipal et l’administration municipale.</w:t>
      </w:r>
    </w:p>
    <w:p>
      <w:pPr>
        <w:pStyle w:val="ListBullet"/>
      </w:pPr>
      <w:r>
        <w:t>Une implication effective des communes dans les projets à échelle métropolitaine.</w:t>
      </w:r>
    </w:p>
    <w:p>
      <w:pPr>
        <w:pStyle w:val="ListBullet"/>
      </w:pPr>
      <w:r>
        <w:t>Une coordination continue avec l’État sur le statut, les compétences, la fiscalité et les financements.</w:t>
      </w:r>
    </w:p>
    <w:p>
      <w:pPr>
        <w:pStyle w:val="ListBullet"/>
      </w:pPr>
      <w:r>
        <w:t>Une communication régulière avec les citoyens pour restaurer la confiance et rendre visibles les résultats.</w:t>
      </w:r>
    </w:p>
    <w:p>
      <w:pPr>
        <w:pStyle w:val="ListBullet"/>
      </w:pPr>
      <w:r>
        <w:t>Une montée en compétence rapide des agents sur les outils de planification, de données, de financement et d’évaluation.</w:t>
      </w:r>
    </w:p>
    <w:p>
      <w:pPr>
        <w:pStyle w:val="ListBullet"/>
      </w:pPr>
      <w:r>
        <w:t>Une gouvernance des données acceptée par l’État, la Ville et les communes, afin d’éviter les bases isolées et les pertes d’information.</w:t>
      </w:r>
    </w:p>
    <w:p>
      <w:pPr>
        <w:pStyle w:val="ListBullet"/>
      </w:pPr>
      <w:r>
        <w:t>Un portefeuille de projets classé par maturité, permettant de distinguer les idées, les projets à étudier et les projets réellement bancables.</w:t>
      </w:r>
    </w:p>
    <w:p>
      <w:pPr>
        <w:pStyle w:val="ListBullet"/>
      </w:pPr>
      <w:r>
        <w:t>Deux programmes distincts, numérique municipal et transition écologique-PCET, dotés chacun d’un mandat clair, de référents techniques, d’indicateurs et d’un reporting régulier.</w:t>
      </w:r>
    </w:p>
    <w:p>
      <w:pPr>
        <w:pStyle w:val="Heading2"/>
      </w:pPr>
      <w:r>
        <w:t>Risques à maîtriser</w:t>
      </w:r>
    </w:p>
    <w:p>
      <w:pPr>
        <w:pStyle w:val="ListBullet"/>
      </w:pPr>
      <w:r>
        <w:t>Risque de réforme institutionnelle incomplète ou ambiguë.</w:t>
      </w:r>
    </w:p>
    <w:p>
      <w:pPr>
        <w:pStyle w:val="ListBullet"/>
      </w:pPr>
      <w:r>
        <w:t>Risque de résistance au changement dans les directions et services.</w:t>
      </w:r>
    </w:p>
    <w:p>
      <w:pPr>
        <w:pStyle w:val="ListBullet"/>
      </w:pPr>
      <w:r>
        <w:t>Risque de projets non bancables faute d’études et de données suffisantes.</w:t>
      </w:r>
    </w:p>
    <w:p>
      <w:pPr>
        <w:pStyle w:val="ListBullet"/>
      </w:pPr>
      <w:r>
        <w:t>Risque de dispersion des initiatives si la vision métropolitaine n’est pas formalisée.</w:t>
      </w:r>
    </w:p>
    <w:p>
      <w:pPr>
        <w:pStyle w:val="ListBullet"/>
      </w:pPr>
      <w:r>
        <w:t>Risque de perte de confiance citoyenne si les recommandations ne sont pas suivies d’effets visibles.</w:t>
      </w:r>
    </w:p>
    <w:p>
      <w:pPr>
        <w:pStyle w:val="ListBullet"/>
      </w:pPr>
      <w:r>
        <w:t>Risque de digitalisation superficielle si l’e-taxe, le SIG, le SIRH, la GAR et les projets ne sont pas interopérables.</w:t>
      </w:r>
    </w:p>
    <w:p>
      <w:pPr>
        <w:pStyle w:val="ListBullet"/>
      </w:pPr>
      <w:r>
        <w:t>Risque de confusion si le numérique municipal et la transition écologique-PCET ne sont pas pilotés par des programmes séparés, avec livrables, responsables, indicateurs et financements propres.</w:t>
      </w:r>
    </w:p>
    <w:p>
      <w:pPr>
        <w:pStyle w:val="ListBullet"/>
      </w:pPr>
      <w:r>
        <w:t>Risque d’événementiel peu rentable si les autorisations, redevances, coûts de propreté et retombées économiques ne sont pas suivis.</w:t>
      </w:r>
    </w:p>
    <w:p>
      <w:pPr>
        <w:pStyle w:val="Heading1"/>
      </w:pPr>
      <w:r>
        <w:t>Dispositif de gouvernance et de suivi</w:t>
      </w:r>
    </w:p>
    <w:p>
      <w:r>
        <w:t>La valeur du rapport dépendra moins de sa diffusion que de son usage. Les Journées scientifiques ont produit une matière riche ; le risque serait qu’elle demeure dans un document de capitalisation sans traduction administrative. Le dispositif de suivi proposé vise à installer une chaîne simple : validation politique, pilotage technique, responsabilisation des directions, information des cadres, dialogue avec les partenaires et revue périodique des résultats.</w:t>
      </w:r>
    </w:p>
    <w:p>
      <w:r>
        <w:t>Le suivi doit être léger mais régulier. Un dispositif trop lourd serait difficile à maintenir ; un dispositif trop informel perdrait rapidement sa force. Il est donc recommandé de créer un comité de suivi adossé au Secrétariat général, associant l’APEC, les directions concernées et, selon les sujets, des représentants des communes, de l’État, du secteur privé, des partenaires techniques et du monde académique.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800"/>
        <w:gridCol w:w="3800"/>
        <w:gridCol w:w="3760"/>
      </w:tblGrid>
      <w:tr>
        <w:trPr>
          <w:tblHeader w:val="true"/>
        </w:trPr>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Instance</w:t>
            </w:r>
          </w:p>
        </w:tc>
        <w:tc>
          <w:tcPr>
            <w:tcW w:type="dxa" w:w="3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Composition indicative</w:t>
            </w:r>
          </w:p>
        </w:tc>
        <w:tc>
          <w:tcPr>
            <w:tcW w:type="dxa" w:w="37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Rôle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Comité de pilotage</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Autorité municipale ou représentant ; Secrétariat général ; directions stratégiques ; APEC ; partenaires selon l’ordre du jour.</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Valider les priorités, arbitrer les blocages, assurer le portage politique et suivre les décisions structurantes.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Secrétariat technique</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Cellule GAR et grands projets ; représentants des finances, RH, coopération, planification et affaires juridiques.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Mettre à jour la matrice des recommandations, préparer les tableaux de bord et consolider les informations des directions.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Groupes de travail</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Cadres municipaux, experts, universitaires, représentants des communes et partenaires ciblés.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Approfondir les sujets techniques : statut, fiscalité, PPP, climat, RH, attractivité, données et suivi-évaluation.</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Revue annuelle</w:t>
            </w:r>
          </w:p>
        </w:tc>
        <w:tc>
          <w:tcPr>
            <w:tcW w:type="dxa" w:w="3800"/>
            <w:tcMar>
              <w:top w:w="80" w:type="dxa"/>
              <w:start w:w="120" w:type="dxa"/>
              <w:bottom w:w="80" w:type="dxa"/>
              <w:end w:w="120" w:type="dxa"/>
            </w:tcMar>
            <w:vAlign w:val="center"/>
          </w:tcPr>
          <w:p>
            <w:pPr>
              <w:spacing w:after="40" w:line="240" w:lineRule="auto" w:before="0"/>
            </w:pPr>
            <w:r>
              <w:rPr>
                <w:rFonts w:ascii="Calibri" w:hAnsi="Calibri"/>
                <w:color w:val="232323"/>
                <w:sz w:val="20"/>
              </w:rPr>
              <w:t>Autorités municipales, APEC, directions, communes, partenaires et parties prenantes.</w:t>
            </w:r>
          </w:p>
        </w:tc>
        <w:tc>
          <w:tcPr>
            <w:tcW w:type="dxa" w:w="3760"/>
            <w:tcMar>
              <w:top w:w="80" w:type="dxa"/>
              <w:start w:w="120" w:type="dxa"/>
              <w:bottom w:w="80" w:type="dxa"/>
              <w:end w:w="120" w:type="dxa"/>
            </w:tcMar>
            <w:vAlign w:val="center"/>
          </w:tcPr>
          <w:p>
            <w:pPr>
              <w:spacing w:after="40" w:line="240" w:lineRule="auto" w:before="0"/>
            </w:pPr>
            <w:r>
              <w:rPr>
                <w:rFonts w:ascii="Calibri" w:hAnsi="Calibri"/>
                <w:color w:val="232323"/>
                <w:sz w:val="20"/>
              </w:rPr>
              <w:t>Présenter les progrès, identifier les retards, actualiser la feuille de route et maintenir la mobilisation collective.</w:t>
            </w:r>
          </w:p>
        </w:tc>
      </w:tr>
    </w:tbl>
    <w:p>
      <w:pPr>
        <w:pStyle w:val="Heading2"/>
      </w:pPr>
      <w:r>
        <w:t>Matrice minimale de suivi</w:t>
      </w:r>
    </w:p>
    <w:p>
      <w:r>
        <w:t>Une matrice de suivi efficace doit rester compréhensible. Elle ne doit pas reproduire toute la complexité des débats ; elle doit identifier ce qui doit être fait, par qui, quand et avec quel indicateur. La matrice peut être tenue par le secrétariat technique et présentée à chaque réunion du comité de pilotage.</w:t>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750"/>
        <w:gridCol w:w="4300"/>
        <w:gridCol w:w="3310"/>
      </w:tblGrid>
      <w:tr>
        <w:trPr>
          <w:tblHeader w:val="true"/>
        </w:trPr>
        <w:tc>
          <w:tcPr>
            <w:tcW w:type="dxa" w:w="175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Champ</w:t>
            </w:r>
          </w:p>
        </w:tc>
        <w:tc>
          <w:tcPr>
            <w:tcW w:type="dxa" w:w="43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Question de suivi</w:t>
            </w:r>
          </w:p>
        </w:tc>
        <w:tc>
          <w:tcPr>
            <w:tcW w:type="dxa" w:w="331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Trace attendue</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Décision</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La recommandation a-t-elle été validée, rejetée, différée ou reformulée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Relevé de décision et responsable désigné.</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Responsabilité</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Quelle direction ou instance porte l’action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Nom du responsable, équipe d’appui et calendrier.</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Ressources</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Quels moyens humains, financiers ou techniques sont nécessaires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Budget indicatif, assistance requise et partenaires ciblés.</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Avancement</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L’action est-elle lancée, en cours, bloquée ou achevée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Tableau de bord actualisé avec jalons.</w:t>
            </w:r>
          </w:p>
        </w:tc>
      </w:tr>
      <w:tr>
        <w:tc>
          <w:tcPr>
            <w:tcW w:type="dxa" w:w="1750"/>
            <w:tcMar>
              <w:top w:w="80" w:type="dxa"/>
              <w:start w:w="120" w:type="dxa"/>
              <w:bottom w:w="80" w:type="dxa"/>
              <w:end w:w="120" w:type="dxa"/>
            </w:tcMar>
            <w:vAlign w:val="center"/>
          </w:tcPr>
          <w:p>
            <w:pPr>
              <w:spacing w:after="40" w:line="240" w:lineRule="auto" w:before="0"/>
            </w:pPr>
            <w:r>
              <w:rPr>
                <w:rFonts w:ascii="Calibri" w:hAnsi="Calibri"/>
                <w:color w:val="232323"/>
                <w:sz w:val="20"/>
              </w:rPr>
              <w:t>Résultat</w:t>
            </w:r>
          </w:p>
        </w:tc>
        <w:tc>
          <w:tcPr>
            <w:tcW w:type="dxa" w:w="4300"/>
            <w:tcMar>
              <w:top w:w="80" w:type="dxa"/>
              <w:start w:w="120" w:type="dxa"/>
              <w:bottom w:w="80" w:type="dxa"/>
              <w:end w:w="120" w:type="dxa"/>
            </w:tcMar>
            <w:vAlign w:val="center"/>
          </w:tcPr>
          <w:p>
            <w:pPr>
              <w:spacing w:after="40" w:line="240" w:lineRule="auto" w:before="0"/>
            </w:pPr>
            <w:r>
              <w:rPr>
                <w:rFonts w:ascii="Calibri" w:hAnsi="Calibri"/>
                <w:color w:val="232323"/>
                <w:sz w:val="20"/>
              </w:rPr>
              <w:t>Quel changement concret peut être observé ?</w:t>
            </w:r>
          </w:p>
        </w:tc>
        <w:tc>
          <w:tcPr>
            <w:tcW w:type="dxa" w:w="3310"/>
            <w:tcMar>
              <w:top w:w="80" w:type="dxa"/>
              <w:start w:w="120" w:type="dxa"/>
              <w:bottom w:w="80" w:type="dxa"/>
              <w:end w:w="120" w:type="dxa"/>
            </w:tcMar>
            <w:vAlign w:val="center"/>
          </w:tcPr>
          <w:p>
            <w:pPr>
              <w:spacing w:after="40" w:line="240" w:lineRule="auto" w:before="0"/>
            </w:pPr>
            <w:r>
              <w:rPr>
                <w:rFonts w:ascii="Calibri" w:hAnsi="Calibri"/>
                <w:color w:val="232323"/>
                <w:sz w:val="20"/>
              </w:rPr>
              <w:t>Indicateur renseigné, livrable produit ou décision obtenue.</w:t>
            </w:r>
          </w:p>
        </w:tc>
      </w:tr>
    </w:tbl>
    <w:p>
      <w:pPr>
        <w:pStyle w:val="Heading2"/>
      </w:pPr>
      <w:r>
        <w:t>Principe de redevabilité</w:t>
      </w:r>
    </w:p>
    <w:p>
      <w:r>
        <w:t>La redevabilité doit être pensée à plusieurs niveaux. D’abord, une redevabilité interne : chaque direction doit savoir ce qui est attendu d’elle et pouvoir rendre compte des progrès. Ensuite, une redevabilité institutionnelle : le Conseil municipal et le Secrétariat général doivent disposer d’informations consolidées pour arbitrer. Enfin, une redevabilité citoyenne : les résultats majeurs doivent être communiqués de manière claire, accessible et vérifiable.</w:t>
      </w:r>
    </w:p>
    <w:p>
      <w:r>
        <w:t>Cette redevabilité ne doit pas être vécue comme une logique de sanction permanente. Elle doit être présentée comme une culture de progrès : identifier les blocages, comprendre les retards, documenter les réussites, corriger les trajectoires et partager les apprentissages. Dans une administration municipale, la qualité du suivi dépend fortement de la confiance entre les services ; il faut donc construire un langage commun de performance plutôt qu’une compétition entre directions.</w:t>
      </w:r>
    </w:p>
    <w:p>
      <w:pPr>
        <w:pStyle w:val="Heading2"/>
      </w:pPr>
      <w:r>
        <w:t>Indicateurs prioritaires proposés</w:t>
      </w:r>
    </w:p>
    <w:p>
      <w:pPr>
        <w:pStyle w:val="ListBullet"/>
      </w:pPr>
      <w:r>
        <w:t>Statut et gouvernance : nombre de propositions institutionnelles formalisées, réunions de coordination tenues, compétences clarifiées et conventions signées.</w:t>
      </w:r>
    </w:p>
    <w:p>
      <w:pPr>
        <w:pStyle w:val="ListBullet"/>
      </w:pPr>
      <w:r>
        <w:t>GAR : nombre de programmes dotés d’objectifs et d’indicateurs, taux de renseignement du tableau de bord, publication d’un rapport de performance.</w:t>
      </w:r>
    </w:p>
    <w:p>
      <w:pPr>
        <w:pStyle w:val="ListBullet"/>
      </w:pPr>
      <w:r>
        <w:t>Ressources : évolution de l’assiette connue, taux de recouvrement, part des paiements digitaux, rendement des niches fiscales ciblées.</w:t>
      </w:r>
    </w:p>
    <w:p>
      <w:pPr>
        <w:pStyle w:val="ListBullet"/>
      </w:pPr>
      <w:r>
        <w:t>E-taxe : nombre de contribuables géolocalisés, comptes contribuables ouverts, notifications envoyées, paiements numériques et relances suivies.</w:t>
      </w:r>
    </w:p>
    <w:p>
      <w:pPr>
        <w:pStyle w:val="ListBullet"/>
      </w:pPr>
      <w:r>
        <w:t>Financements innovants : nombre de projets bancables préparés, financements soumis, financements obtenus et contrats suivis par indicateurs.</w:t>
      </w:r>
    </w:p>
    <w:p>
      <w:pPr>
        <w:pStyle w:val="ListBullet"/>
      </w:pPr>
      <w:r>
        <w:t>Portefeuille de projets : nombre de projets par niveau de maturité, fiches finalisées, études lancées, projets soumis et projets financés.</w:t>
      </w:r>
    </w:p>
    <w:p>
      <w:pPr>
        <w:pStyle w:val="ListBullet"/>
      </w:pPr>
      <w:r>
        <w:t>Événementiel : événements déclarés, occupations temporaires autorisées, redevances collectées, coûts de propreté et sécurité suivis, retombées économiques estimées.</w:t>
      </w:r>
    </w:p>
    <w:p>
      <w:pPr>
        <w:pStyle w:val="ListBullet"/>
      </w:pPr>
      <w:r>
        <w:t>Numérique : nombre de systèmes interopérables, services municipaux en ligne, délais réduits, données partagées avec l’État et les communes.</w:t>
      </w:r>
    </w:p>
    <w:p>
      <w:pPr>
        <w:pStyle w:val="ListBullet"/>
      </w:pPr>
      <w:r>
        <w:t>Transition écologique : projets climat documentés, espaces verts créés ou réhabilités, zones d’inondation traitées, financements verts obtenus.</w:t>
      </w:r>
    </w:p>
    <w:p>
      <w:pPr>
        <w:pStyle w:val="ListBullet"/>
      </w:pPr>
      <w:r>
        <w:t>Capital humain : taux de réalisation de l’audit RH, agents formés, métiers cartographiés, mobilités internes et satisfaction des agents.</w:t>
      </w:r>
    </w:p>
    <w:p>
      <w:pPr>
        <w:pStyle w:val="ListBullet"/>
      </w:pPr>
      <w:r>
        <w:t>Attractivité : partenariats internationaux actifs, événements accueillis, projets issus des réseaux, fréquentation des sites et indicateurs de perception.</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RÔLE POSSIBLE DE L’APEC</w:t>
            </w:r>
          </w:p>
          <w:p>
            <w:pPr>
              <w:spacing w:after="40" w:line="252" w:lineRule="auto"/>
            </w:pPr>
            <w:r>
              <w:rPr>
                <w:sz w:val="20"/>
              </w:rPr>
              <w:t>L’APEC peut devenir l’un des gardiens de la continuité intellectuelle des recommandations : suivi des engagements, production de notes, mobilisation de l’expertise interne, animation de cercles de réflexion et contribution au rapport annuel de performance.</w:t>
            </w:r>
          </w:p>
        </w:tc>
      </w:tr>
    </w:tbl>
    <w:p>
      <w:pPr>
        <w:pStyle w:val="Heading1"/>
      </w:pPr>
      <w:r>
        <w:t>Conclusion générale</w:t>
      </w:r>
    </w:p>
    <w:p>
      <w:r>
        <w:t>Les Journées scientifiques de contribution de l’APEC ont confirmé que Dakar se trouve à un moment charnière. Les réformes territoriales en cours, les contraintes financières, les exigences citoyennes, la compétition entre métropoles et les défis climatiques imposent une transformation profonde de la gouvernance municipale. Cette transformation ne doit pas être fragmentée ; elle doit être pensée comme une stratégie intégrée.</w:t>
      </w:r>
    </w:p>
    <w:p>
      <w:r>
        <w:t>Le rapport met en évidence des leviers indissociables : un statut clarifié, une GAR normalisée, une gouvernance des données, une autonomie financière renforcée, une ingénierie de portefeuille de projets, un numérique intégré à l’Acte IV, une transition écologique finançable, un capital humain valorisé et un rayonnement international organisé. Le Plan stratégique Dakar 2035-2050 doit servir de cadre d’intégration, tandis que le programme numérique municipal et le programme transition écologique-PCET doivent rester séparés pour conserver des objectifs et des moyens lisibles.</w:t>
      </w:r>
    </w:p>
    <w:p>
      <w:r>
        <w:t>La recommandation centrale est désormais plus ferme : Dakar doit passer d’une logique de ressources dispersées à une logique de performance documentée. Cela suppose de gérer les données comme un actif stratégique dans le programme GAR-données, de généraliser la GAR, d’adopter des réformes fiscales territoriales, de déployer l’e-taxe, d’élargir l’assiette par le foncier, l’événementiel et le patrimoine, de classer les projets par maturité et de financer la transition écologique par des dossiers techniquement crédibles.</w:t>
      </w:r>
    </w:p>
    <w:p>
      <w:r>
        <w:t>Les Journées scientifiques constituent un cadre de capitalisation institutionnelle. Elles consolident des constats, des données, des options de réforme et des recommandations qui doivent désormais être transformés en décisions, puis en projets, puis en résultats mesurables.</w:t>
      </w:r>
    </w:p>
    <w:p>
      <w:r>
        <w:t>Dakar a l’histoire, les ressources humaines, la position, les réseaux et l’énergie nécessaires pour tenir son rang. Le défi est désormais de donner à cette ambition les institutions, les outils et la discipline de mise en œuvre qu’elle mérite.</w:t>
      </w:r>
    </w:p>
    <w:p>
      <w:r>
        <w:t>Dakar dispose aujourd’hui des compétences, des ressources humaines et des opportunités nécessaires pour devenir une métropole africaine de référence. Le principal défi n’est plus d’identifier les solutions, mais de transformer les recommandations en décisions, puis les décisions en résultats mesurables.</w:t>
      </w:r>
    </w:p>
    <w:tbl>
      <w:tblPr>
        <w:tblW w:type="dxa" w:w="9360"/>
        <w:jc w:val="left"/>
        <w:tblLook w:firstColumn="1" w:firstRow="1" w:lastColumn="0" w:lastRow="0" w:noHBand="0" w:noVBand="1" w:val="04A0"/>
        <w:tblInd w:w="120" w:type="dxa"/>
        <w:tblLayout w:type="fixed"/>
        <w:tblBorders>
          <w:top w:val="single" w:sz="4" w:space="0" w:color="D9D9D9"/>
          <w:bottom w:val="single" w:sz="4" w:space="0" w:color="D9D9D9"/>
          <w:right w:val="single" w:sz="4" w:space="0" w:color="D9D9D9"/>
          <w:left w:val="single" w:sz="24" w:space="0" w:color="1F4E79"/>
        </w:tblBorders>
        <w:tblCellMar>
          <w:top w:w="80" w:type="dxa"/>
          <w:left w:w="160" w:type="dxa"/>
          <w:bottom w:w="80" w:type="dxa"/>
          <w:right w:w="160" w:type="dxa"/>
        </w:tblCellMar>
      </w:tblPr>
      <w:tblGrid>
        <w:gridCol w:w="9360"/>
      </w:tblGrid>
      <w:tr>
        <w:tc>
          <w:tcPr>
            <w:tcW w:type="dxa" w:w="9360"/>
            <w:tcMar>
              <w:top w:w="80" w:type="dxa"/>
              <w:start w:w="120" w:type="dxa"/>
              <w:bottom w:w="80" w:type="dxa"/>
              <w:end w:w="120" w:type="dxa"/>
            </w:tcMar>
            <w:vAlign w:val="center"/>
            <w:shd w:fill="F2F6FA" w:val="clear" w:color="auto"/>
          </w:tcPr>
          <w:p>
            <w:pPr>
              <w:spacing w:after="40" w:line="252" w:lineRule="auto"/>
            </w:pPr>
            <w:r>
              <w:rPr>
                <w:rFonts w:ascii="Calibri" w:hAnsi="Calibri"/>
                <w:b/>
                <w:color w:val="1F4E79"/>
                <w:sz w:val="20"/>
              </w:rPr>
              <w:t>CONCLUSION INSTITUTIONNELLE</w:t>
            </w:r>
          </w:p>
          <w:p>
            <w:pPr>
              <w:spacing w:after="40" w:line="252" w:lineRule="auto"/>
            </w:pPr>
            <w:r>
              <w:rPr>
                <w:sz w:val="20"/>
              </w:rPr>
              <w:t>Financer, gouverner et transformer Dakar n’est pas seulement un thème de réflexion : c’est une trajectoire d’action collective pour faire de la capitale une métropole durable, compétitive, inclusive et performante.</w:t>
            </w:r>
          </w:p>
        </w:tc>
      </w:tr>
    </w:tbl>
    <w:p>
      <w:pPr>
        <w:pStyle w:val="Heading1"/>
      </w:pPr>
      <w:r>
        <w:t>Références bibliographiques et documentaires</w:t>
      </w:r>
    </w:p>
    <w:p>
      <w:r>
        <w:t>Les références ci-dessous constituent l’appareil documentaire principal utilisé pour consolider le rapport. Elles regroupent les sources internes des Journées scientifiques, les présentations, les transcriptions, les documents de soutien institutionnels et les référentiels juridiques ou techniques mobilisés dans l’analyse.</w:t>
      </w:r>
      <w:r>
        <w:rPr>
          <w:rStyle w:val="FootnoteReference"/>
        </w:rPr>
        <w:footnoteReference w:id="15"/>
      </w:r>
    </w:p>
    <w:tbl>
      <w:tblPr>
        <w:tblW w:type="dxa" w:w="9360"/>
        <w:jc w:val="left"/>
        <w:tblLook w:firstColumn="1" w:firstRow="1" w:lastColumn="0" w:lastRow="0" w:noHBand="0" w:noVBand="1" w:val="04A0"/>
        <w:tblInd w:w="120" w:type="dxa"/>
        <w:tblLayout w:type="fixed"/>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CellMar>
          <w:top w:w="40" w:type="dxa"/>
          <w:left w:w="100" w:type="dxa"/>
          <w:bottom w:w="40" w:type="dxa"/>
          <w:right w:w="100" w:type="dxa"/>
        </w:tblCellMar>
      </w:tblPr>
      <w:tblGrid>
        <w:gridCol w:w="1800"/>
        <w:gridCol w:w="4360"/>
        <w:gridCol w:w="3200"/>
      </w:tblGrid>
      <w:tr>
        <w:trPr>
          <w:tblHeader w:val="true"/>
        </w:trPr>
        <w:tc>
          <w:tcPr>
            <w:tcW w:type="dxa" w:w="18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Catégorie</w:t>
            </w:r>
          </w:p>
        </w:tc>
        <w:tc>
          <w:tcPr>
            <w:tcW w:type="dxa" w:w="436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Référence documentaire</w:t>
            </w:r>
          </w:p>
        </w:tc>
        <w:tc>
          <w:tcPr>
            <w:tcW w:type="dxa" w:w="3200"/>
            <w:tcMar>
              <w:top w:w="80" w:type="dxa"/>
              <w:start w:w="120" w:type="dxa"/>
              <w:bottom w:w="80" w:type="dxa"/>
              <w:end w:w="120" w:type="dxa"/>
            </w:tcMar>
            <w:vAlign w:val="center"/>
            <w:shd w:fill="1F4E79" w:val="clear" w:color="auto"/>
          </w:tcPr>
          <w:p>
            <w:pPr>
              <w:spacing w:after="40" w:before="0" w:line="240" w:lineRule="auto"/>
            </w:pPr>
            <w:r>
              <w:rPr>
                <w:rFonts w:ascii="Calibri" w:hAnsi="Calibri"/>
                <w:b/>
                <w:color w:val="FFFFFF"/>
                <w:sz w:val="20"/>
              </w:rPr>
              <w:t>Utilisation dans le rapport</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Sources des Journées scientifiques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Agenda validé des Journées scientifiques de contribution de l’APEC ; pré-rapport ; synthèse des recommandations ; documents préparatoires.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Définition du périmètre, des panels, des thèmes abordés, des séquences de travail et des recommandations initiales.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Présentations des panels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Supports relatifs à l’Acte IV, aux pôles territoriaux, à la GAR, aux ressources locales, aux financements innovants, aux PPP, au capital humain, au rayonnement international et à l’attractivité.</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Base principale de structuration des analyses par panel, des messages clés et des recommandations opérationnelles.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Transcriptions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Transcriptions longues des panels et synthèse des cinq vidéos disponibles dans le corpus.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Vérification des échanges, identification des préoccupations récurrentes, consolidation des points de convergence et enrichissement des risques à maîtriser.</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Budget municipal</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 Rapport Budget 2024 ; Budget 2024 VD ; éléments détaillés du budget d’investissement 2024.</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Cadrage des recettes, dépenses, impôts locaux, investissement, dépenses de personnel, potentiel fiscal et priorités budgétaires.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Planification municipale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 Système de planification de la Ville de Dakar.</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Justification de la cellule horizontale de planification, du tableau de bord, des points focaux et du suivi interdirectionnel.</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Climat et transition écologique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Ville de Dakar, Plan Climat Énergie Territorial : vision 2050, 7 axes, 22 actions, gouvernance climatique, MRV, finance verte et progiciel de suivi.</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Fondement du programme transition écologique-PCET, du portefeuille climat et des recommandations sur la finance verte.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Aménagement du territoire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Plan national d’aménagement et de développement territorial.</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Cadrage du poids national de Dakar, de sa fonction métropolitaine, de la cohérence territoriale et de la maîtrise de l’information territoriale.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Décentralisation</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Rapport d’évaluation de l’Acte III de la décentralisation.</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Appui aux recommandations sur l’Acte IV, la cohérence territoriale, la fiscalité locale, les compétences, l’emprunt et les PPP territoriaux.</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Collectivités locales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Loi n° 2013-10 du 28 décembre 2013 portant Code général des Collectivités locales, fichier code_general6119.pdf.</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Fondement juridique sur la libre administration, la création de la ville, la mutualisation des compétences, les finances de la ville, les relations ville-communes, les emprunts et la coopération.</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GAR et performance</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Guide GAR UEMOA 2021 ; fascicule sur la gestion axée sur les résultats ; supports sur le budget-programme, les indicateurs, les PAP, RAP, PTA et contrats de performance.</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Fondement normatif des propositions sur la GAR, le budget-programme, les indicateurs, la redevabilité et les rapports de performance.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Finances publiques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 DCP sur la réforme comptable ; directives et référentiels UEMOA relatifs à la transparence, au plan comptable, au reporting et à la comparabilité des données.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Renforcement des recommandations sur la qualité du reporting, la crédibilité budgétaire et la transparence financière.</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PPP et investissement</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Loi n° 2021-23 du 02 mars 2021 relative aux contrats de partenariat public-privé ; Code des investissements.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Encadrement des propositions relatives aux PPP, aux offres d’initiative privée, à la maturation des projets et aux instruments de financement.</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Fiscalité et collectivités</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Code général des impôts ; Code général des Collectivités locales ; référentiels relatifs aux collectivités territoriales et aux finances locales.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Appui à l’analyse de l’assiette fiscale, de l’e-taxe, de la fiscalité foncière, des recettes propres et de la coopération avec la DGID.</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Attractivité et histoire de Dakar</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Présentations et transcriptions relatives au rayonnement international, à Dakar Brand, aux JOJ 2026, au patrimoine, aux réseaux internationaux et aux circuits culturels.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Intégration de l’histoire de Dakar dans le programme attractivité : récit institutionnel, mémoire urbaine, circuits patrimoniaux et tourisme culturel.</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Benchmark international</w:t>
            </w:r>
          </w:p>
        </w:tc>
        <w:tc>
          <w:tcPr>
            <w:tcW w:type="dxa" w:w="4360"/>
            <w:tcMar>
              <w:top w:w="80" w:type="dxa"/>
              <w:start w:w="120" w:type="dxa"/>
              <w:bottom w:w="80" w:type="dxa"/>
              <w:end w:w="120" w:type="dxa"/>
            </w:tcMar>
            <w:vAlign w:val="center"/>
          </w:tcPr>
          <w:p>
            <w:pPr>
              <w:spacing w:after="40" w:before="0" w:line="240" w:lineRule="auto"/>
            </w:pPr>
            <w:r>
              <w:rPr>
                <w:sz w:val="20"/>
              </w:rPr>
              <w:t>City of Kigali / Imihigo et City Development Strategy 2024-2029 ; Accra Metropolitan Assembly ; South African Government sur les municipalités métropolitaines ; City of Johannesburg / Johannesburg Stock Exchange ; City of Cape Town ; Cairo Governorate Portal ; District Autonome d’Abidjan.</w:t>
            </w:r>
          </w:p>
        </w:tc>
        <w:tc>
          <w:tcPr>
            <w:tcW w:type="dxa" w:w="3200"/>
            <w:tcMar>
              <w:top w:w="80" w:type="dxa"/>
              <w:start w:w="120" w:type="dxa"/>
              <w:bottom w:w="80" w:type="dxa"/>
              <w:end w:w="120" w:type="dxa"/>
            </w:tcMar>
            <w:vAlign w:val="center"/>
          </w:tcPr>
          <w:p>
            <w:pPr>
              <w:spacing w:after="40" w:before="0" w:line="240" w:lineRule="auto"/>
            </w:pPr>
            <w:r>
              <w:rPr>
                <w:sz w:val="20"/>
              </w:rPr>
              <w:t>Comparaison ciblée sur les contrats de performance, départements métropolitains, budget unique, assiette fiscale, emprunt municipal, gouvernorat-capitale, districts spéciaux et coordination des fonctions urbaines.</w:t>
            </w:r>
          </w:p>
        </w:tc>
      </w:tr>
      <w:tr>
        <w:tc>
          <w:tcPr>
            <w:tcW w:type="dxa" w:w="1800"/>
            <w:tcMar>
              <w:top w:w="80" w:type="dxa"/>
              <w:start w:w="120" w:type="dxa"/>
              <w:bottom w:w="80" w:type="dxa"/>
              <w:end w:w="120" w:type="dxa"/>
            </w:tcMar>
            <w:vAlign w:val="center"/>
          </w:tcPr>
          <w:p>
            <w:pPr>
              <w:spacing w:after="40" w:line="240" w:lineRule="auto" w:before="0"/>
            </w:pPr>
            <w:r>
              <w:rPr>
                <w:rFonts w:ascii="Calibri" w:hAnsi="Calibri"/>
                <w:color w:val="232323"/>
                <w:sz w:val="20"/>
              </w:rPr>
              <w:t>Benchmark fiscal territorial</w:t>
            </w:r>
          </w:p>
        </w:tc>
        <w:tc>
          <w:tcPr>
            <w:tcW w:type="dxa" w:w="4360"/>
            <w:tcMar>
              <w:top w:w="80" w:type="dxa"/>
              <w:start w:w="120" w:type="dxa"/>
              <w:bottom w:w="80" w:type="dxa"/>
              <w:end w:w="120" w:type="dxa"/>
            </w:tcMar>
            <w:vAlign w:val="center"/>
          </w:tcPr>
          <w:p>
            <w:pPr>
              <w:spacing w:after="40" w:line="240" w:lineRule="auto" w:before="0"/>
            </w:pPr>
            <w:r>
              <w:rPr>
                <w:rFonts w:ascii="Calibri" w:hAnsi="Calibri"/>
                <w:color w:val="232323"/>
                <w:sz w:val="20"/>
              </w:rPr>
              <w:t>TABLEU VILLE.docx : comparaison Dakar, Abidjan, Kigali, Nairobi, Lagos, Johannesburg, Casablanca, Rabat, Tunis, Le Caire, Port-Louis et Paris.</w:t>
            </w:r>
          </w:p>
        </w:tc>
        <w:tc>
          <w:tcPr>
            <w:tcW w:type="dxa" w:w="3200"/>
            <w:tcMar>
              <w:top w:w="80" w:type="dxa"/>
              <w:start w:w="120" w:type="dxa"/>
              <w:bottom w:w="80" w:type="dxa"/>
              <w:end w:w="120" w:type="dxa"/>
            </w:tcMar>
            <w:vAlign w:val="center"/>
          </w:tcPr>
          <w:p>
            <w:pPr>
              <w:spacing w:after="40" w:line="240" w:lineRule="auto" w:before="0"/>
            </w:pPr>
            <w:r>
              <w:rPr>
                <w:rFonts w:ascii="Calibri" w:hAnsi="Calibri"/>
                <w:color w:val="232323"/>
                <w:sz w:val="20"/>
              </w:rPr>
              <w:t>Appui à la section sur les réformes fiscales territoriales, l’assiette, le recouvrement, la fiscalité foncière, l’accès au marché financier et la digitalisation fiscale.</w:t>
            </w:r>
          </w:p>
        </w:tc>
      </w:tr>
    </w:tbl>
    <w:p>
      <w:pPr>
        <w:pStyle w:val="Heading2"/>
      </w:pPr>
      <w:r>
        <w:t>Notes de bas de page</w:t>
      </w:r>
    </w:p>
    <w:p>
      <w:pPr/>
      <w:r>
        <w:t>Les notes de bas de page distinguent les sources documentaires internes, les transcriptions nettoyées et les références comparatives utilisées pour le benchmark. Les extraits de discussions sont volontairement courts et recoupés avec les supports écrits.</w:t>
      </w:r>
      <w:r>
        <w:rPr>
          <w:rStyle w:val="FootnoteReference"/>
        </w:rPr>
        <w:footnoteReference w:id="19"/>
      </w:r>
    </w:p>
    <w:p>
      <w:r>
        <w:t>Des notes de bas de page ont été ajoutées dans les sections de méthode, de cadrage documentaire, de budget, de transition écologique, de GAR, de fiscalité territoriale et de benchmark. Elles permettent de signaler les familles de sources utilisées sans alourdir le corps du rapport.</w:t>
      </w:r>
    </w:p>
    <w:p>
      <w:pPr>
        <w:pStyle w:val="Heading1"/>
      </w:pPr>
      <w:r>
        <w:t>Annexe – Documents exploités</w:t>
      </w:r>
    </w:p>
    <w:p>
      <w:r>
        <w:t>Cette annexe rappelle les principales familles de documents utilisées pour la préparation du rapport. Les fichiers doublons n’ont pas été retraités séparément. Le fichier TDR JSC APEC 2026.pdf semble être un scan non textuel et n’a pas pu être exploité sans OCR.</w:t>
      </w:r>
    </w:p>
    <w:p>
      <w:pPr>
        <w:pStyle w:val="ListBullet"/>
      </w:pPr>
      <w:r>
        <w:t>Agenda validé des Journées scientifiques de contribution de l’APEC.</w:t>
      </w:r>
    </w:p>
    <w:p>
      <w:pPr>
        <w:pStyle w:val="ListBullet"/>
      </w:pPr>
      <w:r>
        <w:t>Pré-rapport existant et synthèse des recommandations.</w:t>
      </w:r>
    </w:p>
    <w:p>
      <w:pPr>
        <w:pStyle w:val="ListBullet"/>
      </w:pPr>
      <w:r>
        <w:t>Supports des panels : gouvernance et GAR ; mobilisation des ressources ; PPP et financements innovants ; capital humain ; rayonnement international.</w:t>
      </w:r>
    </w:p>
    <w:p>
      <w:pPr>
        <w:pStyle w:val="ListBullet"/>
      </w:pPr>
      <w:r>
        <w:t>Notes d’intervention relatives au capital humain municipal, à la fonction publique locale, à la gouvernance, aux ressources et aux financements.</w:t>
      </w:r>
    </w:p>
    <w:p>
      <w:pPr>
        <w:pStyle w:val="ListBullet"/>
      </w:pPr>
      <w:r>
        <w:t>Transcriptions longues des panels et synthèse des cinq vidéos.</w:t>
      </w:r>
    </w:p>
    <w:p>
      <w:pPr>
        <w:pStyle w:val="ListBullet"/>
      </w:pPr>
      <w:r>
        <w:t>Documents de soutien nouvellement intégrés : Budget 2024 de la Ville de Dakar, détail du budget d’investissement, système de planification municipale, Plan Climat Énergie Territorial, Plan national d’aménagement et de développement territorial, rapport d’évaluation de l’Acte III, guides GAR UEMOA, réforme comptable, loi n° 2021-23 relative aux PPP, Loi n° 2013-10 portant Code général des Collectivités locales (code_general6119.pdf), Code général des impôts, Code des investissements et référentiels relatifs aux collectivités territoriales.</w:t>
      </w:r>
    </w:p>
    <w:p>
      <w:pPr>
        <w:pStyle w:val="ListBullet"/>
      </w:pPr>
      <w:r>
        <w:t>Benchmark fiscal territorial transmis dans TABLEU VILLE.docx.</w:t>
      </w:r>
    </w:p>
    <w:sectPr w:rsidR="00FC693F" w:rsidRPr="0006063C" w:rsidSect="00034616">
      <w:headerReference w:type="default" r:id="rId9"/>
      <w:footerReference w:type="default" r:id="rId10"/>
      <w:headerReference w:type="first" r:id="rId12"/>
      <w:footerReference w:type="first" r:id="rId13"/>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 xml:space="preserve">1</w:t>
    </w:r>
    <w:r>
      <w:rPr>
        <w:color w:val="595959"/>
        <w:sz w:val="18"/>
      </w:rPr>
      <w:fldChar w:fldCharType="end"/>
    </w:r>
    <w:r>
      <w:rPr>
        <w:color w:val="595959"/>
        <w:sz w:val="18"/>
      </w:rPr>
      <w:t xml:space="preserve"> sur </w:t>
    </w:r>
    <w:r>
      <w:rPr>
        <w:color w:val="595959"/>
        <w:sz w:val="18"/>
      </w:rPr>
      <w:fldChar w:fldCharType="begin"/>
    </w:r>
    <w:r>
      <w:rPr>
        <w:color w:val="595959"/>
        <w:sz w:val="18"/>
      </w:rPr>
      <w:instrText xml:space="preserve"> NUMPAGES </w:instrText>
    </w:r>
    <w:r>
      <w:rPr>
        <w:color w:val="595959"/>
        <w:sz w:val="18"/>
      </w:rPr>
      <w:fldChar w:fldCharType="separate"/>
    </w:r>
    <w:r>
      <w:rPr>
        <w:color w:val="595959"/>
        <w:sz w:val="18"/>
      </w:rPr>
      <w:t xml:space="preserve">1</w: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Méthode de synthèse : analyse croisée de l’agenda, des supports de panels, des notes d’intervention, des transcriptions, du pré-rapport, de la synthèse des recommandations et des documents de soutien ajoutés au corpus.</w:t>
      </w:r>
    </w:p>
  </w:footnote>
  <w:footnote w:id="2">
    <w:p>
      <w:pPr>
        <w:pStyle w:val="FootnoteText"/>
      </w:pPr>
      <w:r>
        <w:rPr>
          <w:rStyle w:val="FootnoteReference"/>
        </w:rPr>
        <w:footnoteRef/>
      </w:r>
      <w:r>
        <w:t xml:space="preserve"> La note de décision répond à l’exigence d’opérationnalisation : identifier les décisions immédiates, les réformes nécessitant arbitrage politique, les mesures techniques internes, les actions dépendant de l’État et les actions directement portables par la Ville.</w:t>
      </w:r>
    </w:p>
  </w:footnote>
  <w:footnote w:id="3">
    <w:p>
      <w:pPr>
        <w:pStyle w:val="FootnoteText"/>
      </w:pPr>
      <w:r>
        <w:rPr>
          <w:rStyle w:val="FootnoteReference"/>
        </w:rPr>
        <w:footnoteRef/>
      </w:r>
      <w:r>
        <w:t xml:space="preserve"> Documents de soutien exploités : Budget 2024 de la Ville de Dakar, budget d’investissement, système de planification municipale, PCET, PNADT, rapport d’évaluation de l’Acte III, guides GAR/UEMOA, réforme comptable, loi PPP 2021-23, Code général des Collectivités locales, Code général des impôts et référentiels fiscaux et juridiques.</w:t>
      </w:r>
    </w:p>
  </w:footnote>
  <w:footnote w:id="4">
    <w:p>
      <w:pPr>
        <w:pStyle w:val="FootnoteText"/>
      </w:pPr>
      <w:r>
        <w:rPr>
          <w:rStyle w:val="FootnoteReference"/>
        </w:rPr>
        <w:footnoteRef/>
      </w:r>
      <w:r>
        <w:t xml:space="preserve"> Les transcriptions automatiques ont été utilisées avec prudence : elles servent à confirmer ou enrichir les constats, mais les formulations finales sont recoupées avec les supports écrits, l’agenda et les documents institutionnels.</w:t>
      </w:r>
    </w:p>
  </w:footnote>
  <w:footnote w:id="5">
    <w:p>
      <w:pPr>
        <w:pStyle w:val="FootnoteText"/>
      </w:pPr>
      <w:r>
        <w:rPr>
          <w:rStyle w:val="FootnoteReference"/>
        </w:rPr>
        <w:footnoteRef/>
      </w:r>
      <w:r>
        <w:t xml:space="preserve"> Ville de Dakar, Rapport Budget 2024 et Budget 2024 VD : données budgétaires relatives aux recettes, dépenses, impôts locaux, investissement et dépenses de personnel.</w:t>
      </w:r>
    </w:p>
  </w:footnote>
  <w:footnote w:id="6">
    <w:p>
      <w:pPr>
        <w:pStyle w:val="FootnoteText"/>
      </w:pPr>
      <w:r>
        <w:rPr>
          <w:rStyle w:val="FootnoteReference"/>
        </w:rPr>
        <w:footnoteRef/>
      </w:r>
      <w:r>
        <w:t xml:space="preserve"> Loi n° 2013-10 du 28 décembre 2013 portant Code général des Collectivités locales, fichier code_general6119.pdf fourni dans les documents de soutien. Le fichier code_general6119.pdf est identique au doublon code_general6119 (1).pdf déjà extrait.</w:t>
      </w:r>
    </w:p>
  </w:footnote>
  <w:footnote w:id="7">
    <w:p>
      <w:pPr>
        <w:pStyle w:val="FootnoteText"/>
      </w:pPr>
      <w:r>
        <w:rPr>
          <w:rStyle w:val="FootnoteReference"/>
        </w:rPr>
        <w:footnoteRef/>
      </w:r>
      <w:r>
        <w:t xml:space="preserve"> Plan national d’aménagement et de développement territorial : cadrage national de l’armature territoriale, du poids démographique et économique de Dakar et des enjeux de cohérence territoriale.</w:t>
      </w:r>
    </w:p>
  </w:footnote>
  <w:footnote w:id="8">
    <w:p>
      <w:pPr>
        <w:pStyle w:val="FootnoteText"/>
      </w:pPr>
      <w:r>
        <w:rPr>
          <w:rStyle w:val="FootnoteReference"/>
        </w:rPr>
        <w:footnoteRef/>
      </w:r>
      <w:r>
        <w:t xml:space="preserve"> Ville de Dakar, Plan Climat Énergie Territorial : vision Dakar 2050, axes d’adaptation et d’atténuation, dispositif MRV, gouvernance climatique, progiciel de suivi et finance verte.</w:t>
      </w:r>
    </w:p>
  </w:footnote>
  <w:footnote w:id="9">
    <w:p>
      <w:pPr>
        <w:pStyle w:val="FootnoteText"/>
      </w:pPr>
      <w:r>
        <w:rPr>
          <w:rStyle w:val="FootnoteReference"/>
        </w:rPr>
        <w:footnoteRef/>
      </w:r>
      <w:r>
        <w:t xml:space="preserve"> Guide GAR UEMOA 2021, fascicule sur la gestion axée sur les résultats et présentation DCP sur la réforme comptable : budget-programme, PAP, RAP, PTA, contrats de performance, indicateurs et transparence.</w:t>
      </w:r>
    </w:p>
  </w:footnote>
  <w:footnote w:id="10">
    <w:p>
      <w:pPr>
        <w:pStyle w:val="FootnoteText"/>
      </w:pPr>
      <w:r>
        <w:rPr>
          <w:rStyle w:val="FootnoteReference"/>
        </w:rPr>
        <w:footnoteRef/>
      </w:r>
      <w:r>
        <w:t xml:space="preserve"> Cette recommandation répond au besoin d’éviter la dispersion conceptuelle : le Plan stratégique Dakar 2035-2050 doit servir de cadre d’intégration entre les documents existants, les réformes nationales et les programmes municipaux.</w:t>
      </w:r>
    </w:p>
  </w:footnote>
  <w:footnote w:id="11">
    <w:p>
      <w:pPr>
        <w:pStyle w:val="FootnoteText"/>
      </w:pPr>
      <w:r>
        <w:rPr>
          <w:rStyle w:val="FootnoteReference"/>
        </w:rPr>
        <w:footnoteRef/>
      </w:r>
      <w:r>
        <w:t xml:space="preserve"> Les messages sont reformulés à partir des transcriptions et de la synthèse des vidéos. Les transcriptions automatiques comportant des imperfections, les formulations ont été nettoyées et recoupées avec les supports écrits.</w:t>
      </w:r>
    </w:p>
  </w:footnote>
  <w:footnote w:id="12">
    <w:p>
      <w:pPr>
        <w:pStyle w:val="FootnoteText"/>
      </w:pPr>
      <w:r>
        <w:rPr>
          <w:rStyle w:val="FootnoteReference"/>
        </w:rPr>
        <w:footnoteRef/>
      </w:r>
      <w:r>
        <w:t xml:space="preserve"> Références de benchmark consultées : City of Kigali / Imihigo et City Development Strategy 2024-2029 ; Ville de Casablanca et sociétés de développement local ; Johannesburg Stock Exchange et City of Johannesburg sur les obligations municipales ; Agence urbaine de Rabat-Salé et Rabat Région Patrimoine Historique ; District Autonome d’Abidjan.</w:t>
      </w:r>
    </w:p>
  </w:footnote>
  <w:footnote w:id="13">
    <w:p>
      <w:pPr>
        <w:pStyle w:val="FootnoteText"/>
      </w:pPr>
      <w:r>
        <w:rPr>
          <w:rStyle w:val="FootnoteReference"/>
        </w:rPr>
        <w:footnoteRef/>
      </w:r>
      <w:r>
        <w:t xml:space="preserve"> Ce programme transition écologique-PCET s’appuie notamment sur le PCET de Dakar, le système de planification municipale, les supports sur la GAR, les présentations relatives à l’e-taxe, aux données et aux financements climat.</w:t>
      </w:r>
    </w:p>
  </w:footnote>
  <w:footnote w:id="14">
    <w:p>
      <w:pPr>
        <w:pStyle w:val="FootnoteText"/>
      </w:pPr>
      <w:r>
        <w:rPr>
          <w:rStyle w:val="FootnoteReference"/>
        </w:rPr>
        <w:footnoteRef/>
      </w:r>
      <w:r>
        <w:t xml:space="preserve"> Cette section intègre le tableau comparatif fourni dans TABLEU VILLE.docx : Dakar y apparaît avec une assiette fiscale faible à moyenne, un taux de recouvrement estimatif de 50-70 %, une fiscalité foncière sous-exploitée et un accès très limité aux marchés financiers.</w:t>
      </w:r>
    </w:p>
  </w:footnote>
  <w:footnote w:id="15">
    <w:p>
      <w:pPr>
        <w:pStyle w:val="FootnoteText"/>
      </w:pPr>
      <w:r>
        <w:rPr>
          <w:rStyle w:val="FootnoteReference"/>
        </w:rPr>
        <w:footnoteRef/>
      </w:r>
      <w:r>
        <w:t xml:space="preserve"> Cette bibliographie est structurée comme une bibliographie de travail institutionnel : elle indique les documents exploités et leur usage analytique, y compris lorsque les documents proviennent du corpus interne fourni.</w:t>
      </w:r>
    </w:p>
  </w:footnote>
  <w:footnote w:id="16">
    <w:p>
      <w:pPr>
        <w:pStyle w:val="FootnoteText"/>
      </w:pPr>
      <w:r>
        <w:rPr>
          <w:rStyle w:val="FootnoteReference"/>
        </w:rPr>
        <w:footnoteRef/>
      </w:r>
      <w:r>
        <w:t> Lecture croisée du Code général des Collectivités territoriales, du Rapport d’évaluation de l’Acte III, du PNADT et des supports sur les pôles territoriaux.</w:t>
      </w:r>
    </w:p>
  </w:footnote>
  <w:footnote w:id="17">
    <w:p>
      <w:pPr>
        <w:pStyle w:val="FootnoteText"/>
      </w:pPr>
      <w:r>
        <w:rPr>
          <w:rStyle w:val="FootnoteReference"/>
        </w:rPr>
        <w:footnoteRef/>
      </w:r>
      <w:r>
        <w:t> Transcription des cinq vidéos, utilisée comme matériau de discussion. Les citations intégrées en encadré sont nettoyées pour corriger les hésitations de transcription sans modifier le sens.</w:t>
      </w:r>
    </w:p>
  </w:footnote>
  <w:footnote w:id="18">
    <w:p>
      <w:pPr>
        <w:pStyle w:val="FootnoteText"/>
      </w:pPr>
      <w:r>
        <w:rPr>
          <w:rStyle w:val="FootnoteReference"/>
        </w:rPr>
        <w:footnoteRef/>
      </w:r>
      <w:r>
        <w:t> Les scénarios sont construits à partir du corpus du dossier : Code général des Collectivités territoriales, rapport d’évaluation de l’Acte III, loi PPP 2021-23, Budget 2024, PNADT, PCET et présentations des panels.</w:t>
      </w:r>
    </w:p>
  </w:footnote>
  <w:footnote w:id="19">
    <w:p>
      <w:pPr>
        <w:pStyle w:val="FootnoteText"/>
      </w:pPr>
      <w:r>
        <w:rPr>
          <w:rStyle w:val="FootnoteReference"/>
        </w:rPr>
        <w:footnoteRef/>
      </w:r>
      <w:r>
        <w:t> Les références externes consultées pour sécuriser le benchmark sont signalées dans le tableau des sources : Accra Metropolitan Assembly, South African Government, Cairo Governorate Portal et sources déjà mentionnées pour Kigali, Johannesburg, Le Cap et Abidjan.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8" w:space="1" w:color="D7DBE2"/>
      </w:pBdr>
      <w:pBdr>
        <w:bottom w:val="single" w:sz="4" w:space="4" w:color="BFBFBF"/>
      </w:pBdr>
    </w:pPr>
    <w:r/>
    <w:r>
      <w:rPr>
        <w:color w:val="595959"/>
        <w:sz w:val="18"/>
      </w:rPr>
      <w:t>Journées scientifiques de contribution de l’APEC – Ville de Dakar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6" w:lineRule="auto" w:before="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80" w:line="290" w:lineRule="auto"/>
      <w:outlineLvl w:val="0"/>
      <w:pBdr>
        <w:bottom w:val="single" w:sz="8" w:space="4" w:color="2E74B5"/>
      </w:pBdr>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line="29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line="290" w:lineRule="auto"/>
      <w:outlineLvl w:val="2"/>
    </w:pPr>
    <w:rPr>
      <w:rFonts w:asciiTheme="majorHAnsi" w:eastAsiaTheme="majorEastAsia" w:hAnsiTheme="majorHAnsi" w:cstheme="majorBidi" w:ascii="Calibri" w:hAnsi="Calibri"/>
      <w:b/>
      <w:bCs/>
      <w:color w:val="4454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jc w:val="both"/>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TDM">
    <w:name w:val="Titre TDM"/>
    <w:basedOn w:val="Heading1"/>
    <w:qFormat/>
    <w:pPr>
      <w:outlineLvl w:val="9"/>
    </w:pPr>
  </w:style>
  <w:style w:type="paragraph" w:styleId="TOC1">
    <w:name w:val="TOC 1"/>
    <w:basedOn w:val="Normal"/>
    <w:pPr>
      <w:tabs>
        <w:tab w:pos="9071" w:val="right" w:leader="dot"/>
      </w:tabs>
      <w:spacing w:before="120" w:after="40" w:line="240" w:lineRule="auto"/>
      <w:ind w:left="0"/>
      <w:jc w:val="left"/>
    </w:pPr>
    <w:rPr>
      <w:rFonts w:ascii="Calibri" w:hAnsi="Calibri"/>
      <w:b/>
      <w:color w:val="1F4E79"/>
      <w:sz w:val="22"/>
    </w:rPr>
  </w:style>
  <w:style w:type="paragraph" w:styleId="TOC2">
    <w:name w:val="TOC 2"/>
    <w:basedOn w:val="Normal"/>
    <w:pPr>
      <w:tabs>
        <w:tab w:pos="9071" w:val="right" w:leader="dot"/>
      </w:tabs>
      <w:spacing w:before="40" w:after="40" w:line="240" w:lineRule="auto"/>
      <w:ind w:left="283"/>
      <w:jc w:val="left"/>
    </w:pPr>
    <w:rPr>
      <w:rFonts w:ascii="Calibri" w:hAnsi="Calibri"/>
      <w:b w:val="0"/>
      <w:sz w:val="21"/>
    </w:rPr>
  </w:style>
  <w:style w:type="paragraph" w:styleId="TOC3">
    <w:name w:val="TOC 3"/>
    <w:basedOn w:val="Normal"/>
    <w:pPr>
      <w:tabs>
        <w:tab w:pos="9071" w:val="right" w:leader="dot"/>
      </w:tabs>
      <w:spacing w:before="0" w:after="40" w:line="240" w:lineRule="auto"/>
      <w:ind w:left="567"/>
      <w:jc w:val="left"/>
    </w:pPr>
    <w:rPr>
      <w:rFonts w:ascii="Calibri" w:hAnsi="Calibri"/>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notes" Target="footnotes.xml"/><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institutionnel – Journées scientifiques de contribution de l’APEC 2026</dc:title>
  <dc:subject>Financer, gouverner et transformer la Ville de Dakar à l’ère des pôles territoriaux et de l’Acte IV de la décentralisation</dc:subject>
  <dc:creator>APEC – Ville de Dakar</dc:creator>
  <cp:keywords>Dakar; APEC; décentralisation; Acte IV; GAR; finances locales</cp:keywords>
  <dc:description>generated by python-docx</dc:description>
  <cp:lastModifiedBy>APEC – Ville de Dakar</cp:lastModifiedBy>
  <cp:revision>1</cp:revision>
  <dcterms:created xsi:type="dcterms:W3CDTF">2013-12-23T23:15:00Z</dcterms:created>
  <dcterms:modified xsi:type="dcterms:W3CDTF">2013-12-23T23:15:00Z</dcterms:modified>
  <cp:category>Rapport institutionnel</cp:category>
  <dc:language>fr-FR</dc:language>
</cp:coreProperties>
</file>