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3200"/>
        <w:jc w:val="center"/>
      </w:pPr>
      <w:r>
        <w:rPr>
          <w:rFonts w:ascii="Calibri" w:hAnsi="Calibri"/>
          <w:b/>
          <w:color w:val="2E74B5"/>
          <w:sz w:val="26"/>
          <w:spacing w:val="60"/>
        </w:rPr>
        <w:t>RAPPORT INSTITUTIONNEL</w:t>
      </w:r>
    </w:p>
    <w:p>
      <w:pPr>
        <w:spacing w:after="280"/>
        <w:jc w:val="center"/>
      </w:pPr>
      <w:r>
        <w:rPr>
          <w:rFonts w:ascii="Calibri" w:hAnsi="Calibri"/>
          <w:b/>
          <w:color w:val="1F4E79"/>
          <w:sz w:val="52"/>
        </w:rPr>
        <w:t>Journées scientifiques de contribution de l’APEC</w:t>
      </w:r>
    </w:p>
    <w:p>
      <w:pPr>
        <w:spacing w:after="960"/>
        <w:jc w:val="center"/>
      </w:pPr>
      <w:r>
        <w:rPr>
          <w:rFonts w:ascii="Calibri" w:hAnsi="Calibri"/>
          <w:i/>
          <w:color w:val="595959"/>
          <w:sz w:val="28"/>
        </w:rPr>
        <w:t>Financer, gouverner et transformer la Ville de Dakar à l’ère des pôles territoriaux et de l’Acte IV de la décentralisation</w:t>
      </w:r>
    </w:p>
    <w:tbl>
      <w:tblPr>
        <w:tblW w:type="dxa" w:w="7500"/>
        <w:jc w:val="center"/>
        <w:tblLook w:firstColumn="1" w:firstRow="1" w:lastColumn="0" w:lastRow="0" w:noHBand="0" w:noVBand="1" w:val="04A0"/>
        <w:tblInd w:w="90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60" w:type="dxa"/>
          <w:left w:w="140" w:type="dxa"/>
          <w:bottom w:w="60" w:type="dxa"/>
          <w:right w:w="140" w:type="dxa"/>
        </w:tblCellMar>
        <w:jc w:val="center"/>
      </w:tblPr>
      <w:tblGrid>
        <w:gridCol w:w="2800"/>
        <w:gridCol w:w="4700"/>
      </w:tblGrid>
      <w:tr>
        <w:tc>
          <w:tcPr>
            <w:tcW w:type="dxa" w:w="2800"/>
            <w:tcMar>
              <w:top w:w="80" w:type="dxa"/>
              <w:start w:w="120" w:type="dxa"/>
              <w:bottom w:w="80" w:type="dxa"/>
              <w:end w:w="120" w:type="dxa"/>
            </w:tcMar>
            <w:vAlign w:val="center"/>
            <w:shd w:fill="EDF1F6" w:val="clear" w:color="auto"/>
          </w:tcPr>
          <w:p>
            <w:pPr>
              <w:spacing w:after="40" w:before="0" w:line="240" w:lineRule="auto"/>
            </w:pPr>
            <w:r>
              <w:rPr>
                <w:rFonts w:ascii="Calibri" w:hAnsi="Calibri"/>
                <w:b/>
                <w:color w:val="1F4E79"/>
                <w:sz w:val="20"/>
              </w:rPr>
              <w:t>Institution</w:t>
            </w:r>
          </w:p>
        </w:tc>
        <w:tc>
          <w:tcPr>
            <w:tcW w:type="dxa" w:w="4700"/>
            <w:tcMar>
              <w:top w:w="80" w:type="dxa"/>
              <w:start w:w="120" w:type="dxa"/>
              <w:bottom w:w="80" w:type="dxa"/>
              <w:end w:w="120" w:type="dxa"/>
            </w:tcMar>
            <w:vAlign w:val="center"/>
            <w:shd w:val="clear" w:color="auto" w:fill="FFFFFF"/>
          </w:tcPr>
          <w:p>
            <w:pPr>
              <w:spacing w:after="40" w:before="0" w:line="240" w:lineRule="auto"/>
            </w:pPr>
            <w:r>
              <w:rPr>
                <w:rFonts w:ascii="Calibri" w:hAnsi="Calibri"/>
                <w:b w:val="0"/>
                <w:color w:val="232323"/>
                <w:sz w:val="20"/>
              </w:rPr>
              <w:t>APEC – Ville de Dakar</w:t>
            </w:r>
          </w:p>
        </w:tc>
      </w:tr>
      <w:tr>
        <w:tc>
          <w:tcPr>
            <w:tcW w:type="dxa" w:w="2800"/>
            <w:tcMar>
              <w:top w:w="80" w:type="dxa"/>
              <w:start w:w="120" w:type="dxa"/>
              <w:bottom w:w="80" w:type="dxa"/>
              <w:end w:w="120" w:type="dxa"/>
            </w:tcMar>
            <w:vAlign w:val="center"/>
            <w:shd w:fill="EDF1F6" w:val="clear" w:color="auto"/>
          </w:tcPr>
          <w:p>
            <w:pPr>
              <w:spacing w:after="40" w:before="0" w:line="240" w:lineRule="auto"/>
            </w:pPr>
            <w:r>
              <w:rPr>
                <w:rFonts w:ascii="Calibri" w:hAnsi="Calibri"/>
                <w:b/>
                <w:color w:val="1F4E79"/>
                <w:sz w:val="20"/>
              </w:rPr>
              <w:t>Période</w:t>
            </w:r>
          </w:p>
        </w:tc>
        <w:tc>
          <w:tcPr>
            <w:tcW w:type="dxa" w:w="4700"/>
            <w:tcMar>
              <w:top w:w="80" w:type="dxa"/>
              <w:start w:w="120" w:type="dxa"/>
              <w:bottom w:w="80" w:type="dxa"/>
              <w:end w:w="120" w:type="dxa"/>
            </w:tcMar>
            <w:vAlign w:val="center"/>
            <w:shd w:val="clear" w:color="auto" w:fill="FFFFFF"/>
          </w:tcPr>
          <w:p>
            <w:pPr>
              <w:spacing w:after="40" w:before="0" w:line="240" w:lineRule="auto"/>
            </w:pPr>
            <w:r>
              <w:rPr>
                <w:rFonts w:ascii="Calibri" w:hAnsi="Calibri"/>
                <w:b w:val="0"/>
                <w:color w:val="232323"/>
                <w:sz w:val="20"/>
              </w:rPr>
              <w:t>04 et 05 mai 2026</w:t>
            </w:r>
          </w:p>
        </w:tc>
      </w:tr>
      <w:tr>
        <w:tc>
          <w:tcPr>
            <w:tcW w:type="dxa" w:w="2800"/>
            <w:tcMar>
              <w:top w:w="80" w:type="dxa"/>
              <w:start w:w="120" w:type="dxa"/>
              <w:bottom w:w="80" w:type="dxa"/>
              <w:end w:w="120" w:type="dxa"/>
            </w:tcMar>
            <w:vAlign w:val="center"/>
            <w:shd w:fill="EDF1F6" w:val="clear" w:color="auto"/>
          </w:tcPr>
          <w:p>
            <w:pPr>
              <w:spacing w:after="40" w:before="0" w:line="240" w:lineRule="auto"/>
            </w:pPr>
            <w:r>
              <w:rPr>
                <w:rFonts w:ascii="Calibri" w:hAnsi="Calibri"/>
                <w:b/>
                <w:color w:val="1F4E79"/>
                <w:sz w:val="20"/>
              </w:rPr>
              <w:t>Lieu</w:t>
            </w:r>
          </w:p>
        </w:tc>
        <w:tc>
          <w:tcPr>
            <w:tcW w:type="dxa" w:w="4700"/>
            <w:tcMar>
              <w:top w:w="80" w:type="dxa"/>
              <w:start w:w="120" w:type="dxa"/>
              <w:bottom w:w="80" w:type="dxa"/>
              <w:end w:w="120" w:type="dxa"/>
            </w:tcMar>
            <w:vAlign w:val="center"/>
            <w:shd w:val="clear" w:color="auto" w:fill="FFFFFF"/>
          </w:tcPr>
          <w:p>
            <w:pPr>
              <w:spacing w:after="40" w:before="0" w:line="240" w:lineRule="auto"/>
            </w:pPr>
            <w:r>
              <w:rPr>
                <w:rFonts w:ascii="Calibri" w:hAnsi="Calibri"/>
                <w:b w:val="0"/>
                <w:color w:val="232323"/>
                <w:sz w:val="20"/>
              </w:rPr>
              <w:t>Hôtel Azalaï, Dakar</w:t>
            </w:r>
          </w:p>
        </w:tc>
      </w:tr>
      <w:tr>
        <w:tc>
          <w:tcPr>
            <w:tcW w:type="dxa" w:w="2800"/>
            <w:tcMar>
              <w:top w:w="80" w:type="dxa"/>
              <w:start w:w="120" w:type="dxa"/>
              <w:bottom w:w="80" w:type="dxa"/>
              <w:end w:w="120" w:type="dxa"/>
            </w:tcMar>
            <w:vAlign w:val="center"/>
            <w:shd w:fill="EDF1F6" w:val="clear" w:color="auto"/>
          </w:tcPr>
          <w:p>
            <w:pPr>
              <w:spacing w:after="40" w:before="0" w:line="240" w:lineRule="auto"/>
            </w:pPr>
            <w:r>
              <w:rPr>
                <w:rFonts w:ascii="Calibri" w:hAnsi="Calibri"/>
                <w:b/>
                <w:color w:val="1F4E79"/>
                <w:sz w:val="20"/>
              </w:rPr>
              <w:t>Version</w:t>
            </w:r>
          </w:p>
        </w:tc>
        <w:tc>
          <w:tcPr>
            <w:tcW w:type="dxa" w:w="4700"/>
            <w:tcMar>
              <w:top w:w="80" w:type="dxa"/>
              <w:start w:w="120" w:type="dxa"/>
              <w:bottom w:w="80" w:type="dxa"/>
              <w:end w:w="120" w:type="dxa"/>
            </w:tcMar>
            <w:vAlign w:val="center"/>
            <w:shd w:val="clear" w:color="auto" w:fill="FFFFFF"/>
          </w:tcPr>
          <w:p>
            <w:pPr>
              <w:spacing w:after="40" w:before="0" w:line="240" w:lineRule="auto"/>
            </w:pPr>
            <w:r>
              <w:rPr>
                <w:rFonts w:ascii="Calibri" w:hAnsi="Calibri"/>
                <w:b w:val="0"/>
                <w:color w:val="232323"/>
                <w:sz w:val="20"/>
              </w:rPr>
              <w:t>Rapport institutionnel solide – document de travail</w:t>
            </w:r>
          </w:p>
        </w:tc>
      </w:tr>
    </w:tbl>
    <w:p>
      <w:pPr>
        <w:pStyle w:val="Heading1"/>
      </w:pPr>
      <w:r>
        <w:t>Avant-propos</w:t>
      </w:r>
    </w:p>
    <w:p>
      <w:r>
        <w:t>L’organisation des Journées scientifiques de contribution de l’APEC traduit la volonté des cadres municipaux de participer activement à la réflexion sur les transformations institutionnelles, territoriales, financières et organisationnelles qui concernent la Ville de Dakar. Elle intervient dans une période décisive, marquée par les discussions autour de l’Acte IV de la décentralisation, la mise en place des pôles territoriaux, la préparation des Jeux Olympiques de la Jeunesse Dakar 2026 et la recherche de nouvelles trajectoires de développement urbain.</w:t>
      </w:r>
    </w:p>
    <w:p>
      <w:r>
        <w:t>Le présent rapport vise à capitaliser les communications, débats, supports et recommandations issus des travaux tenus les 04 et 05 mai 2026 à l’Hôtel Azalaï. Il ne se substitue pas aux actes exhaustifs des journées ; il en propose une lecture institutionnelle, analytique et opérationnelle, destinée à éclairer la décision publique municipale, à nourrir le plaidoyer de l’APEC et à préparer la transformation de Dakar en métropole africaine durable, compétitive, inclusive et performante.</w:t>
      </w:r>
    </w:p>
    <w:p>
      <w:r>
        <w:t>La démarche retenue repose sur une analyse croisée des documents disponibles : agenda validé, pré-rapport, synthèse des recommandations, supports de présentation, notes d’intervention, transcriptions et documents de soutien ajoutés au corpus. Les transcriptions automatiques comportant parfois des imperfections, elles ont été utilisées avec prudence et recoupées avec les supports écrits, l’agenda officiel et les référentiels institutionnels disponibles. Un fichier TDR scanné n’a pas livré de texte exploitable sans OCR ; il n’a donc pas été utilisé comme source principale.</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OBJECTIF DU RAPPORT</w:t>
            </w:r>
          </w:p>
          <w:p>
            <w:pPr>
              <w:spacing w:after="40" w:line="252" w:lineRule="auto"/>
            </w:pPr>
            <w:r>
              <w:rPr>
                <w:sz w:val="20"/>
              </w:rPr>
              <w:t>Présenter une synthèse institutionnelle, analytique et opérationnelle des travaux : identifier les messages clés, consolider les recommandations et proposer une feuille de route exploitable par la décision municipale.</w:t>
            </w:r>
          </w:p>
        </w:tc>
      </w:tr>
    </w:tbl>
    <w:p>
      <w:pPr>
        <w:pStyle w:val="Heading1"/>
      </w:pPr>
      <w:r>
        <w:t>Positionnement institutionnel</w:t>
      </w:r>
    </w:p>
    <w:p>
      <w:r>
        <w:t>Le rapport adopte un traitement professionnel et non personnalisé des travaux. Les contributions sont analysées à partir des thèmes, constats, données, messages clés et recommandations, sans appréciation individuelle. Les noms des intervenants ne sont conservés que lorsqu’ils sont nécessaires à la traçabilité de la composition des panels.</w:t>
      </w:r>
      <w:r>
        <w:rPr>
          <w:rStyle w:val="FootnoteReference"/>
        </w:rPr>
        <w:footnoteReference w:id="1"/>
      </w:r>
    </w:p>
    <w:p>
      <w:r>
        <w:t>Cette option éditoriale vise à produire un document de travail institutionnel : sobre dans le ton, fondé sur les sources disponibles, orienté vers la décision, et directement exploitable pour le plaidoyer, la programmation et le suivi des recommandations.</w:t>
      </w:r>
    </w:p>
    <w:p>
      <w:pPr>
        <w:pStyle w:val="TitreTDM"/>
      </w:pPr>
      <w:r>
        <w:t>Table des matières</w:t>
      </w:r>
    </w:p>
    <w:p>
      <w:pPr/>
      <w:fldSimple w:instr="TOC \o &quot;1-3&quot; \h \z \u">
        <w:r>
          <w:t>La table des matières se mettra à jour automatiquement à l’ouverture du document.</w:t>
        </w:r>
      </w:fldSimple>
    </w:p>
    <w:p>
      <w:pPr>
        <w:pStyle w:val="Heading1"/>
      </w:pPr>
      <w:r>
        <w:t>Sigles et abréviations</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100"/>
        <w:gridCol w:w="7260"/>
      </w:tblGrid>
      <w:tr>
        <w:trPr>
          <w:tblHeader w:val="true"/>
        </w:trPr>
        <w:tc>
          <w:tcPr>
            <w:tcW w:type="dxa" w:w="210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Sigle</w:t>
            </w:r>
          </w:p>
        </w:tc>
        <w:tc>
          <w:tcPr>
            <w:tcW w:type="dxa" w:w="726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Signification</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APEC</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Amicale du Personnel d’Encadrement de la Commune de Dakar</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Acte IV</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Nouvelle étape annoncée de la réforme de la décentralisation</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AIMF</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Association Internationale des Maires Francophones</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C40</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Réseau mondial des villes engagées pour l’action climatique</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CADAK</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Communauté des agglomérations de Dakar</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CEL</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Contribution économique locale</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CGLU</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Cités et Gouvernements Locaux Unis</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CNFPLF</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Centre national de la fonction publique locale et de la formation</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DGID</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Direction générale des Impôts et des Domaines</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GAR</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Gestion axée sur les résultats</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GPEC</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Gestion prévisionnelle des emplois et des compétences</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JOJ</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Jeux Olympiques de la Jeunesse</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MRV</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Mesure, rapportage et vérification</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PCET</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Plan Climat Énergie Territorial</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PNADT</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Plan national d’aménagement et de développement territorial</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PPP</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Partenariat public-privé</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SRMT</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Stratégie de recettes à moyen terme</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UEMOA</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Union économique et monétaire ouest-africaine</w:t>
            </w:r>
          </w:p>
        </w:tc>
      </w:tr>
      <w:tr>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UNAPPP</w:t>
            </w:r>
          </w:p>
        </w:tc>
        <w:tc>
          <w:tcPr>
            <w:tcW w:type="dxa" w:w="7260"/>
            <w:tcMar>
              <w:top w:w="120" w:type="dxa"/>
              <w:start w:w="120" w:type="dxa"/>
              <w:bottom w:w="120" w:type="dxa"/>
              <w:end w:w="120" w:type="dxa"/>
            </w:tcMar>
            <w:vAlign w:val="center"/>
          </w:tcPr>
          <w:p>
            <w:pPr>
              <w:spacing w:after="40" w:line="240" w:lineRule="auto" w:before="0"/>
            </w:pPr>
            <w:r>
              <w:rPr>
                <w:rFonts w:ascii="Calibri" w:hAnsi="Calibri"/>
                <w:color w:val="232323"/>
                <w:sz w:val="20"/>
              </w:rPr>
              <w:t>Unité nationale d’appui aux partenariats public-privé</w:t>
            </w:r>
          </w:p>
        </w:tc>
      </w:tr>
      <w:tr>
        <w:tc>
          <w:tcPr>
            <w:tcW w:type="dxa" w:w="2100"/>
            <w:tcMar>
              <w:top w:w="120" w:type="dxa"/>
              <w:start w:w="120" w:type="dxa"/>
              <w:bottom w:w="120" w:type="dxa"/>
              <w:end w:w="120" w:type="dxa"/>
            </w:tcMar>
          </w:tcPr>
          <w:p>
            <w:pPr>
              <w:spacing w:after="40" w:line="240" w:lineRule="auto" w:before="0"/>
            </w:pPr>
            <w:r>
              <w:rPr>
                <w:sz w:val="20"/>
              </w:rPr>
              <w:t>BRVM</w:t>
            </w:r>
          </w:p>
        </w:tc>
        <w:tc>
          <w:tcPr>
            <w:tcW w:type="dxa" w:w="7260"/>
            <w:tcMar>
              <w:top w:w="120" w:type="dxa"/>
              <w:start w:w="120" w:type="dxa"/>
              <w:bottom w:w="120" w:type="dxa"/>
              <w:end w:w="120" w:type="dxa"/>
            </w:tcMar>
          </w:tcPr>
          <w:p>
            <w:pPr>
              <w:spacing w:after="40" w:line="240" w:lineRule="auto" w:before="0"/>
            </w:pPr>
            <w:r>
              <w:rPr>
                <w:sz w:val="20"/>
              </w:rPr>
              <w:t>Bourse régionale des valeurs mobilières</w:t>
            </w:r>
          </w:p>
        </w:tc>
      </w:tr>
      <w:tr>
        <w:tc>
          <w:tcPr>
            <w:tcW w:type="dxa" w:w="2100"/>
            <w:tcMar>
              <w:top w:w="120" w:type="dxa"/>
              <w:start w:w="120" w:type="dxa"/>
              <w:bottom w:w="120" w:type="dxa"/>
              <w:end w:w="120" w:type="dxa"/>
            </w:tcMar>
          </w:tcPr>
          <w:p>
            <w:pPr>
              <w:spacing w:after="40" w:line="240" w:lineRule="auto" w:before="0"/>
            </w:pPr>
            <w:r>
              <w:rPr>
                <w:sz w:val="20"/>
              </w:rPr>
              <w:t>CGCT</w:t>
            </w:r>
          </w:p>
        </w:tc>
        <w:tc>
          <w:tcPr>
            <w:tcW w:type="dxa" w:w="7260"/>
            <w:tcMar>
              <w:top w:w="120" w:type="dxa"/>
              <w:start w:w="120" w:type="dxa"/>
              <w:bottom w:w="120" w:type="dxa"/>
              <w:end w:w="120" w:type="dxa"/>
            </w:tcMar>
          </w:tcPr>
          <w:p>
            <w:pPr>
              <w:spacing w:after="40" w:line="240" w:lineRule="auto" w:before="0"/>
            </w:pPr>
            <w:r>
              <w:rPr>
                <w:sz w:val="20"/>
              </w:rPr>
              <w:t>Code général des Collectivités territoriales</w:t>
            </w:r>
          </w:p>
        </w:tc>
      </w:tr>
      <w:tr>
        <w:tc>
          <w:tcPr>
            <w:tcW w:type="dxa" w:w="2100"/>
            <w:tcMar>
              <w:top w:w="120" w:type="dxa"/>
              <w:start w:w="120" w:type="dxa"/>
              <w:bottom w:w="120" w:type="dxa"/>
              <w:end w:w="120" w:type="dxa"/>
            </w:tcMar>
          </w:tcPr>
          <w:p>
            <w:pPr>
              <w:spacing w:after="40" w:line="240" w:lineRule="auto" w:before="0"/>
            </w:pPr>
            <w:r>
              <w:rPr>
                <w:sz w:val="20"/>
              </w:rPr>
              <w:t>FDD</w:t>
            </w:r>
          </w:p>
        </w:tc>
        <w:tc>
          <w:tcPr>
            <w:tcW w:type="dxa" w:w="7260"/>
            <w:tcMar>
              <w:top w:w="120" w:type="dxa"/>
              <w:start w:w="120" w:type="dxa"/>
              <w:bottom w:w="120" w:type="dxa"/>
              <w:end w:w="120" w:type="dxa"/>
            </w:tcMar>
          </w:tcPr>
          <w:p>
            <w:pPr>
              <w:spacing w:after="40" w:line="240" w:lineRule="auto" w:before="0"/>
            </w:pPr>
            <w:r>
              <w:rPr>
                <w:sz w:val="20"/>
              </w:rPr>
              <w:t>Fonds de dotation de la décentralisation</w:t>
            </w:r>
          </w:p>
        </w:tc>
      </w:tr>
      <w:tr>
        <w:tc>
          <w:tcPr>
            <w:tcW w:type="dxa" w:w="2100"/>
            <w:tcMar>
              <w:top w:w="120" w:type="dxa"/>
              <w:start w:w="120" w:type="dxa"/>
              <w:bottom w:w="120" w:type="dxa"/>
              <w:end w:w="120" w:type="dxa"/>
            </w:tcMar>
          </w:tcPr>
          <w:p>
            <w:pPr>
              <w:spacing w:after="40" w:line="240" w:lineRule="auto" w:before="0"/>
            </w:pPr>
            <w:r>
              <w:rPr>
                <w:sz w:val="20"/>
              </w:rPr>
              <w:t>FECT</w:t>
            </w:r>
          </w:p>
        </w:tc>
        <w:tc>
          <w:tcPr>
            <w:tcW w:type="dxa" w:w="7260"/>
            <w:tcMar>
              <w:top w:w="120" w:type="dxa"/>
              <w:start w:w="120" w:type="dxa"/>
              <w:bottom w:w="120" w:type="dxa"/>
              <w:end w:w="120" w:type="dxa"/>
            </w:tcMar>
          </w:tcPr>
          <w:p>
            <w:pPr>
              <w:spacing w:after="40" w:line="240" w:lineRule="auto" w:before="0"/>
            </w:pPr>
            <w:r>
              <w:rPr>
                <w:sz w:val="20"/>
              </w:rPr>
              <w:t>Fonds d’équipement des Collectivités territoriales</w:t>
            </w:r>
          </w:p>
        </w:tc>
      </w:tr>
      <w:tr>
        <w:tc>
          <w:tcPr>
            <w:tcW w:type="dxa" w:w="2100"/>
            <w:tcMar>
              <w:top w:w="120" w:type="dxa"/>
              <w:start w:w="120" w:type="dxa"/>
              <w:bottom w:w="120" w:type="dxa"/>
              <w:end w:w="120" w:type="dxa"/>
            </w:tcMar>
          </w:tcPr>
          <w:p>
            <w:pPr>
              <w:spacing w:after="40" w:line="240" w:lineRule="auto" w:before="0"/>
            </w:pPr>
            <w:r>
              <w:rPr>
                <w:sz w:val="20"/>
              </w:rPr>
              <w:t>SDL</w:t>
            </w:r>
          </w:p>
        </w:tc>
        <w:tc>
          <w:tcPr>
            <w:tcW w:type="dxa" w:w="7260"/>
            <w:tcMar>
              <w:top w:w="120" w:type="dxa"/>
              <w:start w:w="120" w:type="dxa"/>
              <w:bottom w:w="120" w:type="dxa"/>
              <w:end w:w="120" w:type="dxa"/>
            </w:tcMar>
          </w:tcPr>
          <w:p>
            <w:pPr>
              <w:spacing w:after="40" w:line="240" w:lineRule="auto" w:before="0"/>
            </w:pPr>
            <w:r>
              <w:rPr>
                <w:sz w:val="20"/>
              </w:rPr>
              <w:t>Société de développement local</w:t>
            </w:r>
          </w:p>
        </w:tc>
      </w:tr>
      <w:tr>
        <w:tc>
          <w:tcPr>
            <w:tcW w:type="dxa" w:w="2100"/>
            <w:tcMar>
              <w:top w:w="120" w:type="dxa"/>
              <w:start w:w="120" w:type="dxa"/>
              <w:bottom w:w="120" w:type="dxa"/>
              <w:end w:w="120" w:type="dxa"/>
            </w:tcMar>
          </w:tcPr>
          <w:p>
            <w:pPr>
              <w:spacing w:after="40" w:line="240" w:lineRule="auto" w:before="0"/>
            </w:pPr>
            <w:r>
              <w:rPr>
                <w:sz w:val="20"/>
              </w:rPr>
              <w:t>SIG</w:t>
            </w:r>
          </w:p>
        </w:tc>
        <w:tc>
          <w:tcPr>
            <w:tcW w:type="dxa" w:w="7260"/>
            <w:tcMar>
              <w:top w:w="120" w:type="dxa"/>
              <w:start w:w="120" w:type="dxa"/>
              <w:bottom w:w="120" w:type="dxa"/>
              <w:end w:w="120" w:type="dxa"/>
            </w:tcMar>
          </w:tcPr>
          <w:p>
            <w:pPr>
              <w:spacing w:after="40" w:line="240" w:lineRule="auto" w:before="0"/>
            </w:pPr>
            <w:r>
              <w:rPr>
                <w:sz w:val="20"/>
              </w:rPr>
              <w:t>Système d’information géographique</w:t>
            </w:r>
          </w:p>
        </w:tc>
      </w:tr>
    </w:tbl>
    <w:p>
      <w:pPr>
        <w:pStyle w:val="Heading1"/>
      </w:pPr>
      <w:r>
        <w:t>Glossaire opérationnel</w:t>
      </w:r>
    </w:p>
    <w:tbl>
      <w:tblPr>
        <w:tblW w:type="auto" w:w="0"/>
        <w:tblLayout w:type="fixed"/>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4680"/>
        <w:gridCol w:w="4680"/>
      </w:tblGrid>
      <w:tr>
        <w:trPr>
          <w:tblHeader w:val="true"/>
        </w:trPr>
        <w:tc>
          <w:tcPr>
            <w:tcW w:type="dxa" w:w="2520"/>
            <w:tcMar>
              <w:top w:w="120" w:type="dxa"/>
              <w:start w:w="120" w:type="dxa"/>
              <w:bottom w:w="120" w:type="dxa"/>
              <w:end w:w="120" w:type="dxa"/>
            </w:tcMar>
            <w:shd w:fill="1F4E79" w:val="clear" w:color="auto"/>
          </w:tcPr>
          <w:p>
            <w:pPr>
              <w:spacing w:after="40" w:line="240" w:lineRule="auto" w:before="0"/>
            </w:pPr>
            <w:r>
              <w:rPr>
                <w:b/>
                <w:color w:val="FFFFFF"/>
                <w:sz w:val="20"/>
              </w:rPr>
              <w:t>Notion</w:t>
            </w:r>
          </w:p>
        </w:tc>
        <w:tc>
          <w:tcPr>
            <w:tcW w:type="dxa" w:w="6984"/>
            <w:tcMar>
              <w:top w:w="120" w:type="dxa"/>
              <w:start w:w="120" w:type="dxa"/>
              <w:bottom w:w="120" w:type="dxa"/>
              <w:end w:w="120" w:type="dxa"/>
            </w:tcMar>
            <w:shd w:fill="1F4E79" w:val="clear" w:color="auto"/>
          </w:tcPr>
          <w:p>
            <w:pPr>
              <w:spacing w:after="40" w:line="240" w:lineRule="auto" w:before="0"/>
            </w:pPr>
            <w:r>
              <w:rPr>
                <w:b/>
                <w:color w:val="FFFFFF"/>
                <w:sz w:val="20"/>
              </w:rPr>
              <w:t>Définition opérationnelle pour le rapport</w:t>
            </w:r>
          </w:p>
        </w:tc>
      </w:tr>
      <w:tr>
        <w:tc>
          <w:tcPr>
            <w:tcW w:type="dxa" w:w="2520"/>
            <w:tcMar>
              <w:top w:w="120" w:type="dxa"/>
              <w:start w:w="120" w:type="dxa"/>
              <w:bottom w:w="120" w:type="dxa"/>
              <w:end w:w="120" w:type="dxa"/>
            </w:tcMar>
          </w:tcPr>
          <w:p>
            <w:pPr>
              <w:spacing w:after="40" w:line="240" w:lineRule="auto" w:before="0"/>
            </w:pPr>
            <w:r>
              <w:rPr>
                <w:sz w:val="20"/>
              </w:rPr>
              <w:t>Acte IV</w:t>
            </w:r>
          </w:p>
        </w:tc>
        <w:tc>
          <w:tcPr>
            <w:tcW w:type="dxa" w:w="6984"/>
            <w:tcMar>
              <w:top w:w="120" w:type="dxa"/>
              <w:start w:w="120" w:type="dxa"/>
              <w:bottom w:w="120" w:type="dxa"/>
              <w:end w:w="120" w:type="dxa"/>
            </w:tcMar>
          </w:tcPr>
          <w:p>
            <w:pPr>
              <w:spacing w:after="40" w:line="240" w:lineRule="auto" w:before="0"/>
            </w:pPr>
            <w:r>
              <w:rPr>
                <w:sz w:val="20"/>
              </w:rPr>
              <w:t>Fenêtre de réforme destinée à corriger les ambiguïtés de l’Acte III, notamment sur les compétences, les ressources, les pôles territoriaux et la performance publique locale.</w:t>
            </w:r>
          </w:p>
        </w:tc>
      </w:tr>
      <w:tr>
        <w:tc>
          <w:tcPr>
            <w:tcW w:type="dxa" w:w="2520"/>
            <w:tcMar>
              <w:top w:w="120" w:type="dxa"/>
              <w:start w:w="120" w:type="dxa"/>
              <w:bottom w:w="120" w:type="dxa"/>
              <w:end w:w="120" w:type="dxa"/>
            </w:tcMar>
          </w:tcPr>
          <w:p>
            <w:pPr>
              <w:spacing w:after="40" w:line="240" w:lineRule="auto" w:before="0"/>
            </w:pPr>
            <w:r>
              <w:rPr>
                <w:sz w:val="20"/>
              </w:rPr>
              <w:t>District spécial de Dakar</w:t>
            </w:r>
          </w:p>
        </w:tc>
        <w:tc>
          <w:tcPr>
            <w:tcW w:type="dxa" w:w="6984"/>
            <w:tcMar>
              <w:top w:w="120" w:type="dxa"/>
              <w:start w:w="120" w:type="dxa"/>
              <w:bottom w:w="120" w:type="dxa"/>
              <w:end w:w="120" w:type="dxa"/>
            </w:tcMar>
          </w:tcPr>
          <w:p>
            <w:pPr>
              <w:spacing w:after="40" w:line="240" w:lineRule="auto" w:before="0"/>
            </w:pPr>
            <w:r>
              <w:rPr>
                <w:sz w:val="20"/>
              </w:rPr>
              <w:t>Scénario de statut différencié donnant à Dakar des compétences de capitale et de métropole, avec autonomie financière renforcée, sans supprimer la libre administration des communes.</w:t>
            </w:r>
          </w:p>
        </w:tc>
      </w:tr>
      <w:tr>
        <w:tc>
          <w:tcPr>
            <w:tcW w:type="dxa" w:w="2520"/>
            <w:tcMar>
              <w:top w:w="120" w:type="dxa"/>
              <w:start w:w="120" w:type="dxa"/>
              <w:bottom w:w="120" w:type="dxa"/>
              <w:end w:w="120" w:type="dxa"/>
            </w:tcMar>
          </w:tcPr>
          <w:p>
            <w:pPr>
              <w:spacing w:after="40" w:line="240" w:lineRule="auto" w:before="0"/>
            </w:pPr>
            <w:r>
              <w:rPr>
                <w:sz w:val="20"/>
              </w:rPr>
              <w:t>Pôle urbain métropolitain</w:t>
            </w:r>
          </w:p>
        </w:tc>
        <w:tc>
          <w:tcPr>
            <w:tcW w:type="dxa" w:w="6984"/>
            <w:tcMar>
              <w:top w:w="120" w:type="dxa"/>
              <w:start w:w="120" w:type="dxa"/>
              <w:bottom w:w="120" w:type="dxa"/>
              <w:end w:w="120" w:type="dxa"/>
            </w:tcMar>
          </w:tcPr>
          <w:p>
            <w:pPr>
              <w:spacing w:after="40" w:line="240" w:lineRule="auto" w:before="0"/>
            </w:pPr>
            <w:r>
              <w:rPr>
                <w:sz w:val="20"/>
              </w:rPr>
              <w:t>Option qui reconnaît Dakar comme noyau urbain du pôle territorial ouest et organise les fonctions d’échelle : mobilité, fiscalité urbaine, grands équipements, données, climat et attractivité.</w:t>
            </w:r>
          </w:p>
        </w:tc>
      </w:tr>
      <w:tr>
        <w:tc>
          <w:tcPr>
            <w:tcW w:type="dxa" w:w="2520"/>
            <w:tcMar>
              <w:top w:w="120" w:type="dxa"/>
              <w:start w:w="120" w:type="dxa"/>
              <w:bottom w:w="120" w:type="dxa"/>
              <w:end w:w="120" w:type="dxa"/>
            </w:tcMar>
          </w:tcPr>
          <w:p>
            <w:pPr>
              <w:spacing w:after="40" w:line="240" w:lineRule="auto" w:before="0"/>
            </w:pPr>
            <w:r>
              <w:rPr>
                <w:sz w:val="20"/>
              </w:rPr>
              <w:t>Compétence d’échelle métropolitaine</w:t>
            </w:r>
          </w:p>
        </w:tc>
        <w:tc>
          <w:tcPr>
            <w:tcW w:type="dxa" w:w="6984"/>
            <w:tcMar>
              <w:top w:w="120" w:type="dxa"/>
              <w:start w:w="120" w:type="dxa"/>
              <w:bottom w:w="120" w:type="dxa"/>
              <w:end w:w="120" w:type="dxa"/>
            </w:tcMar>
          </w:tcPr>
          <w:p>
            <w:pPr>
              <w:spacing w:after="40" w:line="240" w:lineRule="auto" w:before="0"/>
            </w:pPr>
            <w:r>
              <w:rPr>
                <w:sz w:val="20"/>
              </w:rPr>
              <w:t>Compétence qui ne peut pas être gérée efficacement commune par commune : voirie structurante, mobilité, déchets, stationnement, planification, données, fiscalité de l’économie urbaine.</w:t>
            </w:r>
          </w:p>
        </w:tc>
      </w:tr>
      <w:tr>
        <w:tc>
          <w:tcPr>
            <w:tcW w:type="dxa" w:w="2520"/>
            <w:tcMar>
              <w:top w:w="120" w:type="dxa"/>
              <w:start w:w="120" w:type="dxa"/>
              <w:bottom w:w="120" w:type="dxa"/>
              <w:end w:w="120" w:type="dxa"/>
            </w:tcMar>
          </w:tcPr>
          <w:p>
            <w:pPr>
              <w:spacing w:after="40" w:line="240" w:lineRule="auto" w:before="0"/>
            </w:pPr>
            <w:r>
              <w:rPr>
                <w:sz w:val="20"/>
              </w:rPr>
              <w:t>Data room territoriale</w:t>
            </w:r>
          </w:p>
        </w:tc>
        <w:tc>
          <w:tcPr>
            <w:tcW w:type="dxa" w:w="6984"/>
            <w:tcMar>
              <w:top w:w="120" w:type="dxa"/>
              <w:start w:w="120" w:type="dxa"/>
              <w:bottom w:w="120" w:type="dxa"/>
              <w:end w:w="120" w:type="dxa"/>
            </w:tcMar>
          </w:tcPr>
          <w:p>
            <w:pPr>
              <w:spacing w:after="40" w:line="240" w:lineRule="auto" w:before="0"/>
            </w:pPr>
            <w:r>
              <w:rPr>
                <w:sz w:val="20"/>
              </w:rPr>
              <w:t>Espace organisé de données fiscales, foncières, climatiques, budgétaires et de projets permettant de documenter les décisions, les financements et la redevabilité.</w:t>
            </w:r>
          </w:p>
        </w:tc>
      </w:tr>
      <w:tr>
        <w:tc>
          <w:tcPr>
            <w:tcW w:type="dxa" w:w="2520"/>
            <w:tcMar>
              <w:top w:w="120" w:type="dxa"/>
              <w:start w:w="120" w:type="dxa"/>
              <w:bottom w:w="120" w:type="dxa"/>
              <w:end w:w="120" w:type="dxa"/>
            </w:tcMar>
          </w:tcPr>
          <w:p>
            <w:pPr>
              <w:spacing w:after="40" w:line="240" w:lineRule="auto" w:before="0"/>
            </w:pPr>
            <w:r>
              <w:rPr>
                <w:sz w:val="20"/>
              </w:rPr>
              <w:t>E-taxe</w:t>
            </w:r>
          </w:p>
        </w:tc>
        <w:tc>
          <w:tcPr>
            <w:tcW w:type="dxa" w:w="6984"/>
            <w:tcMar>
              <w:top w:w="120" w:type="dxa"/>
              <w:start w:w="120" w:type="dxa"/>
              <w:bottom w:w="120" w:type="dxa"/>
              <w:end w:w="120" w:type="dxa"/>
            </w:tcMar>
          </w:tcPr>
          <w:p>
            <w:pPr>
              <w:spacing w:after="40" w:line="240" w:lineRule="auto" w:before="0"/>
            </w:pPr>
            <w:r>
              <w:rPr>
                <w:sz w:val="20"/>
              </w:rPr>
              <w:t>Chaîne numérique de recensement, notification, paiement, relance, suivi et contrôle des recettes locales.</w:t>
            </w:r>
          </w:p>
        </w:tc>
      </w:tr>
      <w:tr>
        <w:tc>
          <w:tcPr>
            <w:tcW w:type="dxa" w:w="2520"/>
            <w:tcMar>
              <w:top w:w="120" w:type="dxa"/>
              <w:start w:w="120" w:type="dxa"/>
              <w:bottom w:w="120" w:type="dxa"/>
              <w:end w:w="120" w:type="dxa"/>
            </w:tcMar>
          </w:tcPr>
          <w:p>
            <w:pPr>
              <w:spacing w:after="40" w:line="240" w:lineRule="auto" w:before="0"/>
            </w:pPr>
            <w:r>
              <w:rPr>
                <w:sz w:val="20"/>
              </w:rPr>
              <w:t>Fiscalité événementielle</w:t>
            </w:r>
          </w:p>
        </w:tc>
        <w:tc>
          <w:tcPr>
            <w:tcW w:type="dxa" w:w="6984"/>
            <w:tcMar>
              <w:top w:w="120" w:type="dxa"/>
              <w:start w:w="120" w:type="dxa"/>
              <w:bottom w:w="120" w:type="dxa"/>
              <w:end w:w="120" w:type="dxa"/>
            </w:tcMar>
          </w:tcPr>
          <w:p>
            <w:pPr>
              <w:spacing w:after="40" w:line="240" w:lineRule="auto" w:before="0"/>
            </w:pPr>
            <w:r>
              <w:rPr>
                <w:sz w:val="20"/>
              </w:rPr>
              <w:t>Redevances, autorisations et mécanismes de captation de valeur liés aux événements sportifs, culturels, économiques et à l’occupation temporaire du domaine public.</w:t>
            </w:r>
          </w:p>
        </w:tc>
      </w:tr>
      <w:tr>
        <w:tc>
          <w:tcPr>
            <w:tcW w:type="dxa" w:w="2520"/>
            <w:tcMar>
              <w:top w:w="120" w:type="dxa"/>
              <w:start w:w="120" w:type="dxa"/>
              <w:bottom w:w="120" w:type="dxa"/>
              <w:end w:w="120" w:type="dxa"/>
            </w:tcMar>
          </w:tcPr>
          <w:p>
            <w:pPr>
              <w:spacing w:after="40" w:line="240" w:lineRule="auto" w:before="0"/>
            </w:pPr>
            <w:r>
              <w:rPr>
                <w:sz w:val="20"/>
              </w:rPr>
              <w:t>Projet bancable</w:t>
            </w:r>
          </w:p>
        </w:tc>
        <w:tc>
          <w:tcPr>
            <w:tcW w:type="dxa" w:w="6984"/>
            <w:tcMar>
              <w:top w:w="120" w:type="dxa"/>
              <w:start w:w="120" w:type="dxa"/>
              <w:bottom w:w="120" w:type="dxa"/>
              <w:end w:w="120" w:type="dxa"/>
            </w:tcMar>
          </w:tcPr>
          <w:p>
            <w:pPr>
              <w:spacing w:after="40" w:line="240" w:lineRule="auto" w:before="0"/>
            </w:pPr>
            <w:r>
              <w:rPr>
                <w:sz w:val="20"/>
              </w:rPr>
              <w:t>Projet doté d’un besoin clair, d’études, de coûts, d’impacts, de risques, de revenus ou bénéfices attendus, et d’un montage juridique et financier crédible.</w:t>
            </w:r>
          </w:p>
        </w:tc>
      </w:tr>
    </w:tbl>
    <w:p>
      <w:pPr>
        <w:pStyle w:val="Heading1"/>
      </w:pPr>
      <w:r>
        <w:t>Note de décision – Ce que le Maire doit décider dans les 6 prochains mois</w:t>
      </w:r>
    </w:p>
    <w:p>
      <w:r>
        <w:t>Cette note de décision transforme les principales recommandations du rapport en arbitrages immédiats. Elle ne remplace pas le rapport complet ; elle sert de porte d’entrée pour la décision municipale. Les décisions proposées sont concentrées sur les six prochains mois, période critique pour passer de la capitalisation des Journées scientifiques à une trajectoire institutionnelle suivie.</w:t>
      </w:r>
      <w:r>
        <w:rPr>
          <w:rStyle w:val="FootnoteReference"/>
        </w:rPr>
        <w:footnoteReference w:id="2"/>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b/>
                <w:color w:val="1F4E79"/>
                <w:sz w:val="20"/>
              </w:rPr>
              <w:t>DÉCISION CENTRALE</w:t>
              <w:br/>
              <w:t>Valider un paquet municipal de transformation en huit décisions : Plan stratégique Dakar 2035-2050, scénario de statut différencié de Dakar dans l’Acte IV, programme GAR-données-projets, réformes fiscales territoriales, programme numérique municipal, programme transition écologique-PCET, portefeuille de projets bancables et attractivité fondée sur l’histoire de Dakar.</w:t>
            </w:r>
          </w:p>
        </w:tc>
      </w:tr>
    </w:tbl>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150"/>
        <w:gridCol w:w="1650"/>
        <w:gridCol w:w="1550"/>
        <w:gridCol w:w="2450"/>
        <w:gridCol w:w="1560"/>
      </w:tblGrid>
      <w:tr>
        <w:trPr>
          <w:tblHeader w:val="true"/>
        </w:trPr>
        <w:tc>
          <w:tcPr>
            <w:tcW w:type="dxa" w:w="21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Décision dans les 6 mois</w:t>
            </w:r>
          </w:p>
        </w:tc>
        <w:tc>
          <w:tcPr>
            <w:tcW w:type="dxa" w:w="16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Responsable proposé</w:t>
            </w:r>
          </w:p>
        </w:tc>
        <w:tc>
          <w:tcPr>
            <w:tcW w:type="dxa" w:w="15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Coût indicatif de démarrage</w:t>
            </w:r>
          </w:p>
        </w:tc>
        <w:tc>
          <w:tcPr>
            <w:tcW w:type="dxa" w:w="24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Indicateur SMART</w:t>
            </w:r>
          </w:p>
        </w:tc>
        <w:tc>
          <w:tcPr>
            <w:tcW w:type="dxa" w:w="156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Moyen de vérification</w:t>
            </w:r>
          </w:p>
        </w:tc>
      </w:tr>
      <w:tr>
        <w:tc>
          <w:tcPr>
            <w:tcW w:type="dxa" w:w="2150"/>
            <w:tcMar>
              <w:top w:w="120" w:type="dxa"/>
              <w:start w:w="120" w:type="dxa"/>
              <w:bottom w:w="120" w:type="dxa"/>
              <w:end w:w="120" w:type="dxa"/>
            </w:tcMar>
            <w:vAlign w:val="center"/>
          </w:tcPr>
          <w:p>
            <w:pPr>
              <w:spacing w:after="40" w:line="240" w:lineRule="auto" w:before="0"/>
            </w:pPr>
            <w:r>
              <w:rPr>
                <w:sz w:val="20"/>
              </w:rPr>
              <w:t>Valider une position officielle de Dakar sur l’Acte IV : District spécial, pôle urbain métropolitain ou ville-capitale à compétences renforcées, avec articulation claire Ville-communes-pôle-État.</w:t>
            </w:r>
          </w:p>
        </w:tc>
        <w:tc>
          <w:tcPr>
            <w:tcW w:type="dxa" w:w="1650"/>
            <w:tcMar>
              <w:top w:w="120" w:type="dxa"/>
              <w:start w:w="120" w:type="dxa"/>
              <w:bottom w:w="120" w:type="dxa"/>
              <w:end w:w="120" w:type="dxa"/>
            </w:tcMar>
            <w:vAlign w:val="center"/>
          </w:tcPr>
          <w:p>
            <w:pPr>
              <w:spacing w:after="40" w:line="240" w:lineRule="auto" w:before="0"/>
            </w:pPr>
            <w:r>
              <w:rPr>
                <w:rFonts w:ascii="Calibri" w:hAnsi="Calibri"/>
                <w:color w:val="232323"/>
                <w:sz w:val="20"/>
              </w:rPr>
              <w:t>Cabinet du Maire, Secrétariat général, affaires juridiques</w:t>
            </w:r>
          </w:p>
        </w:tc>
        <w:tc>
          <w:tcPr>
            <w:tcW w:type="dxa" w:w="1550"/>
            <w:tcMar>
              <w:top w:w="120" w:type="dxa"/>
              <w:start w:w="120" w:type="dxa"/>
              <w:bottom w:w="120" w:type="dxa"/>
              <w:end w:w="120" w:type="dxa"/>
            </w:tcMar>
            <w:vAlign w:val="center"/>
          </w:tcPr>
          <w:p>
            <w:pPr>
              <w:spacing w:after="40" w:line="240" w:lineRule="auto" w:before="0"/>
            </w:pPr>
            <w:r>
              <w:rPr>
                <w:rFonts w:ascii="Calibri" w:hAnsi="Calibri"/>
                <w:color w:val="232323"/>
                <w:sz w:val="20"/>
              </w:rPr>
              <w:t>Faible à moyen : atelier juridique, note d’expertise, concertations</w:t>
            </w:r>
          </w:p>
        </w:tc>
        <w:tc>
          <w:tcPr>
            <w:tcW w:type="dxa" w:w="2450"/>
            <w:tcMar>
              <w:top w:w="120" w:type="dxa"/>
              <w:start w:w="120" w:type="dxa"/>
              <w:bottom w:w="120" w:type="dxa"/>
              <w:end w:w="120" w:type="dxa"/>
            </w:tcMar>
            <w:vAlign w:val="center"/>
          </w:tcPr>
          <w:p>
            <w:pPr>
              <w:spacing w:after="40" w:line="240" w:lineRule="auto" w:before="0"/>
            </w:pPr>
            <w:r>
              <w:rPr>
                <w:rFonts w:ascii="Calibri" w:hAnsi="Calibri"/>
                <w:color w:val="232323"/>
                <w:sz w:val="20"/>
              </w:rPr>
              <w:t>Une note de position validée avant M+3 ; au moins deux séances Ville-communes tenues avant M+6.</w:t>
            </w:r>
          </w:p>
        </w:tc>
        <w:tc>
          <w:tcPr>
            <w:tcW w:type="dxa" w:w="1560"/>
            <w:tcMar>
              <w:top w:w="120" w:type="dxa"/>
              <w:start w:w="120" w:type="dxa"/>
              <w:bottom w:w="120" w:type="dxa"/>
              <w:end w:w="120" w:type="dxa"/>
            </w:tcMar>
            <w:vAlign w:val="center"/>
          </w:tcPr>
          <w:p>
            <w:pPr>
              <w:spacing w:after="40" w:line="240" w:lineRule="auto" w:before="0"/>
            </w:pPr>
            <w:r>
              <w:rPr>
                <w:rFonts w:ascii="Calibri" w:hAnsi="Calibri"/>
                <w:color w:val="232323"/>
                <w:sz w:val="20"/>
              </w:rPr>
              <w:t>Note adoptée, procès-verbaux, liste de compétences problématiques et propositions transmises.</w:t>
            </w:r>
          </w:p>
        </w:tc>
      </w:tr>
      <w:tr>
        <w:tc>
          <w:tcPr>
            <w:tcW w:type="dxa" w:w="2150"/>
            <w:tcMar>
              <w:top w:w="120" w:type="dxa"/>
              <w:start w:w="120" w:type="dxa"/>
              <w:bottom w:w="120" w:type="dxa"/>
              <w:end w:w="120" w:type="dxa"/>
            </w:tcMar>
            <w:vAlign w:val="center"/>
          </w:tcPr>
          <w:p>
            <w:pPr>
              <w:spacing w:after="40" w:line="240" w:lineRule="auto" w:before="0"/>
            </w:pPr>
            <w:r>
              <w:rPr>
                <w:rFonts w:ascii="Calibri" w:hAnsi="Calibri"/>
                <w:color w:val="232323"/>
                <w:sz w:val="20"/>
              </w:rPr>
              <w:t>Doter Dakar d’un Plan stratégique 2035-2050 intégrant PNADT, PCET, Acte IV, Code des CL, budget-programme et agenda de transformation.</w:t>
            </w:r>
          </w:p>
        </w:tc>
        <w:tc>
          <w:tcPr>
            <w:tcW w:type="dxa" w:w="1650"/>
            <w:tcMar>
              <w:top w:w="120" w:type="dxa"/>
              <w:start w:w="120" w:type="dxa"/>
              <w:bottom w:w="120" w:type="dxa"/>
              <w:end w:w="120" w:type="dxa"/>
            </w:tcMar>
            <w:vAlign w:val="center"/>
          </w:tcPr>
          <w:p>
            <w:pPr>
              <w:spacing w:after="40" w:line="240" w:lineRule="auto" w:before="0"/>
            </w:pPr>
            <w:r>
              <w:rPr>
                <w:rFonts w:ascii="Calibri" w:hAnsi="Calibri"/>
                <w:color w:val="232323"/>
                <w:sz w:val="20"/>
              </w:rPr>
              <w:t>Cabinet du Maire, Secrétariat général, planification, finances</w:t>
            </w:r>
          </w:p>
        </w:tc>
        <w:tc>
          <w:tcPr>
            <w:tcW w:type="dxa" w:w="1550"/>
            <w:tcMar>
              <w:top w:w="120" w:type="dxa"/>
              <w:start w:w="120" w:type="dxa"/>
              <w:bottom w:w="120" w:type="dxa"/>
              <w:end w:w="120" w:type="dxa"/>
            </w:tcMar>
            <w:vAlign w:val="center"/>
          </w:tcPr>
          <w:p>
            <w:pPr>
              <w:spacing w:after="40" w:line="240" w:lineRule="auto" w:before="0"/>
            </w:pPr>
            <w:r>
              <w:rPr>
                <w:rFonts w:ascii="Calibri" w:hAnsi="Calibri"/>
                <w:color w:val="232323"/>
                <w:sz w:val="20"/>
              </w:rPr>
              <w:t>Moyen : ateliers, assistance technique, concertation, rédaction</w:t>
            </w:r>
          </w:p>
        </w:tc>
        <w:tc>
          <w:tcPr>
            <w:tcW w:type="dxa" w:w="2450"/>
            <w:tcMar>
              <w:top w:w="120" w:type="dxa"/>
              <w:start w:w="120" w:type="dxa"/>
              <w:bottom w:w="120" w:type="dxa"/>
              <w:end w:w="120" w:type="dxa"/>
            </w:tcMar>
            <w:vAlign w:val="center"/>
          </w:tcPr>
          <w:p>
            <w:pPr>
              <w:spacing w:after="40" w:line="240" w:lineRule="auto" w:before="0"/>
            </w:pPr>
            <w:r>
              <w:rPr>
                <w:rFonts w:ascii="Calibri" w:hAnsi="Calibri"/>
                <w:color w:val="232323"/>
                <w:sz w:val="20"/>
              </w:rPr>
              <w:t>Note de cadrage validée avant M+2 ; comité de rédaction installé ; architecture du plan disponible avant M+6.</w:t>
            </w:r>
          </w:p>
        </w:tc>
        <w:tc>
          <w:tcPr>
            <w:tcW w:type="dxa" w:w="1560"/>
            <w:tcMar>
              <w:top w:w="120" w:type="dxa"/>
              <w:start w:w="120" w:type="dxa"/>
              <w:bottom w:w="120" w:type="dxa"/>
              <w:end w:w="120" w:type="dxa"/>
            </w:tcMar>
            <w:vAlign w:val="center"/>
          </w:tcPr>
          <w:p>
            <w:pPr>
              <w:spacing w:after="40" w:line="240" w:lineRule="auto" w:before="0"/>
            </w:pPr>
            <w:r>
              <w:rPr>
                <w:rFonts w:ascii="Calibri" w:hAnsi="Calibri"/>
                <w:color w:val="232323"/>
                <w:sz w:val="20"/>
              </w:rPr>
              <w:t>Décision de lancement, calendrier, note de cadrage, plan de consultation.</w:t>
            </w:r>
          </w:p>
        </w:tc>
      </w:tr>
      <w:tr>
        <w:tc>
          <w:tcPr>
            <w:tcW w:type="dxa" w:w="2150"/>
            <w:tcMar>
              <w:top w:w="120" w:type="dxa"/>
              <w:start w:w="120" w:type="dxa"/>
              <w:bottom w:w="120" w:type="dxa"/>
              <w:end w:w="120" w:type="dxa"/>
            </w:tcMar>
            <w:vAlign w:val="center"/>
          </w:tcPr>
          <w:p>
            <w:pPr>
              <w:spacing w:after="40" w:line="240" w:lineRule="auto" w:before="0"/>
            </w:pPr>
            <w:r>
              <w:rPr>
                <w:rFonts w:ascii="Calibri" w:hAnsi="Calibri"/>
                <w:color w:val="232323"/>
                <w:sz w:val="20"/>
              </w:rPr>
              <w:t>Créer la cellule interdirectionnelle GAR-données-projets et lui confier la gouvernance des données municipales et le tableau de bord.</w:t>
            </w:r>
          </w:p>
        </w:tc>
        <w:tc>
          <w:tcPr>
            <w:tcW w:type="dxa" w:w="1650"/>
            <w:tcMar>
              <w:top w:w="120" w:type="dxa"/>
              <w:start w:w="120" w:type="dxa"/>
              <w:bottom w:w="120" w:type="dxa"/>
              <w:end w:w="120" w:type="dxa"/>
            </w:tcMar>
            <w:vAlign w:val="center"/>
          </w:tcPr>
          <w:p>
            <w:pPr>
              <w:spacing w:after="40" w:line="240" w:lineRule="auto" w:before="0"/>
            </w:pPr>
            <w:r>
              <w:rPr>
                <w:rFonts w:ascii="Calibri" w:hAnsi="Calibri"/>
                <w:color w:val="232323"/>
                <w:sz w:val="20"/>
              </w:rPr>
              <w:t>Secrétariat général, finances, planification, directions techniques</w:t>
            </w:r>
          </w:p>
        </w:tc>
        <w:tc>
          <w:tcPr>
            <w:tcW w:type="dxa" w:w="1550"/>
            <w:tcMar>
              <w:top w:w="120" w:type="dxa"/>
              <w:start w:w="120" w:type="dxa"/>
              <w:bottom w:w="120" w:type="dxa"/>
              <w:end w:w="120" w:type="dxa"/>
            </w:tcMar>
            <w:vAlign w:val="center"/>
          </w:tcPr>
          <w:p>
            <w:pPr>
              <w:spacing w:after="40" w:line="240" w:lineRule="auto" w:before="0"/>
            </w:pPr>
            <w:r>
              <w:rPr>
                <w:rFonts w:ascii="Calibri" w:hAnsi="Calibri"/>
                <w:color w:val="232323"/>
                <w:sz w:val="20"/>
              </w:rPr>
              <w:t>Moyen : organisation interne, formation, outil de tableau de bord</w:t>
            </w:r>
          </w:p>
        </w:tc>
        <w:tc>
          <w:tcPr>
            <w:tcW w:type="dxa" w:w="2450"/>
            <w:tcMar>
              <w:top w:w="120" w:type="dxa"/>
              <w:start w:w="120" w:type="dxa"/>
              <w:bottom w:w="120" w:type="dxa"/>
              <w:end w:w="120" w:type="dxa"/>
            </w:tcMar>
            <w:vAlign w:val="center"/>
          </w:tcPr>
          <w:p>
            <w:pPr>
              <w:spacing w:after="40" w:line="240" w:lineRule="auto" w:before="0"/>
            </w:pPr>
            <w:r>
              <w:rPr>
                <w:rFonts w:ascii="Calibri" w:hAnsi="Calibri"/>
                <w:color w:val="232323"/>
                <w:sz w:val="20"/>
              </w:rPr>
              <w:t>Cellule installée avant M+2 ; premier tableau de bord produit avant M+5 ; 7 programmes suivis.</w:t>
            </w:r>
          </w:p>
        </w:tc>
        <w:tc>
          <w:tcPr>
            <w:tcW w:type="dxa" w:w="1560"/>
            <w:tcMar>
              <w:top w:w="120" w:type="dxa"/>
              <w:start w:w="120" w:type="dxa"/>
              <w:bottom w:w="120" w:type="dxa"/>
              <w:end w:w="120" w:type="dxa"/>
            </w:tcMar>
            <w:vAlign w:val="center"/>
          </w:tcPr>
          <w:p>
            <w:pPr>
              <w:spacing w:after="40" w:line="240" w:lineRule="auto" w:before="0"/>
            </w:pPr>
            <w:r>
              <w:rPr>
                <w:rFonts w:ascii="Calibri" w:hAnsi="Calibri"/>
                <w:color w:val="232323"/>
                <w:sz w:val="20"/>
              </w:rPr>
              <w:t>Décision de création, désignation des points focaux, tableau de bord et rapport de première revue.</w:t>
            </w:r>
          </w:p>
        </w:tc>
      </w:tr>
      <w:tr>
        <w:tc>
          <w:tcPr>
            <w:tcW w:type="dxa" w:w="2150"/>
            <w:tcMar>
              <w:top w:w="120" w:type="dxa"/>
              <w:start w:w="120" w:type="dxa"/>
              <w:bottom w:w="120" w:type="dxa"/>
              <w:end w:w="120" w:type="dxa"/>
            </w:tcMar>
            <w:vAlign w:val="center"/>
          </w:tcPr>
          <w:p>
            <w:pPr>
              <w:spacing w:after="40" w:line="240" w:lineRule="auto" w:before="0"/>
            </w:pPr>
            <w:r>
              <w:rPr>
                <w:rFonts w:ascii="Calibri" w:hAnsi="Calibri"/>
                <w:color w:val="232323"/>
                <w:sz w:val="20"/>
              </w:rPr>
              <w:t>Lancer un programme numérique municipal distinct : e-services, interopérabilité, SIG, e-taxe, archivage et tableaux de bord.</w:t>
            </w:r>
          </w:p>
        </w:tc>
        <w:tc>
          <w:tcPr>
            <w:tcW w:type="dxa" w:w="1650"/>
            <w:tcMar>
              <w:top w:w="120" w:type="dxa"/>
              <w:start w:w="120" w:type="dxa"/>
              <w:bottom w:w="120" w:type="dxa"/>
              <w:end w:w="120" w:type="dxa"/>
            </w:tcMar>
            <w:vAlign w:val="center"/>
          </w:tcPr>
          <w:p>
            <w:pPr>
              <w:spacing w:after="40" w:line="240" w:lineRule="auto" w:before="0"/>
            </w:pPr>
            <w:r>
              <w:rPr>
                <w:rFonts w:ascii="Calibri" w:hAnsi="Calibri"/>
                <w:color w:val="232323"/>
                <w:sz w:val="20"/>
              </w:rPr>
              <w:t>Secrétariat général, numérique/SIG, finances, directions métiers</w:t>
            </w:r>
          </w:p>
        </w:tc>
        <w:tc>
          <w:tcPr>
            <w:tcW w:type="dxa" w:w="1550"/>
            <w:tcMar>
              <w:top w:w="120" w:type="dxa"/>
              <w:start w:w="120" w:type="dxa"/>
              <w:bottom w:w="120" w:type="dxa"/>
              <w:end w:w="120" w:type="dxa"/>
            </w:tcMar>
            <w:vAlign w:val="center"/>
          </w:tcPr>
          <w:p>
            <w:pPr>
              <w:spacing w:after="40" w:line="240" w:lineRule="auto" w:before="0"/>
            </w:pPr>
            <w:r>
              <w:rPr>
                <w:rFonts w:ascii="Calibri" w:hAnsi="Calibri"/>
                <w:color w:val="232323"/>
                <w:sz w:val="20"/>
              </w:rPr>
              <w:t>Moyen : cadrage fonctionnel, outils, formation, interopérabilité</w:t>
            </w:r>
          </w:p>
        </w:tc>
        <w:tc>
          <w:tcPr>
            <w:tcW w:type="dxa" w:w="2450"/>
            <w:tcMar>
              <w:top w:w="120" w:type="dxa"/>
              <w:start w:w="120" w:type="dxa"/>
              <w:bottom w:w="120" w:type="dxa"/>
              <w:end w:w="120" w:type="dxa"/>
            </w:tcMar>
            <w:vAlign w:val="center"/>
          </w:tcPr>
          <w:p>
            <w:pPr>
              <w:spacing w:after="40" w:line="240" w:lineRule="auto" w:before="0"/>
            </w:pPr>
            <w:r>
              <w:rPr>
                <w:rFonts w:ascii="Calibri" w:hAnsi="Calibri"/>
                <w:color w:val="232323"/>
                <w:sz w:val="20"/>
              </w:rPr>
              <w:t>Feuille de route numérique validée avant M+3 ; 5 services prioritaires cadrés avant M+6.</w:t>
            </w:r>
          </w:p>
        </w:tc>
        <w:tc>
          <w:tcPr>
            <w:tcW w:type="dxa" w:w="1560"/>
            <w:tcMar>
              <w:top w:w="120" w:type="dxa"/>
              <w:start w:w="120" w:type="dxa"/>
              <w:bottom w:w="120" w:type="dxa"/>
              <w:end w:w="120" w:type="dxa"/>
            </w:tcMar>
            <w:vAlign w:val="center"/>
          </w:tcPr>
          <w:p>
            <w:pPr>
              <w:spacing w:after="40" w:line="240" w:lineRule="auto" w:before="0"/>
            </w:pPr>
            <w:r>
              <w:rPr>
                <w:rFonts w:ascii="Calibri" w:hAnsi="Calibri"/>
                <w:color w:val="232323"/>
                <w:sz w:val="20"/>
              </w:rPr>
              <w:t>Feuille de route, cartographie applicative, protocole de données, fiches services.</w:t>
            </w:r>
          </w:p>
        </w:tc>
      </w:tr>
      <w:tr>
        <w:tc>
          <w:tcPr>
            <w:tcW w:type="dxa" w:w="2150"/>
            <w:tcMar>
              <w:top w:w="120" w:type="dxa"/>
              <w:start w:w="120" w:type="dxa"/>
              <w:bottom w:w="120" w:type="dxa"/>
              <w:end w:w="120" w:type="dxa"/>
            </w:tcMar>
            <w:vAlign w:val="center"/>
          </w:tcPr>
          <w:p>
            <w:pPr>
              <w:spacing w:after="40" w:line="240" w:lineRule="auto" w:before="0"/>
            </w:pPr>
            <w:r>
              <w:rPr>
                <w:rFonts w:ascii="Calibri" w:hAnsi="Calibri"/>
                <w:color w:val="232323"/>
                <w:sz w:val="20"/>
              </w:rPr>
              <w:t>Lancer un programme transition écologique-PCET distinct : projets verts, MRV, finance climat et résilience.</w:t>
            </w:r>
          </w:p>
        </w:tc>
        <w:tc>
          <w:tcPr>
            <w:tcW w:type="dxa" w:w="1650"/>
            <w:tcMar>
              <w:top w:w="120" w:type="dxa"/>
              <w:start w:w="120" w:type="dxa"/>
              <w:bottom w:w="120" w:type="dxa"/>
              <w:end w:w="120" w:type="dxa"/>
            </w:tcMar>
            <w:vAlign w:val="center"/>
          </w:tcPr>
          <w:p>
            <w:pPr>
              <w:spacing w:after="40" w:line="240" w:lineRule="auto" w:before="0"/>
            </w:pPr>
            <w:r>
              <w:rPr>
                <w:rFonts w:ascii="Calibri" w:hAnsi="Calibri"/>
                <w:color w:val="232323"/>
                <w:sz w:val="20"/>
              </w:rPr>
              <w:t>Environnement, planification, finances, directions techniques</w:t>
            </w:r>
          </w:p>
        </w:tc>
        <w:tc>
          <w:tcPr>
            <w:tcW w:type="dxa" w:w="1550"/>
            <w:tcMar>
              <w:top w:w="120" w:type="dxa"/>
              <w:start w:w="120" w:type="dxa"/>
              <w:bottom w:w="120" w:type="dxa"/>
              <w:end w:w="120" w:type="dxa"/>
            </w:tcMar>
            <w:vAlign w:val="center"/>
          </w:tcPr>
          <w:p>
            <w:pPr>
              <w:spacing w:after="40" w:line="240" w:lineRule="auto" w:before="0"/>
            </w:pPr>
            <w:r>
              <w:rPr>
                <w:rFonts w:ascii="Calibri" w:hAnsi="Calibri"/>
                <w:color w:val="232323"/>
                <w:sz w:val="20"/>
              </w:rPr>
              <w:t>Moyen à élevé : portefeuille vert, MRV, études de préparation</w:t>
            </w:r>
          </w:p>
        </w:tc>
        <w:tc>
          <w:tcPr>
            <w:tcW w:type="dxa" w:w="2450"/>
            <w:tcMar>
              <w:top w:w="120" w:type="dxa"/>
              <w:start w:w="120" w:type="dxa"/>
              <w:bottom w:w="120" w:type="dxa"/>
              <w:end w:w="120" w:type="dxa"/>
            </w:tcMar>
            <w:vAlign w:val="center"/>
          </w:tcPr>
          <w:p>
            <w:pPr>
              <w:spacing w:after="40" w:line="240" w:lineRule="auto" w:before="0"/>
            </w:pPr>
            <w:r>
              <w:rPr>
                <w:rFonts w:ascii="Calibri" w:hAnsi="Calibri"/>
                <w:color w:val="232323"/>
                <w:sz w:val="20"/>
              </w:rPr>
              <w:t>5 projets verts priorisés avant M+6 ; indicateurs MRV définis ; deux dossiers de financement préparés.</w:t>
            </w:r>
          </w:p>
        </w:tc>
        <w:tc>
          <w:tcPr>
            <w:tcW w:type="dxa" w:w="1560"/>
            <w:tcMar>
              <w:top w:w="120" w:type="dxa"/>
              <w:start w:w="120" w:type="dxa"/>
              <w:bottom w:w="120" w:type="dxa"/>
              <w:end w:w="120" w:type="dxa"/>
            </w:tcMar>
            <w:vAlign w:val="center"/>
          </w:tcPr>
          <w:p>
            <w:pPr>
              <w:spacing w:after="40" w:line="240" w:lineRule="auto" w:before="0"/>
            </w:pPr>
            <w:r>
              <w:rPr>
                <w:rFonts w:ascii="Calibri" w:hAnsi="Calibri"/>
                <w:color w:val="232323"/>
                <w:sz w:val="20"/>
              </w:rPr>
              <w:t>Portefeuille PCET, liste d’indicateurs, fiches projets climat, note finance verte.</w:t>
            </w:r>
          </w:p>
        </w:tc>
      </w:tr>
      <w:tr>
        <w:tc>
          <w:tcPr>
            <w:tcW w:type="dxa" w:w="2150"/>
            <w:tcMar>
              <w:top w:w="120" w:type="dxa"/>
              <w:start w:w="120" w:type="dxa"/>
              <w:bottom w:w="120" w:type="dxa"/>
              <w:end w:w="120" w:type="dxa"/>
            </w:tcMar>
            <w:vAlign w:val="center"/>
          </w:tcPr>
          <w:p>
            <w:pPr>
              <w:spacing w:after="40" w:line="240" w:lineRule="auto" w:before="0"/>
            </w:pPr>
            <w:r>
              <w:rPr>
                <w:rFonts w:ascii="Calibri" w:hAnsi="Calibri"/>
                <w:color w:val="232323"/>
                <w:sz w:val="20"/>
              </w:rPr>
              <w:t>Accélérer le recensement fiscal foncier et la feuille de route e-taxe avec la DGID.</w:t>
            </w:r>
          </w:p>
        </w:tc>
        <w:tc>
          <w:tcPr>
            <w:tcW w:type="dxa" w:w="1650"/>
            <w:tcMar>
              <w:top w:w="120" w:type="dxa"/>
              <w:start w:w="120" w:type="dxa"/>
              <w:bottom w:w="120" w:type="dxa"/>
              <w:end w:w="120" w:type="dxa"/>
            </w:tcMar>
            <w:vAlign w:val="center"/>
          </w:tcPr>
          <w:p>
            <w:pPr>
              <w:spacing w:after="40" w:line="240" w:lineRule="auto" w:before="0"/>
            </w:pPr>
            <w:r>
              <w:rPr>
                <w:rFonts w:ascii="Calibri" w:hAnsi="Calibri"/>
                <w:color w:val="232323"/>
                <w:sz w:val="20"/>
              </w:rPr>
              <w:t>Finances, recettes municipales, DGID, communes</w:t>
            </w:r>
          </w:p>
        </w:tc>
        <w:tc>
          <w:tcPr>
            <w:tcW w:type="dxa" w:w="1550"/>
            <w:tcMar>
              <w:top w:w="120" w:type="dxa"/>
              <w:start w:w="120" w:type="dxa"/>
              <w:bottom w:w="120" w:type="dxa"/>
              <w:end w:w="120" w:type="dxa"/>
            </w:tcMar>
            <w:vAlign w:val="center"/>
          </w:tcPr>
          <w:p>
            <w:pPr>
              <w:spacing w:after="40" w:line="240" w:lineRule="auto" w:before="0"/>
            </w:pPr>
            <w:r>
              <w:rPr>
                <w:rFonts w:ascii="Calibri" w:hAnsi="Calibri"/>
                <w:color w:val="232323"/>
                <w:sz w:val="20"/>
              </w:rPr>
              <w:t>Moyen : base de données, géolocalisation, paiement numérique</w:t>
            </w:r>
          </w:p>
        </w:tc>
        <w:tc>
          <w:tcPr>
            <w:tcW w:type="dxa" w:w="2450"/>
            <w:tcMar>
              <w:top w:w="120" w:type="dxa"/>
              <w:start w:w="120" w:type="dxa"/>
              <w:bottom w:w="120" w:type="dxa"/>
              <w:end w:w="120" w:type="dxa"/>
            </w:tcMar>
            <w:vAlign w:val="center"/>
          </w:tcPr>
          <w:p>
            <w:pPr>
              <w:spacing w:after="40" w:line="240" w:lineRule="auto" w:before="0"/>
            </w:pPr>
            <w:r>
              <w:rPr>
                <w:rFonts w:ascii="Calibri" w:hAnsi="Calibri"/>
                <w:color w:val="232323"/>
                <w:sz w:val="20"/>
              </w:rPr>
              <w:t>Plan e-taxe validé avant M+4 ; zone pilote choisie ; au moins un tableau de suivi des contribuables produit.</w:t>
            </w:r>
          </w:p>
        </w:tc>
        <w:tc>
          <w:tcPr>
            <w:tcW w:type="dxa" w:w="1560"/>
            <w:tcMar>
              <w:top w:w="120" w:type="dxa"/>
              <w:start w:w="120" w:type="dxa"/>
              <w:bottom w:w="120" w:type="dxa"/>
              <w:end w:w="120" w:type="dxa"/>
            </w:tcMar>
            <w:vAlign w:val="center"/>
          </w:tcPr>
          <w:p>
            <w:pPr>
              <w:spacing w:after="40" w:line="240" w:lineRule="auto" w:before="0"/>
            </w:pPr>
            <w:r>
              <w:rPr>
                <w:rFonts w:ascii="Calibri" w:hAnsi="Calibri"/>
                <w:color w:val="232323"/>
                <w:sz w:val="20"/>
              </w:rPr>
              <w:t>Protocole DGID-Ville, cartographie pilote, tableau de recouvrement et rapport d’assiette.</w:t>
            </w:r>
          </w:p>
        </w:tc>
      </w:tr>
      <w:tr>
        <w:tc>
          <w:tcPr>
            <w:tcW w:type="dxa" w:w="2150"/>
            <w:tcMar>
              <w:top w:w="120" w:type="dxa"/>
              <w:start w:w="120" w:type="dxa"/>
              <w:bottom w:w="120" w:type="dxa"/>
              <w:end w:w="120" w:type="dxa"/>
            </w:tcMar>
            <w:vAlign w:val="center"/>
          </w:tcPr>
          <w:p>
            <w:pPr>
              <w:spacing w:after="40" w:line="240" w:lineRule="auto" w:before="0"/>
            </w:pPr>
            <w:r>
              <w:rPr>
                <w:rFonts w:ascii="Calibri" w:hAnsi="Calibri"/>
                <w:color w:val="232323"/>
                <w:sz w:val="20"/>
              </w:rPr>
              <w:t>Prioriser un portefeuille initial de projets bancables.</w:t>
            </w:r>
          </w:p>
        </w:tc>
        <w:tc>
          <w:tcPr>
            <w:tcW w:type="dxa" w:w="1650"/>
            <w:tcMar>
              <w:top w:w="120" w:type="dxa"/>
              <w:start w:w="120" w:type="dxa"/>
              <w:bottom w:w="120" w:type="dxa"/>
              <w:end w:w="120" w:type="dxa"/>
            </w:tcMar>
            <w:vAlign w:val="center"/>
          </w:tcPr>
          <w:p>
            <w:pPr>
              <w:spacing w:after="40" w:line="240" w:lineRule="auto" w:before="0"/>
            </w:pPr>
            <w:r>
              <w:rPr>
                <w:rFonts w:ascii="Calibri" w:hAnsi="Calibri"/>
                <w:color w:val="232323"/>
                <w:sz w:val="20"/>
              </w:rPr>
              <w:t>Cellule projets, finances, directions techniques, partenaires</w:t>
            </w:r>
          </w:p>
        </w:tc>
        <w:tc>
          <w:tcPr>
            <w:tcW w:type="dxa" w:w="1550"/>
            <w:tcMar>
              <w:top w:w="120" w:type="dxa"/>
              <w:start w:w="120" w:type="dxa"/>
              <w:bottom w:w="120" w:type="dxa"/>
              <w:end w:w="120" w:type="dxa"/>
            </w:tcMar>
            <w:vAlign w:val="center"/>
          </w:tcPr>
          <w:p>
            <w:pPr>
              <w:spacing w:after="40" w:line="240" w:lineRule="auto" w:before="0"/>
            </w:pPr>
            <w:r>
              <w:rPr>
                <w:rFonts w:ascii="Calibri" w:hAnsi="Calibri"/>
                <w:color w:val="232323"/>
                <w:sz w:val="20"/>
              </w:rPr>
              <w:t>Moyen : études rapides et fiches projets</w:t>
            </w:r>
          </w:p>
        </w:tc>
        <w:tc>
          <w:tcPr>
            <w:tcW w:type="dxa" w:w="2450"/>
            <w:tcMar>
              <w:top w:w="120" w:type="dxa"/>
              <w:start w:w="120" w:type="dxa"/>
              <w:bottom w:w="120" w:type="dxa"/>
              <w:end w:w="120" w:type="dxa"/>
            </w:tcMar>
            <w:vAlign w:val="center"/>
          </w:tcPr>
          <w:p>
            <w:pPr>
              <w:spacing w:after="40" w:line="240" w:lineRule="auto" w:before="0"/>
            </w:pPr>
            <w:r>
              <w:rPr>
                <w:rFonts w:ascii="Calibri" w:hAnsi="Calibri"/>
                <w:color w:val="232323"/>
                <w:sz w:val="20"/>
              </w:rPr>
              <w:t>10 projets classés par maturité avant M+4 ; 3 fiches bancables préparées avant M+6.</w:t>
            </w:r>
          </w:p>
        </w:tc>
        <w:tc>
          <w:tcPr>
            <w:tcW w:type="dxa" w:w="1560"/>
            <w:tcMar>
              <w:top w:w="120" w:type="dxa"/>
              <w:start w:w="120" w:type="dxa"/>
              <w:bottom w:w="120" w:type="dxa"/>
              <w:end w:w="120" w:type="dxa"/>
            </w:tcMar>
            <w:vAlign w:val="center"/>
          </w:tcPr>
          <w:p>
            <w:pPr>
              <w:spacing w:after="40" w:line="240" w:lineRule="auto" w:before="0"/>
            </w:pPr>
            <w:r>
              <w:rPr>
                <w:rFonts w:ascii="Calibri" w:hAnsi="Calibri"/>
                <w:color w:val="232323"/>
                <w:sz w:val="20"/>
              </w:rPr>
              <w:t>Portefeuille validé, fiches projets, niveaux de maturité, matrice de risques et options de financement.</w:t>
            </w:r>
          </w:p>
        </w:tc>
      </w:tr>
      <w:tr>
        <w:tc>
          <w:tcPr>
            <w:tcW w:type="dxa" w:w="2150"/>
            <w:tcMar>
              <w:top w:w="120" w:type="dxa"/>
              <w:start w:w="120" w:type="dxa"/>
              <w:bottom w:w="120" w:type="dxa"/>
              <w:end w:w="120" w:type="dxa"/>
            </w:tcMar>
            <w:vAlign w:val="center"/>
          </w:tcPr>
          <w:p>
            <w:pPr>
              <w:spacing w:after="40" w:line="240" w:lineRule="auto" w:before="0"/>
            </w:pPr>
            <w:r>
              <w:rPr>
                <w:rFonts w:ascii="Calibri" w:hAnsi="Calibri"/>
                <w:color w:val="232323"/>
                <w:sz w:val="20"/>
              </w:rPr>
              <w:t>Intégrer l’histoire de Dakar dans la stratégie d’attractivité.</w:t>
            </w:r>
          </w:p>
        </w:tc>
        <w:tc>
          <w:tcPr>
            <w:tcW w:type="dxa" w:w="1650"/>
            <w:tcMar>
              <w:top w:w="120" w:type="dxa"/>
              <w:start w:w="120" w:type="dxa"/>
              <w:bottom w:w="120" w:type="dxa"/>
              <w:end w:w="120" w:type="dxa"/>
            </w:tcMar>
            <w:vAlign w:val="center"/>
          </w:tcPr>
          <w:p>
            <w:pPr>
              <w:spacing w:after="40" w:line="240" w:lineRule="auto" w:before="0"/>
            </w:pPr>
            <w:r>
              <w:rPr>
                <w:rFonts w:ascii="Calibri" w:hAnsi="Calibri"/>
                <w:color w:val="232323"/>
                <w:sz w:val="20"/>
              </w:rPr>
              <w:t>Culture, coopération, communication, tourisme, communes</w:t>
            </w:r>
          </w:p>
        </w:tc>
        <w:tc>
          <w:tcPr>
            <w:tcW w:type="dxa" w:w="1550"/>
            <w:tcMar>
              <w:top w:w="120" w:type="dxa"/>
              <w:start w:w="120" w:type="dxa"/>
              <w:bottom w:w="120" w:type="dxa"/>
              <w:end w:w="120" w:type="dxa"/>
            </w:tcMar>
            <w:vAlign w:val="center"/>
          </w:tcPr>
          <w:p>
            <w:pPr>
              <w:spacing w:after="40" w:line="240" w:lineRule="auto" w:before="0"/>
            </w:pPr>
            <w:r>
              <w:rPr>
                <w:rFonts w:ascii="Calibri" w:hAnsi="Calibri"/>
                <w:color w:val="232323"/>
                <w:sz w:val="20"/>
              </w:rPr>
              <w:t>Faible à moyen : récit institutionnel, circuits, signalétique pilote</w:t>
            </w:r>
          </w:p>
        </w:tc>
        <w:tc>
          <w:tcPr>
            <w:tcW w:type="dxa" w:w="2450"/>
            <w:tcMar>
              <w:top w:w="120" w:type="dxa"/>
              <w:start w:w="120" w:type="dxa"/>
              <w:bottom w:w="120" w:type="dxa"/>
              <w:end w:w="120" w:type="dxa"/>
            </w:tcMar>
            <w:vAlign w:val="center"/>
          </w:tcPr>
          <w:p>
            <w:pPr>
              <w:spacing w:after="40" w:line="240" w:lineRule="auto" w:before="0"/>
            </w:pPr>
            <w:r>
              <w:rPr>
                <w:rFonts w:ascii="Calibri" w:hAnsi="Calibri"/>
                <w:color w:val="232323"/>
                <w:sz w:val="20"/>
              </w:rPr>
              <w:t>Récit historique validé avant M+4 ; 3 circuits mémoriels ou culturels esquissés avant M+6.</w:t>
            </w:r>
          </w:p>
        </w:tc>
        <w:tc>
          <w:tcPr>
            <w:tcW w:type="dxa" w:w="1560"/>
            <w:tcMar>
              <w:top w:w="120" w:type="dxa"/>
              <w:start w:w="120" w:type="dxa"/>
              <w:bottom w:w="120" w:type="dxa"/>
              <w:end w:w="120" w:type="dxa"/>
            </w:tcMar>
            <w:vAlign w:val="center"/>
          </w:tcPr>
          <w:p>
            <w:pPr>
              <w:spacing w:after="40" w:line="240" w:lineRule="auto" w:before="0"/>
            </w:pPr>
            <w:r>
              <w:rPr>
                <w:rFonts w:ascii="Calibri" w:hAnsi="Calibri"/>
                <w:color w:val="232323"/>
                <w:sz w:val="20"/>
              </w:rPr>
              <w:t>Document Dakar historique, carte des circuits, calendrier culturel et note Dakar Brand.</w:t>
            </w:r>
          </w:p>
        </w:tc>
      </w:tr>
      <w:tr>
        <w:tc>
          <w:tcPr>
            <w:tcW w:type="dxa" w:w="2150"/>
            <w:tcMar>
              <w:top w:w="120" w:type="dxa"/>
              <w:start w:w="120" w:type="dxa"/>
              <w:bottom w:w="120" w:type="dxa"/>
              <w:end w:w="120" w:type="dxa"/>
            </w:tcMar>
          </w:tcPr>
          <w:p>
            <w:pPr>
              <w:spacing w:after="40" w:line="240" w:lineRule="auto" w:before="0"/>
            </w:pPr>
            <w:r>
              <w:rPr>
                <w:sz w:val="20"/>
              </w:rPr>
              <w:t>Préparer un pacte de compétences nouvelles pour Dakar : fiscalité urbaine, mobilité, transport, données, PPP, finance climat, levée de fonds et valorisation patrimoniale.</w:t>
            </w:r>
          </w:p>
        </w:tc>
        <w:tc>
          <w:tcPr>
            <w:tcW w:type="dxa" w:w="1650"/>
            <w:tcMar>
              <w:top w:w="120" w:type="dxa"/>
              <w:start w:w="120" w:type="dxa"/>
              <w:bottom w:w="120" w:type="dxa"/>
              <w:end w:w="120" w:type="dxa"/>
            </w:tcMar>
          </w:tcPr>
          <w:p>
            <w:pPr>
              <w:spacing w:after="40" w:line="240" w:lineRule="auto" w:before="0"/>
            </w:pPr>
            <w:r>
              <w:rPr>
                <w:sz w:val="20"/>
              </w:rPr>
              <w:t>Cabinet du Maire, Secrétariat général, finances, juridique, planification, mobilité</w:t>
            </w:r>
          </w:p>
        </w:tc>
        <w:tc>
          <w:tcPr>
            <w:tcW w:type="dxa" w:w="1550"/>
            <w:tcMar>
              <w:top w:w="120" w:type="dxa"/>
              <w:start w:w="120" w:type="dxa"/>
              <w:bottom w:w="120" w:type="dxa"/>
              <w:end w:w="120" w:type="dxa"/>
            </w:tcMar>
          </w:tcPr>
          <w:p>
            <w:pPr>
              <w:spacing w:after="40" w:line="240" w:lineRule="auto" w:before="0"/>
            </w:pPr>
            <w:r>
              <w:rPr>
                <w:sz w:val="20"/>
              </w:rPr>
              <w:t>Faible à moyen : expertise, ateliers État-Ville-communes, note comparative</w:t>
            </w:r>
          </w:p>
        </w:tc>
        <w:tc>
          <w:tcPr>
            <w:tcW w:type="dxa" w:w="2450"/>
            <w:tcMar>
              <w:top w:w="120" w:type="dxa"/>
              <w:start w:w="120" w:type="dxa"/>
              <w:bottom w:w="120" w:type="dxa"/>
              <w:end w:w="120" w:type="dxa"/>
            </w:tcMar>
          </w:tcPr>
          <w:p>
            <w:pPr>
              <w:spacing w:after="40" w:line="240" w:lineRule="auto" w:before="0"/>
            </w:pPr>
            <w:r>
              <w:rPr>
                <w:sz w:val="20"/>
              </w:rPr>
              <w:t>Un projet de pacte disponible avant M+4 ; au moins 6 blocs de compétences cartographiés.</w:t>
            </w:r>
          </w:p>
        </w:tc>
        <w:tc>
          <w:tcPr>
            <w:tcW w:type="dxa" w:w="1560"/>
            <w:tcMar>
              <w:top w:w="120" w:type="dxa"/>
              <w:start w:w="120" w:type="dxa"/>
              <w:bottom w:w="120" w:type="dxa"/>
              <w:end w:w="120" w:type="dxa"/>
            </w:tcMar>
          </w:tcPr>
          <w:p>
            <w:pPr>
              <w:spacing w:after="40" w:line="240" w:lineRule="auto" w:before="0"/>
            </w:pPr>
            <w:r>
              <w:rPr>
                <w:sz w:val="20"/>
              </w:rPr>
              <w:t>Pacte de compétences, cartographie, PV de concertation, note Acte IV.</w:t>
            </w:r>
          </w:p>
        </w:tc>
      </w:tr>
    </w:tbl>
    <w:p>
      <w:pPr>
        <w:pStyle w:val="Heading2"/>
      </w:pPr>
      <w:r>
        <w:t>Décisions par nature</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900"/>
        <w:gridCol w:w="4400"/>
        <w:gridCol w:w="3060"/>
      </w:tblGrid>
      <w:tr>
        <w:trPr>
          <w:tblHeader w:val="true"/>
        </w:trPr>
        <w:tc>
          <w:tcPr>
            <w:tcW w:type="dxa" w:w="19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Nature</w:t>
            </w:r>
          </w:p>
        </w:tc>
        <w:tc>
          <w:tcPr>
            <w:tcW w:type="dxa" w:w="44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Décisions concernées</w:t>
            </w:r>
          </w:p>
        </w:tc>
        <w:tc>
          <w:tcPr>
            <w:tcW w:type="dxa" w:w="30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Traitement recommandé</w:t>
            </w:r>
          </w:p>
        </w:tc>
      </w:tr>
      <w:tr>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Décisions immédiates</w:t>
            </w:r>
          </w:p>
        </w:tc>
        <w:tc>
          <w:tcPr>
            <w:tcW w:type="dxa" w:w="4400"/>
            <w:tcMar>
              <w:top w:w="80" w:type="dxa"/>
              <w:start w:w="120" w:type="dxa"/>
              <w:bottom w:w="80" w:type="dxa"/>
              <w:end w:w="120" w:type="dxa"/>
            </w:tcMar>
            <w:vAlign w:val="center"/>
          </w:tcPr>
          <w:p>
            <w:pPr>
              <w:spacing w:after="40" w:line="240" w:lineRule="auto" w:before="0"/>
            </w:pPr>
            <w:r>
              <w:rPr>
                <w:rFonts w:ascii="Calibri" w:hAnsi="Calibri"/>
                <w:color w:val="232323"/>
                <w:sz w:val="20"/>
              </w:rPr>
              <w:t>Plan stratégique Dakar 2035-2050 ; cellule GAR-données-projets ; réformes fiscales territoriales ; programmes numérique et transition écologique ; portefeuille initial de projets.</w:t>
            </w:r>
          </w:p>
        </w:tc>
        <w:tc>
          <w:tcPr>
            <w:tcW w:type="dxa" w:w="3060"/>
            <w:tcMar>
              <w:top w:w="80" w:type="dxa"/>
              <w:start w:w="120" w:type="dxa"/>
              <w:bottom w:w="80" w:type="dxa"/>
              <w:end w:w="120" w:type="dxa"/>
            </w:tcMar>
            <w:vAlign w:val="center"/>
          </w:tcPr>
          <w:p>
            <w:pPr>
              <w:spacing w:after="40" w:line="240" w:lineRule="auto" w:before="0"/>
            </w:pPr>
            <w:r>
              <w:rPr>
                <w:rFonts w:ascii="Calibri" w:hAnsi="Calibri"/>
                <w:color w:val="232323"/>
                <w:sz w:val="20"/>
              </w:rPr>
              <w:t>Décision municipale rapide, mandat écrit, points focaux, calendrier court.</w:t>
            </w:r>
          </w:p>
        </w:tc>
      </w:tr>
      <w:tr>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Réformes à arbitrage politique</w:t>
            </w:r>
          </w:p>
        </w:tc>
        <w:tc>
          <w:tcPr>
            <w:tcW w:type="dxa" w:w="4400"/>
            <w:tcMar>
              <w:top w:w="80" w:type="dxa"/>
              <w:start w:w="120" w:type="dxa"/>
              <w:bottom w:w="80" w:type="dxa"/>
              <w:end w:w="120" w:type="dxa"/>
            </w:tcMar>
            <w:vAlign w:val="center"/>
          </w:tcPr>
          <w:p>
            <w:pPr>
              <w:spacing w:after="40" w:before="0" w:line="240" w:lineRule="auto"/>
            </w:pPr>
            <w:r>
              <w:rPr>
                <w:sz w:val="20"/>
              </w:rPr>
              <w:t>Statut de Dakar, Acte IV, option District spécial ou pôle urbain métropolitain, compétences nouvelles, financement local, relations Ville-communes.</w:t>
            </w:r>
          </w:p>
        </w:tc>
        <w:tc>
          <w:tcPr>
            <w:tcW w:type="dxa" w:w="3060"/>
            <w:tcMar>
              <w:top w:w="80" w:type="dxa"/>
              <w:start w:w="120" w:type="dxa"/>
              <w:bottom w:w="80" w:type="dxa"/>
              <w:end w:w="120" w:type="dxa"/>
            </w:tcMar>
            <w:vAlign w:val="center"/>
          </w:tcPr>
          <w:p>
            <w:pPr>
              <w:spacing w:after="40" w:line="240" w:lineRule="auto" w:before="0"/>
            </w:pPr>
            <w:r>
              <w:rPr>
                <w:rFonts w:ascii="Calibri" w:hAnsi="Calibri"/>
                <w:color w:val="232323"/>
                <w:sz w:val="20"/>
              </w:rPr>
              <w:t>Note de position, concertation institutionnelle, transmission aux instances nationales.</w:t>
            </w:r>
          </w:p>
        </w:tc>
      </w:tr>
      <w:tr>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Mesures techniques internes</w:t>
            </w:r>
          </w:p>
        </w:tc>
        <w:tc>
          <w:tcPr>
            <w:tcW w:type="dxa" w:w="4400"/>
            <w:tcMar>
              <w:top w:w="80" w:type="dxa"/>
              <w:start w:w="120" w:type="dxa"/>
              <w:bottom w:w="80" w:type="dxa"/>
              <w:end w:w="120" w:type="dxa"/>
            </w:tcMar>
            <w:vAlign w:val="center"/>
          </w:tcPr>
          <w:p>
            <w:pPr>
              <w:spacing w:after="40" w:line="240" w:lineRule="auto" w:before="0"/>
            </w:pPr>
            <w:r>
              <w:rPr>
                <w:rFonts w:ascii="Calibri" w:hAnsi="Calibri"/>
                <w:color w:val="232323"/>
                <w:sz w:val="20"/>
              </w:rPr>
              <w:t>Tableau de bord, gouvernance des données, e-taxe pilote, indicateurs SMART, fiches projets.</w:t>
            </w:r>
          </w:p>
        </w:tc>
        <w:tc>
          <w:tcPr>
            <w:tcW w:type="dxa" w:w="3060"/>
            <w:tcMar>
              <w:top w:w="80" w:type="dxa"/>
              <w:start w:w="120" w:type="dxa"/>
              <w:bottom w:w="80" w:type="dxa"/>
              <w:end w:w="120" w:type="dxa"/>
            </w:tcMar>
            <w:vAlign w:val="center"/>
          </w:tcPr>
          <w:p>
            <w:pPr>
              <w:spacing w:after="40" w:line="240" w:lineRule="auto" w:before="0"/>
            </w:pPr>
            <w:r>
              <w:rPr>
                <w:rFonts w:ascii="Calibri" w:hAnsi="Calibri"/>
                <w:color w:val="232323"/>
                <w:sz w:val="20"/>
              </w:rPr>
              <w:t>Pilotage par le Secrétariat général et les directions concernées.</w:t>
            </w:r>
          </w:p>
        </w:tc>
      </w:tr>
      <w:tr>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Actions dépendant de l’État</w:t>
            </w:r>
          </w:p>
        </w:tc>
        <w:tc>
          <w:tcPr>
            <w:tcW w:type="dxa" w:w="4400"/>
            <w:tcMar>
              <w:top w:w="80" w:type="dxa"/>
              <w:start w:w="120" w:type="dxa"/>
              <w:bottom w:w="80" w:type="dxa"/>
              <w:end w:w="120" w:type="dxa"/>
            </w:tcMar>
            <w:vAlign w:val="center"/>
          </w:tcPr>
          <w:p>
            <w:pPr>
              <w:spacing w:after="40" w:line="240" w:lineRule="auto" w:before="0"/>
            </w:pPr>
            <w:r>
              <w:rPr>
                <w:rFonts w:ascii="Calibri" w:hAnsi="Calibri"/>
                <w:color w:val="232323"/>
                <w:sz w:val="20"/>
              </w:rPr>
              <w:t>Partage des données fiscales, cadre d’emprunt, normes numériques, réforme de la fiscalité locale.</w:t>
            </w:r>
          </w:p>
        </w:tc>
        <w:tc>
          <w:tcPr>
            <w:tcW w:type="dxa" w:w="3060"/>
            <w:tcMar>
              <w:top w:w="80" w:type="dxa"/>
              <w:start w:w="120" w:type="dxa"/>
              <w:bottom w:w="80" w:type="dxa"/>
              <w:end w:w="120" w:type="dxa"/>
            </w:tcMar>
            <w:vAlign w:val="center"/>
          </w:tcPr>
          <w:p>
            <w:pPr>
              <w:spacing w:after="40" w:line="240" w:lineRule="auto" w:before="0"/>
            </w:pPr>
            <w:r>
              <w:rPr>
                <w:rFonts w:ascii="Calibri" w:hAnsi="Calibri"/>
                <w:color w:val="232323"/>
                <w:sz w:val="20"/>
              </w:rPr>
              <w:t>Dialogue formalisé avec ministères, DGID, Trésor et structures d’appui.</w:t>
            </w:r>
          </w:p>
        </w:tc>
      </w:tr>
      <w:tr>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Actions portables par la Ville</w:t>
            </w:r>
          </w:p>
        </w:tc>
        <w:tc>
          <w:tcPr>
            <w:tcW w:type="dxa" w:w="4400"/>
            <w:tcMar>
              <w:top w:w="80" w:type="dxa"/>
              <w:start w:w="120" w:type="dxa"/>
              <w:bottom w:w="80" w:type="dxa"/>
              <w:end w:w="120" w:type="dxa"/>
            </w:tcMar>
            <w:vAlign w:val="center"/>
          </w:tcPr>
          <w:p>
            <w:pPr>
              <w:spacing w:after="40" w:line="240" w:lineRule="auto" w:before="0"/>
            </w:pPr>
            <w:r>
              <w:rPr>
                <w:rFonts w:ascii="Calibri" w:hAnsi="Calibri"/>
                <w:color w:val="232323"/>
                <w:sz w:val="20"/>
              </w:rPr>
              <w:t>Planification stratégique, portefeuille projets, stratégie Dakar Brand, histoire de Dakar, PCET, programme numérique, recensement des actifs.</w:t>
            </w:r>
          </w:p>
        </w:tc>
        <w:tc>
          <w:tcPr>
            <w:tcW w:type="dxa" w:w="3060"/>
            <w:tcMar>
              <w:top w:w="80" w:type="dxa"/>
              <w:start w:w="120" w:type="dxa"/>
              <w:bottom w:w="80" w:type="dxa"/>
              <w:end w:w="120" w:type="dxa"/>
            </w:tcMar>
            <w:vAlign w:val="center"/>
          </w:tcPr>
          <w:p>
            <w:pPr>
              <w:spacing w:after="40" w:line="240" w:lineRule="auto" w:before="0"/>
            </w:pPr>
            <w:r>
              <w:rPr>
                <w:rFonts w:ascii="Calibri" w:hAnsi="Calibri"/>
                <w:color w:val="232323"/>
                <w:sz w:val="20"/>
              </w:rPr>
              <w:t>Lancement par décision municipale et revue trimestrielle.</w:t>
            </w:r>
          </w:p>
        </w:tc>
      </w:tr>
    </w:tbl>
    <w:p>
      <w:pPr>
        <w:pStyle w:val="Heading1"/>
      </w:pPr>
      <w:r>
        <w:t>Plan détaillé paginé proposé</w:t>
      </w:r>
    </w:p>
    <w:p>
      <w:r>
        <w:t>Le présent rapport est conçu comme une version institutionnelle solide, destinée à tenir dans un format de 40 à 50 pages hors annexes. La pagination indiquée ci-dessous constitue une cible éditoriale : elle organise l’équilibre entre restitution des travaux, analyse stratégique, recommandations et dispositif de mise en œuvre. Elle peut varier légèrement selon la mise en page finale, l’insertion éventuelle de photos, de logos, de signatures ou de documents annexes.</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700"/>
        <w:gridCol w:w="1200"/>
        <w:gridCol w:w="3650"/>
        <w:gridCol w:w="2810"/>
      </w:tblGrid>
      <w:tr>
        <w:trPr>
          <w:tblHeader w:val="true"/>
        </w:trPr>
        <w:tc>
          <w:tcPr>
            <w:tcW w:type="dxa" w:w="17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Partie</w:t>
            </w:r>
          </w:p>
        </w:tc>
        <w:tc>
          <w:tcPr>
            <w:tcW w:type="dxa" w:w="12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Pages cibles</w:t>
            </w:r>
          </w:p>
        </w:tc>
        <w:tc>
          <w:tcPr>
            <w:tcW w:type="dxa" w:w="365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Contenu principal</w:t>
            </w:r>
          </w:p>
        </w:tc>
        <w:tc>
          <w:tcPr>
            <w:tcW w:type="dxa" w:w="281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Fonction dans le rapport</w:t>
            </w:r>
          </w:p>
        </w:tc>
      </w:tr>
      <w:tr>
        <w:tc>
          <w:tcPr>
            <w:tcW w:type="dxa" w:w="1700"/>
            <w:tcMar>
              <w:top w:w="80" w:type="dxa"/>
              <w:start w:w="120" w:type="dxa"/>
              <w:bottom w:w="80" w:type="dxa"/>
              <w:end w:w="120" w:type="dxa"/>
            </w:tcMar>
            <w:vAlign w:val="center"/>
          </w:tcPr>
          <w:p>
            <w:pPr>
              <w:spacing w:after="40" w:line="240" w:lineRule="auto" w:before="0"/>
            </w:pPr>
            <w:r>
              <w:rPr>
                <w:rFonts w:ascii="Calibri" w:hAnsi="Calibri"/>
                <w:color w:val="232323"/>
                <w:sz w:val="20"/>
              </w:rPr>
              <w:t>Pages liminaires</w:t>
            </w:r>
          </w:p>
        </w:tc>
        <w:tc>
          <w:tcPr>
            <w:tcW w:type="dxa" w:w="1200"/>
            <w:tcMar>
              <w:top w:w="80" w:type="dxa"/>
              <w:start w:w="120" w:type="dxa"/>
              <w:bottom w:w="80" w:type="dxa"/>
              <w:end w:w="120" w:type="dxa"/>
            </w:tcMar>
            <w:vAlign w:val="center"/>
          </w:tcPr>
          <w:p>
            <w:pPr>
              <w:spacing w:after="40" w:line="240" w:lineRule="auto" w:before="0"/>
            </w:pPr>
            <w:r>
              <w:rPr>
                <w:rFonts w:ascii="Calibri" w:hAnsi="Calibri"/>
                <w:color w:val="232323"/>
                <w:sz w:val="20"/>
              </w:rPr>
              <w:t>1-5</w:t>
            </w:r>
          </w:p>
        </w:tc>
        <w:tc>
          <w:tcPr>
            <w:tcW w:type="dxa" w:w="3650"/>
            <w:tcMar>
              <w:top w:w="80" w:type="dxa"/>
              <w:start w:w="120" w:type="dxa"/>
              <w:bottom w:w="80" w:type="dxa"/>
              <w:end w:w="120" w:type="dxa"/>
            </w:tcMar>
            <w:vAlign w:val="center"/>
          </w:tcPr>
          <w:p>
            <w:pPr>
              <w:spacing w:after="40" w:line="240" w:lineRule="auto" w:before="0"/>
            </w:pPr>
            <w:r>
              <w:rPr>
                <w:rFonts w:ascii="Calibri" w:hAnsi="Calibri"/>
                <w:color w:val="232323"/>
                <w:sz w:val="20"/>
              </w:rPr>
              <w:t>Couverture, avant-propos, positionnement institutionnel, note de décision, sigles, note de méthode et plan paginé.</w:t>
            </w:r>
          </w:p>
        </w:tc>
        <w:tc>
          <w:tcPr>
            <w:tcW w:type="dxa" w:w="2810"/>
            <w:tcMar>
              <w:top w:w="80" w:type="dxa"/>
              <w:start w:w="120" w:type="dxa"/>
              <w:bottom w:w="80" w:type="dxa"/>
              <w:end w:w="120" w:type="dxa"/>
            </w:tcMar>
            <w:vAlign w:val="center"/>
          </w:tcPr>
          <w:p>
            <w:pPr>
              <w:spacing w:after="40" w:line="240" w:lineRule="auto" w:before="0"/>
            </w:pPr>
            <w:r>
              <w:rPr>
                <w:rFonts w:ascii="Calibri" w:hAnsi="Calibri"/>
                <w:color w:val="232323"/>
                <w:sz w:val="20"/>
              </w:rPr>
              <w:t>Installer le caractère institutionnel du document et préciser le périmètre d’analyse.</w:t>
            </w:r>
          </w:p>
        </w:tc>
      </w:tr>
      <w:tr>
        <w:tc>
          <w:tcPr>
            <w:tcW w:type="dxa" w:w="1700"/>
            <w:tcMar>
              <w:top w:w="80" w:type="dxa"/>
              <w:start w:w="120" w:type="dxa"/>
              <w:bottom w:w="80" w:type="dxa"/>
              <w:end w:w="120" w:type="dxa"/>
            </w:tcMar>
            <w:vAlign w:val="center"/>
          </w:tcPr>
          <w:p>
            <w:pPr>
              <w:spacing w:after="40" w:line="240" w:lineRule="auto" w:before="0"/>
            </w:pPr>
            <w:r>
              <w:rPr>
                <w:rFonts w:ascii="Calibri" w:hAnsi="Calibri"/>
                <w:color w:val="232323"/>
                <w:sz w:val="20"/>
              </w:rPr>
              <w:t>Résumé exécutif</w:t>
            </w:r>
          </w:p>
        </w:tc>
        <w:tc>
          <w:tcPr>
            <w:tcW w:type="dxa" w:w="1200"/>
            <w:tcMar>
              <w:top w:w="80" w:type="dxa"/>
              <w:start w:w="120" w:type="dxa"/>
              <w:bottom w:w="80" w:type="dxa"/>
              <w:end w:w="120" w:type="dxa"/>
            </w:tcMar>
            <w:vAlign w:val="center"/>
          </w:tcPr>
          <w:p>
            <w:pPr>
              <w:spacing w:after="40" w:line="240" w:lineRule="auto" w:before="0"/>
            </w:pPr>
            <w:r>
              <w:rPr>
                <w:rFonts w:ascii="Calibri" w:hAnsi="Calibri"/>
                <w:color w:val="232323"/>
                <w:sz w:val="20"/>
              </w:rPr>
              <w:t>6-10</w:t>
            </w:r>
          </w:p>
        </w:tc>
        <w:tc>
          <w:tcPr>
            <w:tcW w:type="dxa" w:w="3650"/>
            <w:tcMar>
              <w:top w:w="80" w:type="dxa"/>
              <w:start w:w="120" w:type="dxa"/>
              <w:bottom w:w="80" w:type="dxa"/>
              <w:end w:w="120" w:type="dxa"/>
            </w:tcMar>
            <w:vAlign w:val="center"/>
          </w:tcPr>
          <w:p>
            <w:pPr>
              <w:spacing w:after="40" w:line="240" w:lineRule="auto" w:before="0"/>
            </w:pPr>
            <w:r>
              <w:rPr>
                <w:rFonts w:ascii="Calibri" w:hAnsi="Calibri"/>
                <w:color w:val="232323"/>
                <w:sz w:val="20"/>
              </w:rPr>
              <w:t>Messages majeurs, enjeux transversaux, synthèse des leviers et conclusions principales.</w:t>
            </w:r>
          </w:p>
        </w:tc>
        <w:tc>
          <w:tcPr>
            <w:tcW w:type="dxa" w:w="2810"/>
            <w:tcMar>
              <w:top w:w="80" w:type="dxa"/>
              <w:start w:w="120" w:type="dxa"/>
              <w:bottom w:w="80" w:type="dxa"/>
              <w:end w:w="120" w:type="dxa"/>
            </w:tcMar>
            <w:vAlign w:val="center"/>
          </w:tcPr>
          <w:p>
            <w:pPr>
              <w:spacing w:after="40" w:line="240" w:lineRule="auto" w:before="0"/>
            </w:pPr>
            <w:r>
              <w:rPr>
                <w:rFonts w:ascii="Calibri" w:hAnsi="Calibri"/>
                <w:color w:val="232323"/>
                <w:sz w:val="20"/>
              </w:rPr>
              <w:t>Permettre une lecture rapide par les décideurs et partenaires.</w:t>
            </w:r>
          </w:p>
        </w:tc>
      </w:tr>
      <w:tr>
        <w:tc>
          <w:tcPr>
            <w:tcW w:type="dxa" w:w="1700"/>
            <w:tcMar>
              <w:top w:w="80" w:type="dxa"/>
              <w:start w:w="120" w:type="dxa"/>
              <w:bottom w:w="80" w:type="dxa"/>
              <w:end w:w="120" w:type="dxa"/>
            </w:tcMar>
            <w:vAlign w:val="center"/>
          </w:tcPr>
          <w:p>
            <w:pPr>
              <w:spacing w:after="40" w:line="240" w:lineRule="auto" w:before="0"/>
            </w:pPr>
            <w:r>
              <w:rPr>
                <w:rFonts w:ascii="Calibri" w:hAnsi="Calibri"/>
                <w:color w:val="232323"/>
                <w:sz w:val="20"/>
              </w:rPr>
              <w:t>Introduction, contexte et cadrage documentaire</w:t>
            </w:r>
          </w:p>
        </w:tc>
        <w:tc>
          <w:tcPr>
            <w:tcW w:type="dxa" w:w="1200"/>
            <w:tcMar>
              <w:top w:w="80" w:type="dxa"/>
              <w:start w:w="120" w:type="dxa"/>
              <w:bottom w:w="80" w:type="dxa"/>
              <w:end w:w="120" w:type="dxa"/>
            </w:tcMar>
            <w:vAlign w:val="center"/>
          </w:tcPr>
          <w:p>
            <w:pPr>
              <w:spacing w:after="40" w:line="240" w:lineRule="auto" w:before="0"/>
            </w:pPr>
            <w:r>
              <w:rPr>
                <w:rFonts w:ascii="Calibri" w:hAnsi="Calibri"/>
                <w:color w:val="232323"/>
                <w:sz w:val="20"/>
              </w:rPr>
              <w:t>11-19</w:t>
            </w:r>
          </w:p>
        </w:tc>
        <w:tc>
          <w:tcPr>
            <w:tcW w:type="dxa" w:w="3650"/>
            <w:tcMar>
              <w:top w:w="80" w:type="dxa"/>
              <w:start w:w="120" w:type="dxa"/>
              <w:bottom w:w="80" w:type="dxa"/>
              <w:end w:w="120" w:type="dxa"/>
            </w:tcMar>
            <w:vAlign w:val="center"/>
          </w:tcPr>
          <w:p>
            <w:pPr>
              <w:spacing w:after="40" w:line="240" w:lineRule="auto" w:before="0"/>
            </w:pPr>
            <w:r>
              <w:rPr>
                <w:rFonts w:ascii="Calibri" w:hAnsi="Calibri"/>
                <w:color w:val="232323"/>
                <w:sz w:val="20"/>
              </w:rPr>
              <w:t>Trajectoire de la décentralisation, Acte IV, pôles territoriaux, Dakar capitale, Vision Sénégal 2050, Budget 2024, PNADT, PCET, Acte III, GAR et PPP.</w:t>
            </w:r>
          </w:p>
        </w:tc>
        <w:tc>
          <w:tcPr>
            <w:tcW w:type="dxa" w:w="2810"/>
            <w:tcMar>
              <w:top w:w="80" w:type="dxa"/>
              <w:start w:w="120" w:type="dxa"/>
              <w:bottom w:w="80" w:type="dxa"/>
              <w:end w:w="120" w:type="dxa"/>
            </w:tcMar>
            <w:vAlign w:val="center"/>
          </w:tcPr>
          <w:p>
            <w:pPr>
              <w:spacing w:after="40" w:line="240" w:lineRule="auto" w:before="0"/>
            </w:pPr>
            <w:r>
              <w:rPr>
                <w:rFonts w:ascii="Calibri" w:hAnsi="Calibri"/>
                <w:color w:val="232323"/>
                <w:sz w:val="20"/>
              </w:rPr>
              <w:t>Situer les Journées scientifiques dans les réformes nationales en cours et consolider les apports des documents de soutien.</w:t>
            </w:r>
          </w:p>
        </w:tc>
      </w:tr>
      <w:tr>
        <w:tc>
          <w:tcPr>
            <w:tcW w:type="dxa" w:w="1700"/>
            <w:tcMar>
              <w:top w:w="80" w:type="dxa"/>
              <w:start w:w="120" w:type="dxa"/>
              <w:bottom w:w="80" w:type="dxa"/>
              <w:end w:w="120" w:type="dxa"/>
            </w:tcMar>
            <w:vAlign w:val="center"/>
          </w:tcPr>
          <w:p>
            <w:pPr>
              <w:spacing w:after="40" w:line="240" w:lineRule="auto" w:before="0"/>
            </w:pPr>
            <w:r>
              <w:rPr>
                <w:rFonts w:ascii="Calibri" w:hAnsi="Calibri"/>
                <w:color w:val="232323"/>
                <w:sz w:val="20"/>
              </w:rPr>
              <w:t>Diagnostic transversal</w:t>
            </w:r>
          </w:p>
        </w:tc>
        <w:tc>
          <w:tcPr>
            <w:tcW w:type="dxa" w:w="1200"/>
            <w:tcMar>
              <w:top w:w="80" w:type="dxa"/>
              <w:start w:w="120" w:type="dxa"/>
              <w:bottom w:w="80" w:type="dxa"/>
              <w:end w:w="120" w:type="dxa"/>
            </w:tcMar>
            <w:vAlign w:val="center"/>
          </w:tcPr>
          <w:p>
            <w:pPr>
              <w:spacing w:after="40" w:line="240" w:lineRule="auto" w:before="0"/>
            </w:pPr>
            <w:r>
              <w:rPr>
                <w:rFonts w:ascii="Calibri" w:hAnsi="Calibri"/>
                <w:color w:val="232323"/>
                <w:sz w:val="20"/>
              </w:rPr>
              <w:t>20-23</w:t>
            </w:r>
          </w:p>
        </w:tc>
        <w:tc>
          <w:tcPr>
            <w:tcW w:type="dxa" w:w="3650"/>
            <w:tcMar>
              <w:top w:w="80" w:type="dxa"/>
              <w:start w:w="120" w:type="dxa"/>
              <w:bottom w:w="80" w:type="dxa"/>
              <w:end w:w="120" w:type="dxa"/>
            </w:tcMar>
            <w:vAlign w:val="center"/>
          </w:tcPr>
          <w:p>
            <w:pPr>
              <w:spacing w:after="40" w:line="240" w:lineRule="auto" w:before="0"/>
            </w:pPr>
            <w:r>
              <w:rPr>
                <w:rFonts w:ascii="Calibri" w:hAnsi="Calibri"/>
                <w:color w:val="232323"/>
                <w:sz w:val="20"/>
              </w:rPr>
              <w:t>Atouts, contraintes, enjeux d’intégration, confiance institutionnelle et besoin de pilotage.</w:t>
            </w:r>
          </w:p>
        </w:tc>
        <w:tc>
          <w:tcPr>
            <w:tcW w:type="dxa" w:w="2810"/>
            <w:tcMar>
              <w:top w:w="80" w:type="dxa"/>
              <w:start w:w="120" w:type="dxa"/>
              <w:bottom w:w="80" w:type="dxa"/>
              <w:end w:w="120" w:type="dxa"/>
            </w:tcMar>
            <w:vAlign w:val="center"/>
          </w:tcPr>
          <w:p>
            <w:pPr>
              <w:spacing w:after="40" w:line="240" w:lineRule="auto" w:before="0"/>
            </w:pPr>
            <w:r>
              <w:rPr>
                <w:rFonts w:ascii="Calibri" w:hAnsi="Calibri"/>
                <w:color w:val="232323"/>
                <w:sz w:val="20"/>
              </w:rPr>
              <w:t>Faire apparaître les problèmes communs aux six panels.</w:t>
            </w:r>
          </w:p>
        </w:tc>
      </w:tr>
      <w:tr>
        <w:tc>
          <w:tcPr>
            <w:tcW w:type="dxa" w:w="1700"/>
            <w:tcMar>
              <w:top w:w="80" w:type="dxa"/>
              <w:start w:w="120" w:type="dxa"/>
              <w:bottom w:w="80" w:type="dxa"/>
              <w:end w:w="120" w:type="dxa"/>
            </w:tcMar>
            <w:vAlign w:val="center"/>
          </w:tcPr>
          <w:p>
            <w:pPr>
              <w:spacing w:after="40" w:line="240" w:lineRule="auto" w:before="0"/>
            </w:pPr>
            <w:r>
              <w:rPr>
                <w:rFonts w:ascii="Calibri" w:hAnsi="Calibri"/>
                <w:color w:val="232323"/>
                <w:sz w:val="20"/>
              </w:rPr>
              <w:t>Synthèse des panels</w:t>
            </w:r>
          </w:p>
        </w:tc>
        <w:tc>
          <w:tcPr>
            <w:tcW w:type="dxa" w:w="1200"/>
            <w:tcMar>
              <w:top w:w="80" w:type="dxa"/>
              <w:start w:w="120" w:type="dxa"/>
              <w:bottom w:w="80" w:type="dxa"/>
              <w:end w:w="120" w:type="dxa"/>
            </w:tcMar>
            <w:vAlign w:val="center"/>
          </w:tcPr>
          <w:p>
            <w:pPr>
              <w:spacing w:after="40" w:line="240" w:lineRule="auto" w:before="0"/>
            </w:pPr>
            <w:r>
              <w:rPr>
                <w:rFonts w:ascii="Calibri" w:hAnsi="Calibri"/>
                <w:color w:val="232323"/>
                <w:sz w:val="20"/>
              </w:rPr>
              <w:t>24-34</w:t>
            </w:r>
          </w:p>
        </w:tc>
        <w:tc>
          <w:tcPr>
            <w:tcW w:type="dxa" w:w="3650"/>
            <w:tcMar>
              <w:top w:w="80" w:type="dxa"/>
              <w:start w:w="120" w:type="dxa"/>
              <w:bottom w:w="80" w:type="dxa"/>
              <w:end w:w="120" w:type="dxa"/>
            </w:tcMar>
            <w:vAlign w:val="center"/>
          </w:tcPr>
          <w:p>
            <w:pPr>
              <w:spacing w:after="40" w:line="240" w:lineRule="auto" w:before="0"/>
            </w:pPr>
            <w:r>
              <w:rPr>
                <w:rFonts w:ascii="Calibri" w:hAnsi="Calibri"/>
                <w:color w:val="232323"/>
                <w:sz w:val="20"/>
              </w:rPr>
              <w:t>Liste des panels, panélistes, problématiques, apports, messages clés et recommandations par panel.</w:t>
            </w:r>
          </w:p>
        </w:tc>
        <w:tc>
          <w:tcPr>
            <w:tcW w:type="dxa" w:w="2810"/>
            <w:tcMar>
              <w:top w:w="80" w:type="dxa"/>
              <w:start w:w="120" w:type="dxa"/>
              <w:bottom w:w="80" w:type="dxa"/>
              <w:end w:w="120" w:type="dxa"/>
            </w:tcMar>
            <w:vAlign w:val="center"/>
          </w:tcPr>
          <w:p>
            <w:pPr>
              <w:spacing w:after="40" w:line="240" w:lineRule="auto" w:before="0"/>
            </w:pPr>
            <w:r>
              <w:rPr>
                <w:rFonts w:ascii="Calibri" w:hAnsi="Calibri"/>
                <w:color w:val="232323"/>
                <w:sz w:val="20"/>
              </w:rPr>
              <w:t>Capitaliser les contributions sans reproduire les transcriptions.</w:t>
            </w:r>
          </w:p>
        </w:tc>
      </w:tr>
      <w:tr>
        <w:tc>
          <w:tcPr>
            <w:tcW w:type="dxa" w:w="1700"/>
            <w:tcMar>
              <w:top w:w="80" w:type="dxa"/>
              <w:start w:w="120" w:type="dxa"/>
              <w:bottom w:w="80" w:type="dxa"/>
              <w:end w:w="120" w:type="dxa"/>
            </w:tcMar>
            <w:vAlign w:val="center"/>
          </w:tcPr>
          <w:p>
            <w:pPr>
              <w:spacing w:after="40" w:line="240" w:lineRule="auto" w:before="0"/>
            </w:pPr>
            <w:r>
              <w:rPr>
                <w:rFonts w:ascii="Calibri" w:hAnsi="Calibri"/>
                <w:color w:val="232323"/>
                <w:sz w:val="20"/>
              </w:rPr>
              <w:t>Approfondissements stratégiques</w:t>
            </w:r>
          </w:p>
        </w:tc>
        <w:tc>
          <w:tcPr>
            <w:tcW w:type="dxa" w:w="1200"/>
            <w:tcMar>
              <w:top w:w="80" w:type="dxa"/>
              <w:start w:w="120" w:type="dxa"/>
              <w:bottom w:w="80" w:type="dxa"/>
              <w:end w:w="120" w:type="dxa"/>
            </w:tcMar>
            <w:vAlign w:val="center"/>
          </w:tcPr>
          <w:p>
            <w:pPr>
              <w:spacing w:after="40" w:line="240" w:lineRule="auto" w:before="0"/>
            </w:pPr>
            <w:r>
              <w:rPr>
                <w:rFonts w:ascii="Calibri" w:hAnsi="Calibri"/>
                <w:color w:val="232323"/>
                <w:sz w:val="20"/>
              </w:rPr>
              <w:t>35-41</w:t>
            </w:r>
          </w:p>
        </w:tc>
        <w:tc>
          <w:tcPr>
            <w:tcW w:type="dxa" w:w="3650"/>
            <w:tcMar>
              <w:top w:w="80" w:type="dxa"/>
              <w:start w:w="120" w:type="dxa"/>
              <w:bottom w:w="80" w:type="dxa"/>
              <w:end w:w="120" w:type="dxa"/>
            </w:tcMar>
            <w:vAlign w:val="center"/>
          </w:tcPr>
          <w:p>
            <w:pPr>
              <w:spacing w:after="40" w:line="240" w:lineRule="auto" w:before="0"/>
            </w:pPr>
            <w:r>
              <w:rPr>
                <w:rFonts w:ascii="Calibri" w:hAnsi="Calibri"/>
                <w:color w:val="232323"/>
                <w:sz w:val="20"/>
              </w:rPr>
              <w:t>Statut de Dakar, GAR, autonomie financière, projets bancables, capital humain et attractivité.</w:t>
            </w:r>
          </w:p>
        </w:tc>
        <w:tc>
          <w:tcPr>
            <w:tcW w:type="dxa" w:w="2810"/>
            <w:tcMar>
              <w:top w:w="80" w:type="dxa"/>
              <w:start w:w="120" w:type="dxa"/>
              <w:bottom w:w="80" w:type="dxa"/>
              <w:end w:w="120" w:type="dxa"/>
            </w:tcMar>
            <w:vAlign w:val="center"/>
          </w:tcPr>
          <w:p>
            <w:pPr>
              <w:spacing w:after="40" w:line="240" w:lineRule="auto" w:before="0"/>
            </w:pPr>
            <w:r>
              <w:rPr>
                <w:rFonts w:ascii="Calibri" w:hAnsi="Calibri"/>
                <w:color w:val="232323"/>
                <w:sz w:val="20"/>
              </w:rPr>
              <w:t>Transformer les débats en orientations structurantes.</w:t>
            </w:r>
          </w:p>
        </w:tc>
      </w:tr>
      <w:tr>
        <w:tc>
          <w:tcPr>
            <w:tcW w:type="dxa" w:w="1700"/>
            <w:tcMar>
              <w:top w:w="80" w:type="dxa"/>
              <w:start w:w="120" w:type="dxa"/>
              <w:bottom w:w="80" w:type="dxa"/>
              <w:end w:w="120" w:type="dxa"/>
            </w:tcMar>
            <w:vAlign w:val="center"/>
          </w:tcPr>
          <w:p>
            <w:pPr>
              <w:spacing w:after="40" w:line="240" w:lineRule="auto" w:before="0"/>
            </w:pPr>
            <w:r>
              <w:rPr>
                <w:rFonts w:ascii="Calibri" w:hAnsi="Calibri"/>
                <w:color w:val="232323"/>
                <w:sz w:val="20"/>
              </w:rPr>
              <w:t>Programme de transformation</w:t>
            </w:r>
          </w:p>
        </w:tc>
        <w:tc>
          <w:tcPr>
            <w:tcW w:type="dxa" w:w="1200"/>
            <w:tcMar>
              <w:top w:w="80" w:type="dxa"/>
              <w:start w:w="120" w:type="dxa"/>
              <w:bottom w:w="80" w:type="dxa"/>
              <w:end w:w="120" w:type="dxa"/>
            </w:tcMar>
            <w:vAlign w:val="center"/>
          </w:tcPr>
          <w:p>
            <w:pPr>
              <w:spacing w:after="40" w:line="240" w:lineRule="auto" w:before="0"/>
            </w:pPr>
            <w:r>
              <w:rPr>
                <w:rFonts w:ascii="Calibri" w:hAnsi="Calibri"/>
                <w:color w:val="232323"/>
                <w:sz w:val="20"/>
              </w:rPr>
              <w:t>42-46</w:t>
            </w:r>
          </w:p>
        </w:tc>
        <w:tc>
          <w:tcPr>
            <w:tcW w:type="dxa" w:w="3650"/>
            <w:tcMar>
              <w:top w:w="80" w:type="dxa"/>
              <w:start w:w="120" w:type="dxa"/>
              <w:bottom w:w="80" w:type="dxa"/>
              <w:end w:w="120" w:type="dxa"/>
            </w:tcMar>
            <w:vAlign w:val="center"/>
          </w:tcPr>
          <w:p>
            <w:pPr>
              <w:spacing w:after="40" w:line="240" w:lineRule="auto" w:before="0"/>
            </w:pPr>
            <w:r>
              <w:rPr>
                <w:rFonts w:ascii="Calibri" w:hAnsi="Calibri"/>
                <w:color w:val="232323"/>
                <w:sz w:val="20"/>
              </w:rPr>
              <w:t>Programmes prioritaires, réformes fiscales territoriales, programme numérique municipal, programme transition écologique-PCET, livrables, indicateurs, risques et responsabilités de suivi.</w:t>
            </w:r>
          </w:p>
        </w:tc>
        <w:tc>
          <w:tcPr>
            <w:tcW w:type="dxa" w:w="2810"/>
            <w:tcMar>
              <w:top w:w="80" w:type="dxa"/>
              <w:start w:w="120" w:type="dxa"/>
              <w:bottom w:w="80" w:type="dxa"/>
              <w:end w:w="120" w:type="dxa"/>
            </w:tcMar>
            <w:vAlign w:val="center"/>
          </w:tcPr>
          <w:p>
            <w:pPr>
              <w:spacing w:after="40" w:line="240" w:lineRule="auto" w:before="0"/>
            </w:pPr>
            <w:r>
              <w:rPr>
                <w:rFonts w:ascii="Calibri" w:hAnsi="Calibri"/>
                <w:color w:val="232323"/>
                <w:sz w:val="20"/>
              </w:rPr>
              <w:t>Passer de la réflexion à l’action municipale.</w:t>
            </w:r>
          </w:p>
        </w:tc>
      </w:tr>
      <w:tr>
        <w:tc>
          <w:tcPr>
            <w:tcW w:type="dxa" w:w="1700"/>
            <w:tcMar>
              <w:top w:w="80" w:type="dxa"/>
              <w:start w:w="120" w:type="dxa"/>
              <w:bottom w:w="80" w:type="dxa"/>
              <w:end w:w="120" w:type="dxa"/>
            </w:tcMar>
            <w:vAlign w:val="center"/>
          </w:tcPr>
          <w:p>
            <w:pPr>
              <w:spacing w:after="40" w:line="240" w:lineRule="auto" w:before="0"/>
            </w:pPr>
            <w:r>
              <w:rPr>
                <w:rFonts w:ascii="Calibri" w:hAnsi="Calibri"/>
                <w:color w:val="232323"/>
                <w:sz w:val="20"/>
              </w:rPr>
              <w:t>Recommandations et feuille de route</w:t>
            </w:r>
          </w:p>
        </w:tc>
        <w:tc>
          <w:tcPr>
            <w:tcW w:type="dxa" w:w="1200"/>
            <w:tcMar>
              <w:top w:w="80" w:type="dxa"/>
              <w:start w:w="120" w:type="dxa"/>
              <w:bottom w:w="80" w:type="dxa"/>
              <w:end w:w="120" w:type="dxa"/>
            </w:tcMar>
            <w:vAlign w:val="center"/>
          </w:tcPr>
          <w:p>
            <w:pPr>
              <w:spacing w:after="40" w:line="240" w:lineRule="auto" w:before="0"/>
            </w:pPr>
            <w:r>
              <w:rPr>
                <w:rFonts w:ascii="Calibri" w:hAnsi="Calibri"/>
                <w:color w:val="232323"/>
                <w:sz w:val="20"/>
              </w:rPr>
              <w:t>47-49</w:t>
            </w:r>
          </w:p>
        </w:tc>
        <w:tc>
          <w:tcPr>
            <w:tcW w:type="dxa" w:w="3650"/>
            <w:tcMar>
              <w:top w:w="80" w:type="dxa"/>
              <w:start w:w="120" w:type="dxa"/>
              <w:bottom w:w="80" w:type="dxa"/>
              <w:end w:w="120" w:type="dxa"/>
            </w:tcMar>
            <w:vAlign w:val="center"/>
          </w:tcPr>
          <w:p>
            <w:pPr>
              <w:spacing w:after="40" w:line="240" w:lineRule="auto" w:before="0"/>
            </w:pPr>
            <w:r>
              <w:rPr>
                <w:rFonts w:ascii="Calibri" w:hAnsi="Calibri"/>
                <w:color w:val="232323"/>
                <w:sz w:val="20"/>
              </w:rPr>
              <w:t>Recommandations par acteur, matrice des priorités, horizons 0-6 mois, 6-18 mois et 18-36 mois.</w:t>
            </w:r>
          </w:p>
        </w:tc>
        <w:tc>
          <w:tcPr>
            <w:tcW w:type="dxa" w:w="2810"/>
            <w:tcMar>
              <w:top w:w="80" w:type="dxa"/>
              <w:start w:w="120" w:type="dxa"/>
              <w:bottom w:w="80" w:type="dxa"/>
              <w:end w:w="120" w:type="dxa"/>
            </w:tcMar>
            <w:vAlign w:val="center"/>
          </w:tcPr>
          <w:p>
            <w:pPr>
              <w:spacing w:after="40" w:line="240" w:lineRule="auto" w:before="0"/>
            </w:pPr>
            <w:r>
              <w:rPr>
                <w:rFonts w:ascii="Calibri" w:hAnsi="Calibri"/>
                <w:color w:val="232323"/>
                <w:sz w:val="20"/>
              </w:rPr>
              <w:t>Donner une trajectoire claire aux décideurs.</w:t>
            </w:r>
          </w:p>
        </w:tc>
      </w:tr>
      <w:tr>
        <w:tc>
          <w:tcPr>
            <w:tcW w:type="dxa" w:w="1700"/>
            <w:tcMar>
              <w:top w:w="80" w:type="dxa"/>
              <w:start w:w="120" w:type="dxa"/>
              <w:bottom w:w="80" w:type="dxa"/>
              <w:end w:w="120" w:type="dxa"/>
            </w:tcMar>
            <w:vAlign w:val="center"/>
          </w:tcPr>
          <w:p>
            <w:pPr>
              <w:spacing w:after="40" w:line="240" w:lineRule="auto" w:before="0"/>
            </w:pPr>
            <w:r>
              <w:rPr>
                <w:rFonts w:ascii="Calibri" w:hAnsi="Calibri"/>
                <w:color w:val="232323"/>
                <w:sz w:val="20"/>
              </w:rPr>
              <w:t>Conclusion</w:t>
            </w:r>
          </w:p>
        </w:tc>
        <w:tc>
          <w:tcPr>
            <w:tcW w:type="dxa" w:w="1200"/>
            <w:tcMar>
              <w:top w:w="80" w:type="dxa"/>
              <w:start w:w="120" w:type="dxa"/>
              <w:bottom w:w="80" w:type="dxa"/>
              <w:end w:w="120" w:type="dxa"/>
            </w:tcMar>
            <w:vAlign w:val="center"/>
          </w:tcPr>
          <w:p>
            <w:pPr>
              <w:spacing w:after="40" w:line="240" w:lineRule="auto" w:before="0"/>
            </w:pPr>
            <w:r>
              <w:rPr>
                <w:rFonts w:ascii="Calibri" w:hAnsi="Calibri"/>
                <w:color w:val="232323"/>
                <w:sz w:val="20"/>
              </w:rPr>
              <w:t>50</w:t>
            </w:r>
          </w:p>
        </w:tc>
        <w:tc>
          <w:tcPr>
            <w:tcW w:type="dxa" w:w="3650"/>
            <w:tcMar>
              <w:top w:w="80" w:type="dxa"/>
              <w:start w:w="120" w:type="dxa"/>
              <w:bottom w:w="80" w:type="dxa"/>
              <w:end w:w="120" w:type="dxa"/>
            </w:tcMar>
            <w:vAlign w:val="center"/>
          </w:tcPr>
          <w:p>
            <w:pPr>
              <w:spacing w:after="40" w:line="240" w:lineRule="auto" w:before="0"/>
            </w:pPr>
            <w:r>
              <w:rPr>
                <w:rFonts w:ascii="Calibri" w:hAnsi="Calibri"/>
                <w:color w:val="232323"/>
                <w:sz w:val="20"/>
              </w:rPr>
              <w:t>Synthèse politique et institutionnelle, appel à la continuité et à la mise en œuvre.</w:t>
            </w:r>
          </w:p>
        </w:tc>
        <w:tc>
          <w:tcPr>
            <w:tcW w:type="dxa" w:w="2810"/>
            <w:tcMar>
              <w:top w:w="80" w:type="dxa"/>
              <w:start w:w="120" w:type="dxa"/>
              <w:bottom w:w="80" w:type="dxa"/>
              <w:end w:w="120" w:type="dxa"/>
            </w:tcMar>
            <w:vAlign w:val="center"/>
          </w:tcPr>
          <w:p>
            <w:pPr>
              <w:spacing w:after="40" w:line="240" w:lineRule="auto" w:before="0"/>
            </w:pPr>
            <w:r>
              <w:rPr>
                <w:rFonts w:ascii="Calibri" w:hAnsi="Calibri"/>
                <w:color w:val="232323"/>
                <w:sz w:val="20"/>
              </w:rPr>
              <w:t>Clore sur une perspective d’action collective.</w:t>
            </w:r>
          </w:p>
        </w:tc>
      </w:tr>
    </w:tbl>
    <w:p>
      <w:pPr>
        <w:pStyle w:val="Heading2"/>
      </w:pPr>
      <w:r>
        <w:t>Lecture de la pagination</w:t>
      </w:r>
    </w:p>
    <w:p>
      <w:r>
        <w:t>La structure proposée assume un choix : ne pas produire de simples actes de séminaire, mais un rapport d’aide à la décision. La partie consacrée aux panels reste suffisamment développée pour respecter la richesse des contributions ; elle est complétée par des approfondissements qui donnent au document une portée stratégique et par une feuille de route qui prépare le suivi institutionnel.</w:t>
      </w:r>
    </w:p>
    <w:p>
      <w:pPr>
        <w:pStyle w:val="ListBullet"/>
      </w:pPr>
      <w:r>
        <w:t>La pagination hors annexes doit rester lisible pour les autorités municipales, les services techniques et les partenaires.</w:t>
      </w:r>
    </w:p>
    <w:p>
      <w:pPr>
        <w:pStyle w:val="ListBullet"/>
      </w:pPr>
      <w:r>
        <w:t>Les annexes peuvent accueillir les listes de présence, les supports, les documents sources, les matrices détaillées et les transcriptions nettoyées.</w:t>
      </w:r>
    </w:p>
    <w:p>
      <w:pPr>
        <w:pStyle w:val="ListBullet"/>
      </w:pPr>
      <w:r>
        <w:t>Le rapport principal doit conserver un équilibre entre analyse, décision et opérationnalisation.</w:t>
      </w:r>
    </w:p>
    <w:p>
      <w:pPr>
        <w:pStyle w:val="ListBullet"/>
      </w:pPr>
      <w:r>
        <w:t>Les tableaux doivent être utilisés pour clarifier les responsabilités, les indicateurs et les horizons de mise en œuvre.</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FORMAT RECOMMANDÉ</w:t>
            </w:r>
          </w:p>
          <w:p>
            <w:pPr>
              <w:spacing w:after="40" w:line="252" w:lineRule="auto"/>
            </w:pPr>
            <w:r>
              <w:rPr>
                <w:sz w:val="20"/>
              </w:rPr>
              <w:t>Le format 40 à 50 pages hors annexes est pertinent pour une version institutionnelle : il permet d’être complet sans devenir un dossier technique difficile à lire. Les annexes peuvent ensuite absorber les détails documentaires.</w:t>
            </w:r>
          </w:p>
        </w:tc>
      </w:tr>
    </w:tbl>
    <w:p>
      <w:pPr>
        <w:pStyle w:val="Heading1"/>
      </w:pPr>
      <w:r>
        <w:t>Résumé exécutif</w:t>
      </w:r>
    </w:p>
    <w:p>
      <w:r>
        <w:t>Les Journées scientifiques de contribution de l’APEC se sont tenues dans un contexte où Dakar doit simultanément clarifier sa place dans l’architecture territoriale nationale, renforcer son autonomie financière, moderniser sa gouvernance, valoriser ses ressources humaines et consolider son attractivité internationale. Le thème général, centré sur le financement, la gouvernance et la transformation de la Ville à l’ère des pôles territoriaux et de l’Acte IV de la décentralisation, a permis d’ouvrir un débat de fond sur la vocation métropolitaine de Dakar.</w:t>
      </w:r>
    </w:p>
    <w:p>
      <w:r>
        <w:t>Les travaux ont mis en évidence un paradoxe majeur. Dakar demeure la capitale politique, économique, administrative, culturelle et internationale du Sénégal ; elle concentre des fonctions stratégiques, des infrastructures, des réseaux et une expertise municipale reconnue. Pourtant, son cadre institutionnel, ses compétences, ses ressources fiscales et ses instruments de pilotage restent insuffisamment adaptés à cette vocation. La Ville est appelée à jouer un rôle de locomotive, mais elle ne dispose pas toujours des leviers juridiques, financiers et opérationnels correspondant à cette responsabilité.</w:t>
      </w:r>
    </w:p>
    <w:p>
      <w:r>
        <w:t>Le premier message fort concerne le statut de Dakar. Les communications analysées soulignent l’ambiguïté du régime actuel de la ville, la fragmentation des compétences, les chevauchements entre la Ville, les communes, les services de l’État et les agences, ainsi que la difficulté à construire une gouvernance métropolitaine cohérente. L’Acte IV et les pôles territoriaux sont perçus comme une opportunité de clarification, à condition qu’ils ne produisent pas une strate institutionnelle supplémentaire sans arbitrage clair.</w:t>
      </w:r>
    </w:p>
    <w:p>
      <w:r>
        <w:t>Le deuxième message porte sur la gouvernance orientée résultats. Les travaux convergent sur la nécessité de sortir d’un budget de moyens pour aller vers un budget-programme, adossé à des objectifs, des indicateurs, des responsables de programme, des tableaux de bord et des rapports de performance. La GAR apparaît comme un instrument de crédibilité politique, de transparence budgétaire, de redevabilité citoyenne et d’accès aux financements structurants.</w:t>
      </w:r>
    </w:p>
    <w:p>
      <w:r>
        <w:t>Le troisième message concerne la mobilisation des ressources. Les débats montrent que l’autonomie financière de Dakar ne peut pas reposer uniquement sur les recettes fiscales classiques ni sur les transferts. La Ville doit mieux connaître son assiette, moderniser son cadastre fiscal, digitaliser le recouvrement, simplifier les procédures, exploiter les niches existantes, valoriser son patrimoine et renforcer l’ingénierie financière. La fiscalité foncière, le stationnement, les services urbains, l’économie événementielle et les actifs municipaux constituent des leviers à structurer.</w:t>
      </w:r>
    </w:p>
    <w:p>
      <w:r>
        <w:t>Le quatrième message concerne les financements innovants. Les PPP, la finance climat, les fonds verts, les financements mixtes et les marchés financiers sont présentés comme des opportunités réelles, mais exigeantes. Ils supposent des projets bancables, une documentation technique solide, un partage des risques équilibré, une visibilité pour le secteur privé et une capacité municipale à négocier avec des partenaires mieux outillés. L’idée d’un véhicule de développement et de financement du patrimoine communal, de type Dakar Financial Corporation, constitue une piste structurante.</w:t>
      </w:r>
    </w:p>
    <w:p>
      <w:r>
        <w:t>Le cinquième message réaffirme que le capital humain municipal est le premier actif stratégique de Dakar. La performance institutionnelle ne dépend pas seulement des textes, des budgets ou des infrastructures ; elle dépend d’abord de la qualité des femmes et des hommes qui conçoivent, administrent, contrôlent, évaluent et innovent. La formation continue, la GPEC, la digitalisation RH, la mobilité interne, la valorisation des acquis, la motivation des agents et la modernisation du leadership public sont des conditions de réussite.</w:t>
      </w:r>
    </w:p>
    <w:p>
      <w:r>
        <w:t>Enfin, les travaux ont replacé Dakar dans la compétition entre métropoles africaines et mondiales. Son histoire, sa position géographique, son patrimoine culturel, ses réseaux internationaux, sa diplomatie territoriale, sa capacité d’accueil d’événements et son rôle dans les politiques climatiques peuvent constituer une marque territoriale forte. Mais ce rayonnement doit être organisé : une ville attractive se construit par des choix de gouvernance, de planification, d’image, de partenariats et de qualité de vie.</w:t>
      </w:r>
    </w:p>
    <w:p>
      <w:pPr>
        <w:pStyle w:val="Heading2"/>
      </w:pPr>
      <w:r>
        <w:t>Données de cadrage à retenir</w:t>
      </w:r>
    </w:p>
    <w:p>
      <w:r>
        <w:t>Les données disponibles dans les supports confirment que la transformation de Dakar doit être pensée à partir d’ordres de grandeur précis. Elles montrent une concentration exceptionnelle des populations, des activités et des fonctions économiques sur un espace réduit, mais aussi une capacité financière locale encore insuffisamment outillée pour soutenir une stratégie métropolitaine durable.</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800"/>
        <w:gridCol w:w="4250"/>
        <w:gridCol w:w="3310"/>
      </w:tblGrid>
      <w:tr>
        <w:trPr>
          <w:tblHeader w:val="true"/>
        </w:trPr>
        <w:tc>
          <w:tcPr>
            <w:tcW w:type="dxa" w:w="18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Indicateur</w:t>
            </w:r>
          </w:p>
        </w:tc>
        <w:tc>
          <w:tcPr>
            <w:tcW w:type="dxa" w:w="425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Donnée issue des supports</w:t>
            </w:r>
          </w:p>
        </w:tc>
        <w:tc>
          <w:tcPr>
            <w:tcW w:type="dxa" w:w="331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Lecture stratégique</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Poids territorial</w:t>
            </w:r>
          </w:p>
        </w:tc>
        <w:tc>
          <w:tcPr>
            <w:tcW w:type="dxa" w:w="4250"/>
            <w:tcMar>
              <w:top w:w="80" w:type="dxa"/>
              <w:start w:w="120" w:type="dxa"/>
              <w:bottom w:w="80" w:type="dxa"/>
              <w:end w:w="120" w:type="dxa"/>
            </w:tcMar>
            <w:vAlign w:val="center"/>
          </w:tcPr>
          <w:p>
            <w:pPr>
              <w:spacing w:after="40" w:line="240" w:lineRule="auto" w:before="0"/>
            </w:pPr>
            <w:r>
              <w:rPr>
                <w:rFonts w:ascii="Calibri" w:hAnsi="Calibri"/>
                <w:color w:val="232323"/>
                <w:sz w:val="20"/>
              </w:rPr>
              <w:t>Dakar concentre environ 22% de la population nationale sur moins de 0,28% du territoire national ; la densité est présentée comme plus de 80 fois supérieure à la moyenne du pays.</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La capitale supporte une pression urbaine qui exige un statut, des ressources et des outils de gestion différenciés.</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Poids économique</w:t>
            </w:r>
          </w:p>
        </w:tc>
        <w:tc>
          <w:tcPr>
            <w:tcW w:type="dxa" w:w="4250"/>
            <w:tcMar>
              <w:top w:w="80" w:type="dxa"/>
              <w:start w:w="120" w:type="dxa"/>
              <w:bottom w:w="80" w:type="dxa"/>
              <w:end w:w="120" w:type="dxa"/>
            </w:tcMar>
            <w:vAlign w:val="center"/>
          </w:tcPr>
          <w:p>
            <w:pPr>
              <w:spacing w:after="40" w:line="240" w:lineRule="auto" w:before="0"/>
            </w:pPr>
            <w:r>
              <w:rPr>
                <w:rFonts w:ascii="Calibri" w:hAnsi="Calibri"/>
                <w:color w:val="232323"/>
                <w:sz w:val="20"/>
              </w:rPr>
              <w:t>Les supports évoquent 80% des activités économiques et un poids économique d’environ 46,6% ; la présentation sur les pôles territoriaux mentionne 46,2% du PIB pour le pôle Dakar en 2022.</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La place économique de Dakar justifie une fiscalité locale mieux corrélée à la richesse réellement produite sur le territoire.</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Budget municipal</w:t>
            </w:r>
          </w:p>
        </w:tc>
        <w:tc>
          <w:tcPr>
            <w:tcW w:type="dxa" w:w="4250"/>
            <w:tcMar>
              <w:top w:w="80" w:type="dxa"/>
              <w:start w:w="120" w:type="dxa"/>
              <w:bottom w:w="80" w:type="dxa"/>
              <w:end w:w="120" w:type="dxa"/>
            </w:tcMar>
            <w:vAlign w:val="center"/>
          </w:tcPr>
          <w:p>
            <w:pPr>
              <w:spacing w:after="40" w:line="240" w:lineRule="auto" w:before="0"/>
            </w:pPr>
            <w:r>
              <w:rPr>
                <w:rFonts w:ascii="Calibri" w:hAnsi="Calibri"/>
                <w:color w:val="232323"/>
                <w:sz w:val="20"/>
              </w:rPr>
              <w:t>Les présentations mentionnent un budget global d’environ 88,5 milliards FCFA, dont environ 56,5 milliards de fonctionnement et 32 milliards d’investissement.</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Le budget existe, mais sa structure doit être convertie en programmes, résultats et portefeuille de projets finançables.</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Budget officiel 2024</w:t>
            </w:r>
          </w:p>
        </w:tc>
        <w:tc>
          <w:tcPr>
            <w:tcW w:type="dxa" w:w="4250"/>
            <w:tcMar>
              <w:top w:w="80" w:type="dxa"/>
              <w:start w:w="120" w:type="dxa"/>
              <w:bottom w:w="80" w:type="dxa"/>
              <w:end w:w="120" w:type="dxa"/>
            </w:tcMar>
            <w:vAlign w:val="center"/>
          </w:tcPr>
          <w:p>
            <w:pPr>
              <w:spacing w:after="40" w:line="240" w:lineRule="auto" w:before="0"/>
            </w:pPr>
            <w:r>
              <w:rPr>
                <w:rFonts w:ascii="Calibri" w:hAnsi="Calibri"/>
                <w:color w:val="232323"/>
                <w:sz w:val="20"/>
              </w:rPr>
              <w:t>Le Rapport Budget 2024 arrête le budget à 69.478.506.843 FCFA ; le budget réel hors mouvements financiers est de 46.855.999.413 FCFA ; 53% du budget réel est orienté vers l’investissement.</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La stratégie doit distinguer la capacité nominale, le budget réellement mobilisable et la part effectivement programmable en investissements.</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Structure fiscale 2024</w:t>
            </w:r>
          </w:p>
        </w:tc>
        <w:tc>
          <w:tcPr>
            <w:tcW w:type="dxa" w:w="4250"/>
            <w:tcMar>
              <w:top w:w="80" w:type="dxa"/>
              <w:start w:w="120" w:type="dxa"/>
              <w:bottom w:w="80" w:type="dxa"/>
              <w:end w:w="120" w:type="dxa"/>
            </w:tcMar>
            <w:vAlign w:val="center"/>
          </w:tcPr>
          <w:p>
            <w:pPr>
              <w:spacing w:after="40" w:line="240" w:lineRule="auto" w:before="0"/>
            </w:pPr>
            <w:r>
              <w:rPr>
                <w:rFonts w:ascii="Calibri" w:hAnsi="Calibri"/>
                <w:color w:val="232323"/>
                <w:sz w:val="20"/>
              </w:rPr>
              <w:t>Les impôts locaux représentent 34.800.000.000 FCFA, soit 77,48% des recettes propres de fonctionnement ; l’impôt foncier bâti est prévu à 7.000.000.000 FCFA, avec un potentiel signalé d’au moins 10 milliards.</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L’élargissement de l’assiette foncière, le recensement des redevables et la coopération avec la DGID sont des priorités de court terme.</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Cadrage territorial national</w:t>
            </w:r>
          </w:p>
        </w:tc>
        <w:tc>
          <w:tcPr>
            <w:tcW w:type="dxa" w:w="4250"/>
            <w:tcMar>
              <w:top w:w="80" w:type="dxa"/>
              <w:start w:w="120" w:type="dxa"/>
              <w:bottom w:w="80" w:type="dxa"/>
              <w:end w:w="120" w:type="dxa"/>
            </w:tcMar>
            <w:vAlign w:val="center"/>
          </w:tcPr>
          <w:p>
            <w:pPr>
              <w:spacing w:after="40" w:line="240" w:lineRule="auto" w:before="0"/>
            </w:pPr>
            <w:r>
              <w:rPr>
                <w:rFonts w:ascii="Calibri" w:hAnsi="Calibri"/>
                <w:color w:val="232323"/>
                <w:sz w:val="20"/>
              </w:rPr>
              <w:t>Le PNADT indique que Dakar concentrait 23,2% de la population nationale en 2013, 80% de l’activité industrielle et plus de 29% de la population active ; la surface urbanisée est passée de 14.940 à 18.300 hectares entre 2000 et 2010.</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Le statut différencié de Dakar doit être justifié par sa fonction réelle dans l’armature nationale et non par un argument symbolique.</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Transition climatique</w:t>
            </w:r>
          </w:p>
        </w:tc>
        <w:tc>
          <w:tcPr>
            <w:tcW w:type="dxa" w:w="4250"/>
            <w:tcMar>
              <w:top w:w="80" w:type="dxa"/>
              <w:start w:w="120" w:type="dxa"/>
              <w:bottom w:w="80" w:type="dxa"/>
              <w:end w:w="120" w:type="dxa"/>
            </w:tcMar>
            <w:vAlign w:val="center"/>
          </w:tcPr>
          <w:p>
            <w:pPr>
              <w:spacing w:after="40" w:line="240" w:lineRule="auto" w:before="0"/>
            </w:pPr>
            <w:r>
              <w:rPr>
                <w:rFonts w:ascii="Calibri" w:hAnsi="Calibri"/>
                <w:color w:val="232323"/>
                <w:sz w:val="20"/>
              </w:rPr>
              <w:t>Le PCET de Dakar porte une vision 2050 et structure 7 axes et 22 actions autour des risques, de l’aménagement, de l’énergie, de la mobilité, des déchets, de la finance verte et de la gouvernance climatique.</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La transition écologique doit être traduite en programme budgétaire, portefeuille de projets bancables, dispositif MRV et tableau de bord.</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Ressources locales</w:t>
            </w:r>
          </w:p>
        </w:tc>
        <w:tc>
          <w:tcPr>
            <w:tcW w:type="dxa" w:w="4250"/>
            <w:tcMar>
              <w:top w:w="80" w:type="dxa"/>
              <w:start w:w="120" w:type="dxa"/>
              <w:bottom w:w="80" w:type="dxa"/>
              <w:end w:w="120" w:type="dxa"/>
            </w:tcMar>
            <w:vAlign w:val="center"/>
          </w:tcPr>
          <w:p>
            <w:pPr>
              <w:spacing w:after="40" w:line="240" w:lineRule="auto" w:before="0"/>
            </w:pPr>
            <w:r>
              <w:rPr>
                <w:rFonts w:ascii="Calibri" w:hAnsi="Calibri"/>
                <w:color w:val="232323"/>
                <w:sz w:val="20"/>
              </w:rPr>
              <w:t>Les recettes fiscales sont estimées autour de 43,4 milliards FCFA ; les recettes d’exploitation autour de 9,2 milliards ; les emprunts sont indiqués à zéro dans la structuration budgétaire présentée.</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L’autonomie financière doit reposer sur l’assiette, la digitalisation du recouvrement, l’e-taxe, le patrimoine et les financements externes.</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Capital humain</w:t>
            </w:r>
          </w:p>
        </w:tc>
        <w:tc>
          <w:tcPr>
            <w:tcW w:type="dxa" w:w="4250"/>
            <w:tcMar>
              <w:top w:w="80" w:type="dxa"/>
              <w:start w:w="120" w:type="dxa"/>
              <w:bottom w:w="80" w:type="dxa"/>
              <w:end w:w="120" w:type="dxa"/>
            </w:tcMar>
            <w:vAlign w:val="center"/>
          </w:tcPr>
          <w:p>
            <w:pPr>
              <w:spacing w:after="40" w:line="240" w:lineRule="auto" w:before="0"/>
            </w:pPr>
            <w:r>
              <w:rPr>
                <w:rFonts w:ascii="Calibri" w:hAnsi="Calibri"/>
                <w:color w:val="232323"/>
                <w:sz w:val="20"/>
              </w:rPr>
              <w:t>La DRH présente 1 616 agents ; les dépenses de personnel sont indiquées à 7,298 milliards FCFA, soit 12,50% des recettes ordinaires ; les femmes représentent 44% de l’effectif.</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La transformation institutionnelle doit investir dans les compétences, les données RH, la formation et la performance des services.</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Financement territorial</w:t>
            </w:r>
          </w:p>
        </w:tc>
        <w:tc>
          <w:tcPr>
            <w:tcW w:type="dxa" w:w="4250"/>
            <w:tcMar>
              <w:top w:w="80" w:type="dxa"/>
              <w:start w:w="120" w:type="dxa"/>
              <w:bottom w:w="80" w:type="dxa"/>
              <w:end w:w="120" w:type="dxa"/>
            </w:tcMar>
            <w:vAlign w:val="center"/>
          </w:tcPr>
          <w:p>
            <w:pPr>
              <w:spacing w:after="40" w:line="240" w:lineRule="auto" w:before="0"/>
            </w:pPr>
            <w:r>
              <w:rPr>
                <w:rFonts w:ascii="Calibri" w:hAnsi="Calibri"/>
                <w:color w:val="232323"/>
                <w:sz w:val="20"/>
              </w:rPr>
              <w:t>Les supports sur les financements mobilisés par l’État indiquent 294 conventions signées entre 2019 et 2024, 8 421 milliards FCFA mobilisés, mais seulement 82,1 milliards FCFA identifiés dans le champ développement communautaire et collectivités territoriales, soit 0,98% du total.</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Dakar doit se doter d’une ingénierie de portefeuille pour capter une part plus structurée des financements publics, PPP et climat.</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Fiscalité foncière</w:t>
            </w:r>
          </w:p>
        </w:tc>
        <w:tc>
          <w:tcPr>
            <w:tcW w:type="dxa" w:w="4250"/>
            <w:tcMar>
              <w:top w:w="80" w:type="dxa"/>
              <w:start w:w="120" w:type="dxa"/>
              <w:bottom w:w="80" w:type="dxa"/>
              <w:end w:w="120" w:type="dxa"/>
            </w:tcMar>
            <w:vAlign w:val="center"/>
          </w:tcPr>
          <w:p>
            <w:pPr>
              <w:spacing w:after="40" w:line="240" w:lineRule="auto" w:before="0"/>
            </w:pPr>
            <w:r>
              <w:rPr>
                <w:rFonts w:ascii="Calibri" w:hAnsi="Calibri"/>
                <w:color w:val="232323"/>
                <w:sz w:val="20"/>
              </w:rPr>
              <w:t>Les échanges signalent qu’environ 20% des propriétés auraient été recensées et 12% auraient effectivement payé dans une expérimentation citée ; un benchmark marocain évoque un gain de 15% de recettes dès la première année de digitalisation fiscale.</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L’e-taxe et le cadastre fiscal géolocalisé doivent devenir des priorités immédiates d’élargissement de l’assiette.</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Attractivité</w:t>
            </w:r>
          </w:p>
        </w:tc>
        <w:tc>
          <w:tcPr>
            <w:tcW w:type="dxa" w:w="4250"/>
            <w:tcMar>
              <w:top w:w="80" w:type="dxa"/>
              <w:start w:w="120" w:type="dxa"/>
              <w:bottom w:w="80" w:type="dxa"/>
              <w:end w:w="120" w:type="dxa"/>
            </w:tcMar>
            <w:vAlign w:val="center"/>
          </w:tcPr>
          <w:p>
            <w:pPr>
              <w:spacing w:after="40" w:line="240" w:lineRule="auto" w:before="0"/>
            </w:pPr>
            <w:r>
              <w:rPr>
                <w:rFonts w:ascii="Calibri" w:hAnsi="Calibri"/>
                <w:color w:val="232323"/>
                <w:sz w:val="20"/>
              </w:rPr>
              <w:t>Les supports sur le rayonnement mentionnent le trafic du Port de Dakar en 2025 à 29,66 millions de tonnes, soit 85,6 milliards FCFA, et rappellent les JOJ 2026 comme opportunité d’héritage.</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L’événementiel, la culture, le sport et le tourisme doivent être traités comme des leviers économiques et fiscaux, pas seulement comme des activités d’image.</w:t>
            </w:r>
          </w:p>
        </w:tc>
      </w:tr>
    </w:tbl>
    <w:p>
      <w:pPr>
        <w:pStyle w:val="Heading2"/>
      </w:pPr>
      <w:r>
        <w:t>Synthèse opérationnelle enrichie</w:t>
      </w:r>
    </w:p>
    <w:p>
      <w:r>
        <w:t>La lecture croisée de ces chiffres conduit à une conclusion opérationnelle : Dakar n’a pas seulement besoin de ressources supplémentaires ; elle doit transformer sa manière de produire, organiser et utiliser l’information publique. Le budget d’environ 88,5 milliards FCFA, l’absence d’emprunt, le poids du fonctionnement, le potentiel fiscal non capté et la faible part des financements explicitement orientés vers les collectivités montrent que la priorité doit être la performance documentée.</w:t>
      </w:r>
    </w:p>
    <w:p>
      <w:pPr>
        <w:pStyle w:val="ListBullet"/>
      </w:pPr>
      <w:r>
        <w:t>Décision prioritaire 1 : faire de la GAR une norme de l’Acte IV afin que les ressources soient reliées à des programmes, indicateurs, responsables et résultats mesurables.</w:t>
      </w:r>
    </w:p>
    <w:p>
      <w:pPr>
        <w:pStyle w:val="ListBullet"/>
      </w:pPr>
      <w:r>
        <w:t>Décision prioritaire 2 : financer d’abord la donnée municipale, car le cadastre fiscal, l’e-taxe, le SIG, le SIRH, la data room et le tableau de bord conditionnent les recettes et les financements.</w:t>
      </w:r>
    </w:p>
    <w:p>
      <w:pPr>
        <w:pStyle w:val="ListBullet"/>
      </w:pPr>
      <w:r>
        <w:t>Décision prioritaire 3 : gérer les projets comme un portefeuille classé par maturité, afin de distinguer les idées, les projets à étudier, les projets bancables et les projets prêts à financer.</w:t>
      </w:r>
    </w:p>
    <w:p>
      <w:pPr>
        <w:pStyle w:val="ListBullet"/>
      </w:pPr>
      <w:r>
        <w:t>Décision prioritaire 4 : élargir l’assiette sans alourdir aveuglément la pression fiscale, grâce à l’e-taxe, au foncier, à l’événementiel, au patrimoine, au stationnement et aux services urbains.</w:t>
      </w:r>
    </w:p>
    <w:p>
      <w:pPr>
        <w:pStyle w:val="ListBullet"/>
      </w:pPr>
      <w:r>
        <w:t>Décision prioritaire 5 : inscrire le numérique et la transition écologique comme normes de transformation, pas comme rubriques secondaires.</w:t>
      </w:r>
    </w:p>
    <w:p>
      <w:pPr>
        <w:pStyle w:val="ListBullet"/>
      </w:pPr>
      <w:r>
        <w:t>Décision prioritaire 6 : arbitrer le futur statut de Dakar dans l’Acte IV, en testant trois scénarios : District spécial de Dakar, pôle urbain métropolitain ou ville-capitale renforcée.</w:t>
      </w:r>
    </w:p>
    <w:p>
      <w:pPr>
        <w:pStyle w:val="Heading2"/>
      </w:pPr>
      <w:r>
        <w:t>Messages clés consolidés</w:t>
      </w:r>
    </w:p>
    <w:p>
      <w:pPr>
        <w:pStyle w:val="ListBullet"/>
      </w:pPr>
      <w:r>
        <w:t>Dakar doit être repositionnée comme pivot du pôle territorial ouest et comme métropole-capitale dotée d’un cadre institutionnel adapté : District spécial, pôle urbain métropolitain ou ville-capitale renforcée.</w:t>
      </w:r>
    </w:p>
    <w:p>
      <w:pPr>
        <w:pStyle w:val="ListBullet"/>
      </w:pPr>
      <w:r>
        <w:t>La GAR doit être normalisée dans l’Acte IV et généralisée comme outil de gestion de la performance, connectant vision, programmes, budgets, indicateurs et redevabilité.</w:t>
      </w:r>
    </w:p>
    <w:p>
      <w:pPr>
        <w:pStyle w:val="ListBullet"/>
      </w:pPr>
      <w:r>
        <w:t>La gouvernance des données doit devenir une priorité de financement : sans données fiscales, foncières, climatiques, RH et de projets, Dakar ne pourra pas constituer un portefeuille crédible de projets bancables.</w:t>
      </w:r>
    </w:p>
    <w:p>
      <w:pPr>
        <w:pStyle w:val="ListBullet"/>
      </w:pPr>
      <w:r>
        <w:t>L’autonomie financière passe par la maîtrise de l’assiette, l’e-taxe, le cadastre fiscal, la digitalisation du recouvrement, la fiscalité événementielle, la valorisation des actifs et l’ingénierie de projets.</w:t>
      </w:r>
    </w:p>
    <w:p>
      <w:pPr>
        <w:pStyle w:val="ListBullet"/>
      </w:pPr>
      <w:r>
        <w:t>Les PPP et la finance climat sont des leviers utiles seulement si la Ville sait structurer un portefeuille de projets réalistes, documentés, bancables et suivis par des indicateurs.</w:t>
      </w:r>
    </w:p>
    <w:p>
      <w:pPr>
        <w:pStyle w:val="ListBullet"/>
      </w:pPr>
      <w:r>
        <w:t>Le numérique doit être intégré dans l’Acte IV comme une norme de gouvernance territoriale : données partagées, systèmes interopérables, services en ligne, tableaux de bord et redevabilité.</w:t>
      </w:r>
    </w:p>
    <w:p>
      <w:pPr>
        <w:pStyle w:val="ListBullet"/>
      </w:pPr>
      <w:r>
        <w:t>La transition écologique doit être traitée comme un axe de financement et de performance urbaine : inondations, littoral, espaces verts, énergie, mobilité décarbonée et résilience des quartiers.</w:t>
      </w:r>
    </w:p>
    <w:p>
      <w:pPr>
        <w:pStyle w:val="ListBullet"/>
      </w:pPr>
      <w:r>
        <w:t>La transformation municipale doit investir prioritairement dans le capital humain, les compétences numériques, le leadership et la motivation.</w:t>
      </w:r>
    </w:p>
    <w:p>
      <w:pPr>
        <w:pStyle w:val="ListBullet"/>
      </w:pPr>
      <w:r>
        <w:t>Le rayonnement international de Dakar doit s’appuyer sur une marque territoriale, des partenariats pragmatiques et une stratégie d’attractivité mesurable.</w:t>
      </w:r>
    </w:p>
    <w:p>
      <w:pPr>
        <w:pStyle w:val="Heading1"/>
      </w:pPr>
      <w:r>
        <w:t>Introduction générale</w:t>
      </w:r>
    </w:p>
    <w:p>
      <w:r>
        <w:t>Dakar occupe une place singulière dans l’histoire institutionnelle, économique, culturelle et diplomatique du Sénégal. Ville capitale, ancienne commune de plein exercice, centre de décision national, pôle économique majeur, espace de concentration des infrastructures stratégiques et vitrine internationale du pays, elle porte une responsabilité qui dépasse largement ses limites administratives. Les transformations territoriales en cours obligent à repenser cette responsabilité dans un cadre nouveau.</w:t>
      </w:r>
    </w:p>
    <w:p>
      <w:r>
        <w:t>L’Acte III de la décentralisation a marqué une rupture importante avec la communalisation intégrale et la transformation des communes d’arrondissement en communes de plein exercice. Cette évolution a renforcé certaines logiques de proximité, mais elle a aussi produit des effets de fragmentation. Les compétences, les ressources et les responsabilités se sont trouvées dispersées entre plusieurs niveaux d’acteurs, souvent sans mécanisme d’arbitrage suffisamment clair. L’analyse des panels montre que cette situation pèse directement sur l’urbanisme, la fiscalité, la voirie, la santé, les déchets, la planification et la capacité de la Ville à exercer un leadership métropolitain.</w:t>
      </w:r>
    </w:p>
    <w:p>
      <w:r>
        <w:t>L’Acte IV annoncé et la perspective des pôles territoriaux ouvrent donc une fenêtre de réforme. Mais cette fenêtre comporte deux risques : reproduire les ambiguïtés précédentes avec de nouveaux mots, ou ajouter une couche institutionnelle de plus sans résoudre les problèmes de compétences, de financement et de responsabilité. Les Journées scientifiques ont justement permis de poser les questions structurantes avant que les choix ne se cristallisent : quel statut pour Dakar ? Quelle articulation avec les communes ? Quelle relation avec l’État ? Quelle place dans le pôle territorial ouest ? Quelle capacité de mobilisation des ressources ?</w:t>
      </w:r>
    </w:p>
    <w:p>
      <w:r>
        <w:t>Le thème général des journées invitait à articuler trois verbes : financer, gouverner et transformer. Financer, parce que la transformation urbaine ne peut être portée seulement par les recettes ordinaires ; gouverner, parce que les ressources sans vision et sans indicateurs ne produisent pas mécaniquement des impacts ; transformer, parce que Dakar doit se projeter comme métropole durable, compétitive, inclusive et résiliente. Ces trois verbes forment le fil directeur du présent rapport.</w:t>
      </w:r>
    </w:p>
    <w:p>
      <w:r>
        <w:t>La méthodologie adoptée repose sur une analyse documentaire interne. Les supports de présentation, l’agenda, le pré-rapport, la synthèse des recommandations, les notes d’intervention, les transcriptions et les documents de soutien nouvellement intégrés ont été analysés et recoupés. Les documents doublons ont été identifiés afin d’éviter les répétitions. Les transcriptions, issues d’un traitement automatique, ont été utilisées principalement pour repérer les échanges, confirmer les intervenants effectifs et enrichir les messages clés lorsqu’elles confirmaient les supports écrits.</w:t>
      </w:r>
    </w:p>
    <w:p>
      <w:r>
        <w:t>Le rapport est organisé en quatre mouvements. Le premier présente le contexte institutionnel et territorial de Dakar. Le deuxième propose un diagnostic transversal des atouts et contraintes mis en débat. Le troisième restitue les six panels sous forme analytique, en distinguant les problématiques, les apports et les messages clés. Le quatrième consolide les recommandations, les traduit en axes stratégiques et propose une feuille de route opérationnelle.</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POSITIONNEMENT RÉDACTIONNEL</w:t>
            </w:r>
          </w:p>
          <w:p>
            <w:pPr>
              <w:spacing w:after="40" w:line="252" w:lineRule="auto"/>
            </w:pPr>
            <w:r>
              <w:rPr>
                <w:sz w:val="20"/>
              </w:rPr>
              <w:t>Le rapport privilégie une synthèse institutionnelle et stratégique plutôt qu’une transcription exhaustive. Il adopte un ton neutre, analytique et professionnel afin d’être exploitable par les services municipaux, les décideurs et les partenaires.</w:t>
            </w:r>
          </w:p>
        </w:tc>
      </w:tr>
    </w:tbl>
    <w:p>
      <w:pPr>
        <w:pStyle w:val="Heading1"/>
      </w:pPr>
      <w:r>
        <w:t>Contexte institutionnel et territorial</w:t>
      </w:r>
    </w:p>
    <w:p>
      <w:pPr>
        <w:pStyle w:val="Heading2"/>
      </w:pPr>
      <w:r>
        <w:t>Dakar dans la trajectoire de la décentralisation</w:t>
      </w:r>
    </w:p>
    <w:p>
      <w:r>
        <w:t>La décentralisation sénégalaise s’inscrit dans une histoire longue et progressive. Depuis les premières communes, les réformes successives ont cherché à concilier un État unitaire fort, la nécessité de rapprocher la décision publique des citoyens et l’impératif de développement territorial. La déconcentration et la décentralisation sont présentées comme deux logiques complémentaires : l’une permet à l’État d’agir dans les territoires, l’autre reconnaît aux collectivités une autonomie juridique, budgétaire et politique.</w:t>
      </w:r>
    </w:p>
    <w:p>
      <w:r>
        <w:t>Cette trajectoire n’a jamais été totalement achevée. Chaque réforme a corrigé certains déséquilibres tout en en créant de nouveaux. L’Acte III, en particulier, a donné une existence de plein exercice aux communes d’arrondissement, mais il a aussi affaibli la lisibilité du rôle de la Ville. Le débat sur l’Acte IV ne doit donc pas être compris comme une simple étape administrative ; il doit être abordé comme une occasion de mieux aligner les institutions locales sur les fonctions réelles des territoires.</w:t>
      </w:r>
    </w:p>
    <w:p>
      <w:r>
        <w:t>Dakar est au cœur de cette réflexion parce qu’elle n’est pas une collectivité ordinaire. Elle concentre des fonctions nationales et internationales, accueille des infrastructures stratégiques, porte l’image du Sénégal et polarise une partie importante des activités économiques. Cette vocation nationale justifie une réflexion spécifique sur son statut, ses ressources et ses instruments de gouvernance.</w:t>
      </w:r>
    </w:p>
    <w:p>
      <w:pPr>
        <w:pStyle w:val="Heading2"/>
      </w:pPr>
      <w:r>
        <w:t>Les pôles territoriaux comme opportunité et comme défi</w:t>
      </w:r>
    </w:p>
    <w:p>
      <w:r>
        <w:t>La logique des pôles territoriaux vise à dépasser l’émiettement communal et à organiser l’action publique à des échelles plus fonctionnelles. Elle peut permettre de mutualiser les ressources, de coordonner les infrastructures, de mieux planifier les investissements et de construire des complémentarités entre territoires. Pour Dakar, cette approche peut renforcer le pilotage métropolitain si elle clarifie les rôles au lieu de les superposer.</w:t>
      </w:r>
    </w:p>
    <w:p>
      <w:r>
        <w:t>Les panels ont toutefois souligné que la question essentielle n’est pas seulement la création des pôles, mais leur gouvernance. Qui décide ? Qui finance ? Qui planifie ? Qui exécute ? Qui évalue ? Sans réponses claires, les pôles pourraient devenir une strate supplémentaire dans un paysage déjà complexe. La Ville de Dakar doit donc contribuer activement à la définition des règles du jeu et défendre une articulation cohérente entre État, pôle, Ville et communes.</w:t>
      </w:r>
    </w:p>
    <w:p>
      <w:r>
        <w:t>Dakar est appelée à être le noyau du pôle territorial ouest. Cette position doit être pensée dans une double logique : être locomotive sans écraser les territoires périphériques, et être capitale nationale sans entrer dans une concurrence stérile avec les autres pôles. L’analyse comparative avec les grandes métropoles africaines comme Abidjan, Kigali, Lagos ou Nairobi doit être articulée à une solidarité territoriale avec les communes et les territoires environnants.</w:t>
      </w:r>
    </w:p>
    <w:p>
      <w:pPr/>
      <w:r>
        <w:t>Dans cette perspective, le débat ne doit pas se limiter à savoir si Dakar appartient à un pôle. Il doit déterminer quel type de pôle Dakar doit devenir : un simple territoire de coordination, un pôle urbain métropolitain doté de compétences propres, ou un District spécial de capitale capable d’organiser les fonctions qui dépassent l’échelle communale. La réponse devra respecter la libre administration locale, mais elle devra aussi reconnaître que la capitale concentre des charges nationales, diplomatiques, économiques, événementielles et climatiques qui exigent des ressources différenciées.</w:t>
      </w:r>
      <w:r>
        <w:rPr>
          <w:rStyle w:val="FootnoteReference"/>
        </w:rPr>
        <w:footnoteReference w:id="16"/>
      </w:r>
    </w:p>
    <w:p>
      <w:pPr>
        <w:pStyle w:val="Heading2"/>
      </w:pPr>
      <w:r>
        <w:t>Vision Sénégal 2050 et transformation municipale</w:t>
      </w:r>
    </w:p>
    <w:p>
      <w:r>
        <w:t>La Vision Sénégal 2050 donne un horizon national à la transformation des territoires. Pour Dakar, cet horizon doit être traduit en programmes municipaux concrets : gouvernance orientée résultats, planification spatiale intégrée, mobilisation de ressources propres, transition écologique, inclusion sociale, digitalisation, attractivité économique et renforcement du capital humain. La Ville ne peut pas rester seulement bénéficiaire de politiques nationales ; elle doit être productrice de solutions territoriales.</w:t>
      </w:r>
    </w:p>
    <w:p>
      <w:r>
        <w:t>Les JOJ 2026 constituent à cet égard une opportunité stratégique. Ils placent Dakar au centre de l’attention continentale et internationale. Mais l’événement ne doit pas être réduit à une échéance sportive ; il doit devenir un accélérateur de transformation urbaine, de marketing territorial, de modernisation des services, d’héritage sportif, de rayonnement culturel et de mobilisation citoyenne.</w:t>
      </w:r>
    </w:p>
    <w:p>
      <w:pPr>
        <w:pStyle w:val="Heading1"/>
      </w:pPr>
      <w:r>
        <w:t>Apports des documents de soutien intégrés</w:t>
      </w:r>
    </w:p>
    <w:p>
      <w:r>
        <w:t>Les nouveaux documents ajoutés au corpus renforcent fortement le rapport. Ils ne modifient pas la logique générale issue des panels, mais ils donnent au document une assise institutionnelle plus robuste : cadrage budgétaire 2024, planification municipale, transition climatique, réforme de la décentralisation, gestion axée sur les résultats, normes UEMOA, fiscalité locale, investissement et partenariats public-privé.</w:t>
      </w:r>
      <w:r>
        <w:rPr>
          <w:rStyle w:val="FootnoteReference"/>
        </w:rPr>
        <w:footnoteReference w:id="3"/>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300"/>
        <w:gridCol w:w="3800"/>
        <w:gridCol w:w="3260"/>
      </w:tblGrid>
      <w:tr>
        <w:trPr>
          <w:tblHeader w:val="true"/>
        </w:trPr>
        <w:tc>
          <w:tcPr>
            <w:tcW w:type="dxa" w:w="23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Document de soutien</w:t>
            </w:r>
          </w:p>
        </w:tc>
        <w:tc>
          <w:tcPr>
            <w:tcW w:type="dxa" w:w="38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Apport principal</w:t>
            </w:r>
          </w:p>
        </w:tc>
        <w:tc>
          <w:tcPr>
            <w:tcW w:type="dxa" w:w="32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Conséquence pour le rapport</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Budget 2024 de la Ville de Dakar</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Budget équilibré à 69.478.506.843 FCFA ; budget réel hors mouvements financiers de 46.855.999.413 FCFA ; 53% du budget réel orienté vers l’investissement.</w:t>
            </w:r>
          </w:p>
        </w:tc>
        <w:tc>
          <w:tcPr>
            <w:tcW w:type="dxa" w:w="3260"/>
            <w:tcMar>
              <w:top w:w="80" w:type="dxa"/>
              <w:start w:w="120" w:type="dxa"/>
              <w:bottom w:w="80" w:type="dxa"/>
              <w:end w:w="120" w:type="dxa"/>
            </w:tcMar>
            <w:vAlign w:val="center"/>
          </w:tcPr>
          <w:p>
            <w:pPr>
              <w:spacing w:after="40" w:line="240" w:lineRule="auto" w:before="0"/>
            </w:pPr>
            <w:r>
              <w:rPr>
                <w:rFonts w:ascii="Calibri" w:hAnsi="Calibri"/>
                <w:color w:val="232323"/>
                <w:sz w:val="20"/>
              </w:rPr>
              <w:t>Le rapport peut désormais distinguer les données issues des présentations et les données budgétaires officielles 2024.</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Détail du budget d’investissement 2024</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Crédits significatifs sur voirie, éclairage public, jardins, équipements sanitaires, toilettes publiques, éducation, jeunesse, culture, sport, études et remboursement d’emprunt.</w:t>
            </w:r>
          </w:p>
        </w:tc>
        <w:tc>
          <w:tcPr>
            <w:tcW w:type="dxa" w:w="3260"/>
            <w:tcMar>
              <w:top w:w="80" w:type="dxa"/>
              <w:start w:w="120" w:type="dxa"/>
              <w:bottom w:w="80" w:type="dxa"/>
              <w:end w:w="120" w:type="dxa"/>
            </w:tcMar>
            <w:vAlign w:val="center"/>
          </w:tcPr>
          <w:p>
            <w:pPr>
              <w:spacing w:after="40" w:line="240" w:lineRule="auto" w:before="0"/>
            </w:pPr>
            <w:r>
              <w:rPr>
                <w:rFonts w:ascii="Calibri" w:hAnsi="Calibri"/>
                <w:color w:val="232323"/>
                <w:sz w:val="20"/>
              </w:rPr>
              <w:t>Les recommandations sur le portefeuille de projets peuvent être reliées à des lignes d’investissement concrètes.</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Système de planification de la Ville de Dakar</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Constat d’un déficit de circulation de l’information, d’une faible articulation entre vision, projets, budgets et suivi, et proposition d’une cellule horizontale de planification.</w:t>
            </w:r>
          </w:p>
        </w:tc>
        <w:tc>
          <w:tcPr>
            <w:tcW w:type="dxa" w:w="3260"/>
            <w:tcMar>
              <w:top w:w="80" w:type="dxa"/>
              <w:start w:w="120" w:type="dxa"/>
              <w:bottom w:w="80" w:type="dxa"/>
              <w:end w:w="120" w:type="dxa"/>
            </w:tcMar>
            <w:vAlign w:val="center"/>
          </w:tcPr>
          <w:p>
            <w:pPr>
              <w:spacing w:after="40" w:line="240" w:lineRule="auto" w:before="0"/>
            </w:pPr>
            <w:r>
              <w:rPr>
                <w:rFonts w:ascii="Calibri" w:hAnsi="Calibri"/>
                <w:color w:val="232323"/>
                <w:sz w:val="20"/>
              </w:rPr>
              <w:t>La cellule GAR proposée dans le rapport peut être alignée sur l’architecture déjà pensée par la Ville.</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Plan Climat Énergie Territorial de Dakar</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Vision Dakar 2050, 7 axes, 22 actions, gouvernance climatique, MRV, progiciel de suivi, finance verte et projets bancables.</w:t>
            </w:r>
          </w:p>
        </w:tc>
        <w:tc>
          <w:tcPr>
            <w:tcW w:type="dxa" w:w="3260"/>
            <w:tcMar>
              <w:top w:w="80" w:type="dxa"/>
              <w:start w:w="120" w:type="dxa"/>
              <w:bottom w:w="80" w:type="dxa"/>
              <w:end w:w="120" w:type="dxa"/>
            </w:tcMar>
            <w:vAlign w:val="center"/>
          </w:tcPr>
          <w:p>
            <w:pPr>
              <w:spacing w:after="40" w:line="240" w:lineRule="auto" w:before="0"/>
            </w:pPr>
            <w:r>
              <w:rPr>
                <w:rFonts w:ascii="Calibri" w:hAnsi="Calibri"/>
                <w:color w:val="232323"/>
                <w:sz w:val="20"/>
              </w:rPr>
              <w:t>La transition écologique devient un programme opérationnel avec indicateurs, gouvernance et stratégie de financement.</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Plan national d’aménagement et de développement territorial</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Horizon 2035, 20 orientations, 63 objectifs, 214 actions ; reconnaissance du poids spécifique de Dakar dans l’économie et l’armature nationale.</w:t>
            </w:r>
          </w:p>
        </w:tc>
        <w:tc>
          <w:tcPr>
            <w:tcW w:type="dxa" w:w="3260"/>
            <w:tcMar>
              <w:top w:w="80" w:type="dxa"/>
              <w:start w:w="120" w:type="dxa"/>
              <w:bottom w:w="80" w:type="dxa"/>
              <w:end w:w="120" w:type="dxa"/>
            </w:tcMar>
            <w:vAlign w:val="center"/>
          </w:tcPr>
          <w:p>
            <w:pPr>
              <w:spacing w:after="40" w:line="240" w:lineRule="auto" w:before="0"/>
            </w:pPr>
            <w:r>
              <w:rPr>
                <w:rFonts w:ascii="Calibri" w:hAnsi="Calibri"/>
                <w:color w:val="232323"/>
                <w:sz w:val="20"/>
              </w:rPr>
              <w:t>Le statut de Dakar et son rôle de hub international peuvent être justifiés par un cadrage national.</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Rapport d’évaluation de l’Acte III</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Identification des limites de cohérence territoriale, de financement, de fiscalité, de gouvernance participative et de territorialisation des politiques publiques.</w:t>
            </w:r>
          </w:p>
        </w:tc>
        <w:tc>
          <w:tcPr>
            <w:tcW w:type="dxa" w:w="3260"/>
            <w:tcMar>
              <w:top w:w="80" w:type="dxa"/>
              <w:start w:w="120" w:type="dxa"/>
              <w:bottom w:w="80" w:type="dxa"/>
              <w:end w:w="120" w:type="dxa"/>
            </w:tcMar>
            <w:vAlign w:val="center"/>
          </w:tcPr>
          <w:p>
            <w:pPr>
              <w:spacing w:after="40" w:line="240" w:lineRule="auto" w:before="0"/>
            </w:pPr>
            <w:r>
              <w:rPr>
                <w:rFonts w:ascii="Calibri" w:hAnsi="Calibri"/>
                <w:color w:val="232323"/>
                <w:sz w:val="20"/>
              </w:rPr>
              <w:t>Les propositions Acte IV du rapport sont désormais adossées à des recommandations déjà formulées à l’échelle nationale.</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Guide GAR UEMOA et supports GAR</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Passage du budget de moyens au budget de résultats, chaîne de résultats, budget-programme, PAP, RAP, PTA, contrats annuels de performance et indicateurs.</w:t>
            </w:r>
          </w:p>
        </w:tc>
        <w:tc>
          <w:tcPr>
            <w:tcW w:type="dxa" w:w="3260"/>
            <w:tcMar>
              <w:top w:w="80" w:type="dxa"/>
              <w:start w:w="120" w:type="dxa"/>
              <w:bottom w:w="80" w:type="dxa"/>
              <w:end w:w="120" w:type="dxa"/>
            </w:tcMar>
            <w:vAlign w:val="center"/>
          </w:tcPr>
          <w:p>
            <w:pPr>
              <w:spacing w:after="40" w:line="240" w:lineRule="auto" w:before="0"/>
            </w:pPr>
            <w:r>
              <w:rPr>
                <w:rFonts w:ascii="Calibri" w:hAnsi="Calibri"/>
                <w:color w:val="232323"/>
                <w:sz w:val="20"/>
              </w:rPr>
              <w:t>La GAR est traitée comme un standard de gestion publique, pas comme une simple recommandation interne.</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Réforme comptable UEMOA</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Modernisation des finances publiques, transparence, comparabilité des données, plan comptable, tableau des opérations financières et comptabilité modernisée.</w:t>
            </w:r>
          </w:p>
        </w:tc>
        <w:tc>
          <w:tcPr>
            <w:tcW w:type="dxa" w:w="3260"/>
            <w:tcMar>
              <w:top w:w="80" w:type="dxa"/>
              <w:start w:w="120" w:type="dxa"/>
              <w:bottom w:w="80" w:type="dxa"/>
              <w:end w:w="120" w:type="dxa"/>
            </w:tcMar>
            <w:vAlign w:val="center"/>
          </w:tcPr>
          <w:p>
            <w:pPr>
              <w:spacing w:after="40" w:line="240" w:lineRule="auto" w:before="0"/>
            </w:pPr>
            <w:r>
              <w:rPr>
                <w:rFonts w:ascii="Calibri" w:hAnsi="Calibri"/>
                <w:color w:val="232323"/>
                <w:sz w:val="20"/>
              </w:rPr>
              <w:t>Le rapport relie performance, budget, reporting et crédibilité financière.</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Loi n° 2021-23 sur les PPP</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Cadre unifié des partenariats public-privé, unité nationale d’appui, comité interministériel, fonds d’appui, accords-programmes et offres d’initiative privée.</w:t>
            </w:r>
          </w:p>
        </w:tc>
        <w:tc>
          <w:tcPr>
            <w:tcW w:type="dxa" w:w="3260"/>
            <w:tcMar>
              <w:top w:w="80" w:type="dxa"/>
              <w:start w:w="120" w:type="dxa"/>
              <w:bottom w:w="80" w:type="dxa"/>
              <w:end w:w="120" w:type="dxa"/>
            </w:tcMar>
            <w:vAlign w:val="center"/>
          </w:tcPr>
          <w:p>
            <w:pPr>
              <w:spacing w:after="40" w:line="240" w:lineRule="auto" w:before="0"/>
            </w:pPr>
            <w:r>
              <w:rPr>
                <w:rFonts w:ascii="Calibri" w:hAnsi="Calibri"/>
                <w:color w:val="232323"/>
                <w:sz w:val="20"/>
              </w:rPr>
              <w:t>Les PPP sont présentés comme une piste exigeante nécessitant maturation, appui technique et partage équilibré des risques.</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Code général des Collectivités locales, codes fiscal et investissement</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Référentiels juridiques permettant d’encadrer statut de la ville, mutualisation, compétences, fiscalité, investissement, recettes et mécanismes financiers.</w:t>
            </w:r>
          </w:p>
        </w:tc>
        <w:tc>
          <w:tcPr>
            <w:tcW w:type="dxa" w:w="3260"/>
            <w:tcMar>
              <w:top w:w="80" w:type="dxa"/>
              <w:start w:w="120" w:type="dxa"/>
              <w:bottom w:w="80" w:type="dxa"/>
              <w:end w:w="120" w:type="dxa"/>
            </w:tcMar>
            <w:vAlign w:val="center"/>
          </w:tcPr>
          <w:p>
            <w:pPr>
              <w:spacing w:after="40" w:line="240" w:lineRule="auto" w:before="0"/>
            </w:pPr>
            <w:r>
              <w:rPr>
                <w:rFonts w:ascii="Calibri" w:hAnsi="Calibri"/>
                <w:color w:val="232323"/>
                <w:sz w:val="20"/>
              </w:rPr>
              <w:t>Les propositions fiscales et financières sont replacées dans un environnement normatif exploitable.</w:t>
            </w:r>
          </w:p>
        </w:tc>
      </w:tr>
    </w:tbl>
    <w:p>
      <w:pPr>
        <w:pStyle w:val="Heading2"/>
      </w:pPr>
      <w:r>
        <w:t>Prise en compte renforcée des présentations et transcriptions</w:t>
      </w:r>
    </w:p>
    <w:p>
      <w:r>
        <w:t>Les présentations et transcriptions ont été davantage mobilisées pour consolider les thèmes abordés, les messages clés, les préoccupations exprimées pendant les échanges et les recommandations opérationnelles. Les présentations ont servi de base structurée ; les transcriptions ont permis de repérer les nuances, les préoccupations récurrentes et les convergences entre panels.</w:t>
      </w:r>
      <w:r>
        <w:rPr>
          <w:rStyle w:val="FootnoteReference"/>
        </w:rPr>
        <w:footnoteReference w:id="4"/>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200"/>
        <w:gridCol w:w="3800"/>
        <w:gridCol w:w="3360"/>
      </w:tblGrid>
      <w:tr>
        <w:trPr>
          <w:tblHeader w:val="true"/>
        </w:trPr>
        <w:tc>
          <w:tcPr>
            <w:tcW w:type="dxa" w:w="22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Source exploitée</w:t>
            </w:r>
          </w:p>
        </w:tc>
        <w:tc>
          <w:tcPr>
            <w:tcW w:type="dxa" w:w="38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Mode d’utilisation dans le rapport</w:t>
            </w:r>
          </w:p>
        </w:tc>
        <w:tc>
          <w:tcPr>
            <w:tcW w:type="dxa" w:w="33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Effet sur la rédaction</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Présentations des panels</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Identification des thèmes, problématiques, données chiffrées, outils proposés et recommandations par panel.</w:t>
            </w:r>
          </w:p>
        </w:tc>
        <w:tc>
          <w:tcPr>
            <w:tcW w:type="dxa" w:w="3360"/>
            <w:tcMar>
              <w:top w:w="80" w:type="dxa"/>
              <w:start w:w="120" w:type="dxa"/>
              <w:bottom w:w="80" w:type="dxa"/>
              <w:end w:w="120" w:type="dxa"/>
            </w:tcMar>
            <w:vAlign w:val="center"/>
          </w:tcPr>
          <w:p>
            <w:pPr>
              <w:spacing w:after="40" w:line="240" w:lineRule="auto" w:before="0"/>
            </w:pPr>
            <w:r>
              <w:rPr>
                <w:rFonts w:ascii="Calibri" w:hAnsi="Calibri"/>
                <w:color w:val="232323"/>
                <w:sz w:val="20"/>
              </w:rPr>
              <w:t>Structuration de la synthèse analytique des panels et des programmes de transformation.</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Transcriptions longues</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Repérage des préoccupations récurrentes, des formulations fortes, des exemples évoqués et des points de débat.</w:t>
            </w:r>
          </w:p>
        </w:tc>
        <w:tc>
          <w:tcPr>
            <w:tcW w:type="dxa" w:w="3360"/>
            <w:tcMar>
              <w:top w:w="80" w:type="dxa"/>
              <w:start w:w="120" w:type="dxa"/>
              <w:bottom w:w="80" w:type="dxa"/>
              <w:end w:w="120" w:type="dxa"/>
            </w:tcMar>
            <w:vAlign w:val="center"/>
          </w:tcPr>
          <w:p>
            <w:pPr>
              <w:spacing w:after="40" w:line="240" w:lineRule="auto" w:before="0"/>
            </w:pPr>
            <w:r>
              <w:rPr>
                <w:rFonts w:ascii="Calibri" w:hAnsi="Calibri"/>
                <w:color w:val="232323"/>
                <w:sz w:val="20"/>
              </w:rPr>
              <w:t>Enrichissement des messages clés, des risques à maîtriser et des propositions opérationnelles.</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Synthèse des vidéos</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Vérification des convergences entre les échanges oraux et les supports écrits.</w:t>
            </w:r>
          </w:p>
        </w:tc>
        <w:tc>
          <w:tcPr>
            <w:tcW w:type="dxa" w:w="3360"/>
            <w:tcMar>
              <w:top w:w="80" w:type="dxa"/>
              <w:start w:w="120" w:type="dxa"/>
              <w:bottom w:w="80" w:type="dxa"/>
              <w:end w:w="120" w:type="dxa"/>
            </w:tcMar>
            <w:vAlign w:val="center"/>
          </w:tcPr>
          <w:p>
            <w:pPr>
              <w:spacing w:after="40" w:line="240" w:lineRule="auto" w:before="0"/>
            </w:pPr>
            <w:r>
              <w:rPr>
                <w:rFonts w:ascii="Calibri" w:hAnsi="Calibri"/>
                <w:color w:val="232323"/>
                <w:sz w:val="20"/>
              </w:rPr>
              <w:t>Consolidation des conclusions transversales et de la feuille de route.</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Notes d’intervention</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Approfondissement de certains volets spécialisés, notamment capital humain, fonction publique locale, formation et gouvernance.</w:t>
            </w:r>
          </w:p>
        </w:tc>
        <w:tc>
          <w:tcPr>
            <w:tcW w:type="dxa" w:w="3360"/>
            <w:tcMar>
              <w:top w:w="80" w:type="dxa"/>
              <w:start w:w="120" w:type="dxa"/>
              <w:bottom w:w="80" w:type="dxa"/>
              <w:end w:w="120" w:type="dxa"/>
            </w:tcMar>
            <w:vAlign w:val="center"/>
          </w:tcPr>
          <w:p>
            <w:pPr>
              <w:spacing w:after="40" w:line="240" w:lineRule="auto" w:before="0"/>
            </w:pPr>
            <w:r>
              <w:rPr>
                <w:rFonts w:ascii="Calibri" w:hAnsi="Calibri"/>
                <w:color w:val="232323"/>
                <w:sz w:val="20"/>
              </w:rPr>
              <w:t>Renforcement des recommandations thématiques sans personnalisation de la rédaction.</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Documents de soutien</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Mise en cohérence des recommandations avec les cadres budgétaires, climatiques, territoriaux, fiscaux et juridiques.</w:t>
            </w:r>
          </w:p>
        </w:tc>
        <w:tc>
          <w:tcPr>
            <w:tcW w:type="dxa" w:w="3360"/>
            <w:tcMar>
              <w:top w:w="80" w:type="dxa"/>
              <w:start w:w="120" w:type="dxa"/>
              <w:bottom w:w="80" w:type="dxa"/>
              <w:end w:w="120" w:type="dxa"/>
            </w:tcMar>
            <w:vAlign w:val="center"/>
          </w:tcPr>
          <w:p>
            <w:pPr>
              <w:spacing w:after="40" w:line="240" w:lineRule="auto" w:before="0"/>
            </w:pPr>
            <w:r>
              <w:rPr>
                <w:rFonts w:ascii="Calibri" w:hAnsi="Calibri"/>
                <w:color w:val="232323"/>
                <w:sz w:val="20"/>
              </w:rPr>
              <w:t>Professionnalisation de l’argumentaire et ajout d’une base bibliographique.</w:t>
            </w:r>
          </w:p>
        </w:tc>
      </w:tr>
    </w:tbl>
    <w:p>
      <w:pPr>
        <w:pStyle w:val="Heading2"/>
      </w:pPr>
      <w:r>
        <w:t>Lecture budgétaire 2024</w:t>
      </w:r>
    </w:p>
    <w:p>
      <w:r>
        <w:t>Le Budget 2024 donne une base chiffrée plus précise que les seules présentations des panels. Il arrête les recettes et dépenses à 69.478.506.843 FCFA, soit une progression de 828.829.527 FCFA par rapport au budget initial 2023 modifié, correspondant à 1,20%. Hors mouvements financiers, le budget réel est évalué à 46.855.999.413 FCFA. La part d’investissement représente 53% de ce budget réel, ce qui confirme que Dakar dispose d’une capacité d’action, mais qu’elle doit mieux relier cette capacité à des programmes, résultats et indicateurs.</w:t>
      </w:r>
      <w:r>
        <w:rPr>
          <w:rStyle w:val="FootnoteReference"/>
        </w:rPr>
        <w:footnoteReference w:id="5"/>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100"/>
        <w:gridCol w:w="3300"/>
        <w:gridCol w:w="3960"/>
      </w:tblGrid>
      <w:tr>
        <w:trPr>
          <w:tblHeader w:val="true"/>
        </w:trPr>
        <w:tc>
          <w:tcPr>
            <w:tcW w:type="dxa" w:w="21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Rubrique 2024</w:t>
            </w:r>
          </w:p>
        </w:tc>
        <w:tc>
          <w:tcPr>
            <w:tcW w:type="dxa" w:w="33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Donnée clé</w:t>
            </w:r>
          </w:p>
        </w:tc>
        <w:tc>
          <w:tcPr>
            <w:tcW w:type="dxa" w:w="39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Lecture pour le rapport</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Recettes de fonctionnement</w:t>
            </w:r>
          </w:p>
        </w:tc>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44.915.999.413 FCFA</w:t>
            </w:r>
          </w:p>
        </w:tc>
        <w:tc>
          <w:tcPr>
            <w:tcW w:type="dxa" w:w="3960"/>
            <w:tcMar>
              <w:top w:w="80" w:type="dxa"/>
              <w:start w:w="120" w:type="dxa"/>
              <w:bottom w:w="80" w:type="dxa"/>
              <w:end w:w="120" w:type="dxa"/>
            </w:tcMar>
            <w:vAlign w:val="center"/>
          </w:tcPr>
          <w:p>
            <w:pPr>
              <w:spacing w:after="40" w:line="240" w:lineRule="auto" w:before="0"/>
            </w:pPr>
            <w:r>
              <w:rPr>
                <w:rFonts w:ascii="Calibri" w:hAnsi="Calibri"/>
                <w:color w:val="232323"/>
                <w:sz w:val="20"/>
              </w:rPr>
              <w:t>Le fonctionnement reste le socle de la capacité financière municipale, mais doit être mieux documenté en objectifs de performance.</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Recettes d’investissement</w:t>
            </w:r>
          </w:p>
        </w:tc>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24.562.507.430 FCFA</w:t>
            </w:r>
          </w:p>
        </w:tc>
        <w:tc>
          <w:tcPr>
            <w:tcW w:type="dxa" w:w="3960"/>
            <w:tcMar>
              <w:top w:w="80" w:type="dxa"/>
              <w:start w:w="120" w:type="dxa"/>
              <w:bottom w:w="80" w:type="dxa"/>
              <w:end w:w="120" w:type="dxa"/>
            </w:tcMar>
            <w:vAlign w:val="center"/>
          </w:tcPr>
          <w:p>
            <w:pPr>
              <w:spacing w:after="40" w:line="240" w:lineRule="auto" w:before="0"/>
            </w:pPr>
            <w:r>
              <w:rPr>
                <w:rFonts w:ascii="Calibri" w:hAnsi="Calibri"/>
                <w:color w:val="232323"/>
                <w:sz w:val="20"/>
              </w:rPr>
              <w:t>L’investissement doit être organisé en portefeuille de projets priorisés, maturés et suivis.</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Impôts locaux</w:t>
            </w:r>
          </w:p>
        </w:tc>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34.800.000.000 FCFA, soit 77,48% des recettes propres de fonctionnement</w:t>
            </w:r>
          </w:p>
        </w:tc>
        <w:tc>
          <w:tcPr>
            <w:tcW w:type="dxa" w:w="3960"/>
            <w:tcMar>
              <w:top w:w="80" w:type="dxa"/>
              <w:start w:w="120" w:type="dxa"/>
              <w:bottom w:w="80" w:type="dxa"/>
              <w:end w:w="120" w:type="dxa"/>
            </w:tcMar>
            <w:vAlign w:val="center"/>
          </w:tcPr>
          <w:p>
            <w:pPr>
              <w:spacing w:after="40" w:line="240" w:lineRule="auto" w:before="0"/>
            </w:pPr>
            <w:r>
              <w:rPr>
                <w:rFonts w:ascii="Calibri" w:hAnsi="Calibri"/>
                <w:color w:val="232323"/>
                <w:sz w:val="20"/>
              </w:rPr>
              <w:t>La fiscalité locale est le principal levier d’autonomie financière ; son assiette doit être élargie et fiabilisée.</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Impôt foncier bâti</w:t>
            </w:r>
          </w:p>
        </w:tc>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7.000.000.000 FCFA prévus ; le rapport budgétaire signale un potentiel d’au moins 10 milliards FCFA à consolider avec la DGID.</w:t>
            </w:r>
          </w:p>
        </w:tc>
        <w:tc>
          <w:tcPr>
            <w:tcW w:type="dxa" w:w="3960"/>
            <w:tcMar>
              <w:top w:w="80" w:type="dxa"/>
              <w:start w:w="120" w:type="dxa"/>
              <w:bottom w:w="80" w:type="dxa"/>
              <w:end w:w="120" w:type="dxa"/>
            </w:tcMar>
            <w:vAlign w:val="center"/>
          </w:tcPr>
          <w:p>
            <w:pPr>
              <w:spacing w:after="40" w:line="240" w:lineRule="auto" w:before="0"/>
            </w:pPr>
            <w:r>
              <w:rPr>
                <w:rFonts w:ascii="Calibri" w:hAnsi="Calibri"/>
                <w:color w:val="232323"/>
                <w:sz w:val="20"/>
              </w:rPr>
              <w:t>Le recensement des redevables et le cadastre fiscal deviennent des priorités immédiates.</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Contribution économique locale</w:t>
            </w:r>
          </w:p>
        </w:tc>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27.600.000.000 FCFA pour la valeur locative et 200.000.000 FCFA pour la valeur ajoutée</w:t>
            </w:r>
          </w:p>
        </w:tc>
        <w:tc>
          <w:tcPr>
            <w:tcW w:type="dxa" w:w="3960"/>
            <w:tcMar>
              <w:top w:w="80" w:type="dxa"/>
              <w:start w:w="120" w:type="dxa"/>
              <w:bottom w:w="80" w:type="dxa"/>
              <w:end w:w="120" w:type="dxa"/>
            </w:tcMar>
            <w:vAlign w:val="center"/>
          </w:tcPr>
          <w:p>
            <w:pPr>
              <w:spacing w:after="40" w:line="240" w:lineRule="auto" w:before="0"/>
            </w:pPr>
            <w:r>
              <w:rPr>
                <w:rFonts w:ascii="Calibri" w:hAnsi="Calibri"/>
                <w:color w:val="232323"/>
                <w:sz w:val="20"/>
              </w:rPr>
              <w:t>La CEL confirme le poids économique de Dakar et l’importance d’un dialogue fiscal local plus structuré.</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Produits d’exploitation</w:t>
            </w:r>
          </w:p>
        </w:tc>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5.028.325.471 FCFA, dont 5.000.000.000 FCFA de taxe d’enlèvement des ordures ménagères</w:t>
            </w:r>
          </w:p>
        </w:tc>
        <w:tc>
          <w:tcPr>
            <w:tcW w:type="dxa" w:w="3960"/>
            <w:tcMar>
              <w:top w:w="80" w:type="dxa"/>
              <w:start w:w="120" w:type="dxa"/>
              <w:bottom w:w="80" w:type="dxa"/>
              <w:end w:w="120" w:type="dxa"/>
            </w:tcMar>
            <w:vAlign w:val="center"/>
          </w:tcPr>
          <w:p>
            <w:pPr>
              <w:spacing w:after="40" w:line="240" w:lineRule="auto" w:before="0"/>
            </w:pPr>
            <w:r>
              <w:rPr>
                <w:rFonts w:ascii="Calibri" w:hAnsi="Calibri"/>
                <w:color w:val="232323"/>
                <w:sz w:val="20"/>
              </w:rPr>
              <w:t>Les services urbains peuvent devenir des champs de performance, de redevabilité et d’amélioration du service rendu.</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Produits domaniaux</w:t>
            </w:r>
          </w:p>
        </w:tc>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1.880.000.000 FCFA, dont 1.780.000.000 FCFA de locations de propriétés communales</w:t>
            </w:r>
          </w:p>
        </w:tc>
        <w:tc>
          <w:tcPr>
            <w:tcW w:type="dxa" w:w="3960"/>
            <w:tcMar>
              <w:top w:w="80" w:type="dxa"/>
              <w:start w:w="120" w:type="dxa"/>
              <w:bottom w:w="80" w:type="dxa"/>
              <w:end w:w="120" w:type="dxa"/>
            </w:tcMar>
            <w:vAlign w:val="center"/>
          </w:tcPr>
          <w:p>
            <w:pPr>
              <w:spacing w:after="40" w:line="240" w:lineRule="auto" w:before="0"/>
            </w:pPr>
            <w:r>
              <w:rPr>
                <w:rFonts w:ascii="Calibri" w:hAnsi="Calibri"/>
                <w:color w:val="232323"/>
                <w:sz w:val="20"/>
              </w:rPr>
              <w:t>Le patrimoine municipal doit être mieux inventorié, valorisé et piloté.</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Dépenses de personnel</w:t>
            </w:r>
          </w:p>
        </w:tc>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6.987.127.995 FCFA, soit 14% des recettes ordinaires et 30% des dépenses réelles de fonctionnement</w:t>
            </w:r>
          </w:p>
        </w:tc>
        <w:tc>
          <w:tcPr>
            <w:tcW w:type="dxa" w:w="3960"/>
            <w:tcMar>
              <w:top w:w="80" w:type="dxa"/>
              <w:start w:w="120" w:type="dxa"/>
              <w:bottom w:w="80" w:type="dxa"/>
              <w:end w:w="120" w:type="dxa"/>
            </w:tcMar>
            <w:vAlign w:val="center"/>
          </w:tcPr>
          <w:p>
            <w:pPr>
              <w:spacing w:after="40" w:line="240" w:lineRule="auto" w:before="0"/>
            </w:pPr>
            <w:r>
              <w:rPr>
                <w:rFonts w:ascii="Calibri" w:hAnsi="Calibri"/>
                <w:color w:val="232323"/>
                <w:sz w:val="20"/>
              </w:rPr>
              <w:t>La modernisation RH doit être présentée comme un investissement de performance, pas seulement comme une charge.</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Emprunt BOAD</w:t>
            </w:r>
          </w:p>
        </w:tc>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Reliquat de prêt de 1.940.000.000 FCFA en recettes d’investissement</w:t>
            </w:r>
          </w:p>
        </w:tc>
        <w:tc>
          <w:tcPr>
            <w:tcW w:type="dxa" w:w="3960"/>
            <w:tcMar>
              <w:top w:w="80" w:type="dxa"/>
              <w:start w:w="120" w:type="dxa"/>
              <w:bottom w:w="80" w:type="dxa"/>
              <w:end w:w="120" w:type="dxa"/>
            </w:tcMar>
            <w:vAlign w:val="center"/>
          </w:tcPr>
          <w:p>
            <w:pPr>
              <w:spacing w:after="40" w:line="240" w:lineRule="auto" w:before="0"/>
            </w:pPr>
            <w:r>
              <w:rPr>
                <w:rFonts w:ascii="Calibri" w:hAnsi="Calibri"/>
                <w:color w:val="232323"/>
                <w:sz w:val="20"/>
              </w:rPr>
              <w:t>L’accès à l’emprunt doit être encadré par la maturité des projets, la soutenabilité et la transparence.</w:t>
            </w:r>
          </w:p>
        </w:tc>
      </w:tr>
    </w:tbl>
    <w:p>
      <w:pPr>
        <w:pStyle w:val="Heading2"/>
      </w:pPr>
      <w:r>
        <w:t>Lecture institutionnelle : Acte III, Acte IV et PNADT</w:t>
      </w:r>
    </w:p>
    <w:p>
      <w:r>
        <w:t>Le Plan national d’aménagement et de développement territorial confirme que Dakar occupe une place exceptionnelle dans l’armature nationale. Le document rappelle que la région concentrait 23,2% de la population nationale en 2013, 80% de l’activité industrielle et plus de 29% de la population active. Il note également que la surface urbanisée de l’agglomération est passée de 14.940 hectares à 18.300 hectares entre 2000 et 2010, soit une progression de 22,5%.</w:t>
      </w:r>
    </w:p>
    <w:p>
      <w:r>
        <w:t>Le Rapport d’évaluation de l’Acte III rejoint les constats des panels : insuffisance de cohérence territoriale, faible disponibilité de données économiques désagrégées, inadéquation entre compétences et ressources, limites de la gouvernance territoriale et difficultés de financement. Il recommande notamment de corriger les incohérences territoriales, d’améliorer les organigrammes et la fonction publique locale, de rendre la gouvernance participative obligatoire et de renforcer les mécanismes de financement des collectivités territoriales.</w:t>
      </w:r>
    </w:p>
    <w:p>
      <w:r>
        <w:t>Plusieurs recommandations de ce rapport national sont directement mobilisables pour Dakar : recensement exhaustif des contribuables et assujettis au moyen d’outils modernes de collecte ; rationalisation de la fiscalité locale ; évaluation du coût des compétences transférées ; accès encadré des grandes collectivités à l’emprunt ; adaptation des PPP à la décentralisation ; territorialisation contractuelle des politiques publiques.</w:t>
      </w:r>
    </w:p>
    <w:p>
      <w:pPr>
        <w:pStyle w:val="Heading2"/>
      </w:pPr>
      <w:r>
        <w:t>Lecture juridique : Code général des Collectivités locales</w:t>
      </w:r>
    </w:p>
    <w:p>
      <w:r>
        <w:t>La Loi n° 2013-10 du 28 décembre 2013 portant Code général des Collectivités locales constitue une référence juridique centrale pour analyser le statut de Dakar. Son exposé des motifs rappelle que l’Acte III vise des territoires viables, compétitifs et porteurs de développement durable, avec quatre objectifs : cohérence territoriale, clarification des compétences entre l’État et les collectivités locales, développement de la contractualisation et modernisation de la gestion publique territoriale, incluant les finances locales et la qualité des ressources humaines.</w:t>
      </w:r>
      <w:r>
        <w:rPr>
          <w:rStyle w:val="FootnoteReference"/>
        </w:rPr>
        <w:footnoteReference w:id="6"/>
      </w:r>
      <w:r>
        <w:rPr>
          <w:rStyle w:val="FootnoteReference"/>
        </w:rPr>
        <w:footnoteReference w:id="7"/>
      </w:r>
    </w:p>
    <w:p>
      <w:r>
        <w:t>Le Code précise aussi la fonction de la ville : une ville peut être instituée pour mutualiser les compétences de plusieurs communes ; elle a le statut de commune ; ses compétences, ses ressources financières et ses rapports avec les communes qui la constituent sont déterminés par les textes applicables. Cette base juridique éclaire directement les débats sur Dakar, les chevauchements de compétences, la coordination avec les communes et la nécessité d’un cadre métropolitain mieux outillé.</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200"/>
        <w:gridCol w:w="3400"/>
        <w:gridCol w:w="3760"/>
      </w:tblGrid>
      <w:tr>
        <w:trPr>
          <w:tblHeader w:val="true"/>
        </w:trPr>
        <w:tc>
          <w:tcPr>
            <w:tcW w:type="dxa" w:w="22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Point juridique</w:t>
            </w:r>
          </w:p>
        </w:tc>
        <w:tc>
          <w:tcPr>
            <w:tcW w:type="dxa" w:w="34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Apport du Code</w:t>
            </w:r>
          </w:p>
        </w:tc>
        <w:tc>
          <w:tcPr>
            <w:tcW w:type="dxa" w:w="37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Implication pour Dakar</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Libre administration</w:t>
            </w:r>
          </w:p>
        </w:tc>
        <w:tc>
          <w:tcPr>
            <w:tcW w:type="dxa" w:w="3400"/>
            <w:tcMar>
              <w:top w:w="80" w:type="dxa"/>
              <w:start w:w="120" w:type="dxa"/>
              <w:bottom w:w="80" w:type="dxa"/>
              <w:end w:w="120" w:type="dxa"/>
            </w:tcMar>
            <w:vAlign w:val="center"/>
          </w:tcPr>
          <w:p>
            <w:pPr>
              <w:spacing w:after="40" w:line="240" w:lineRule="auto" w:before="0"/>
            </w:pPr>
            <w:r>
              <w:rPr>
                <w:rFonts w:ascii="Calibri" w:hAnsi="Calibri"/>
                <w:color w:val="232323"/>
                <w:sz w:val="20"/>
              </w:rPr>
              <w:t>Le Code inscrit la libre administration des collectivités locales et le principe de solidarité territoriale.</w:t>
            </w:r>
          </w:p>
        </w:tc>
        <w:tc>
          <w:tcPr>
            <w:tcW w:type="dxa" w:w="3760"/>
            <w:tcMar>
              <w:top w:w="80" w:type="dxa"/>
              <w:start w:w="120" w:type="dxa"/>
              <w:bottom w:w="80" w:type="dxa"/>
              <w:end w:w="120" w:type="dxa"/>
            </w:tcMar>
            <w:vAlign w:val="center"/>
          </w:tcPr>
          <w:p>
            <w:pPr>
              <w:spacing w:after="40" w:line="240" w:lineRule="auto" w:before="0"/>
            </w:pPr>
            <w:r>
              <w:rPr>
                <w:rFonts w:ascii="Calibri" w:hAnsi="Calibri"/>
                <w:color w:val="232323"/>
                <w:sz w:val="20"/>
              </w:rPr>
              <w:t>Le plaidoyer sur l’Acte IV doit articuler autonomie locale, solidarité et responsabilité.</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Création de la ville</w:t>
            </w:r>
          </w:p>
        </w:tc>
        <w:tc>
          <w:tcPr>
            <w:tcW w:type="dxa" w:w="3400"/>
            <w:tcMar>
              <w:top w:w="80" w:type="dxa"/>
              <w:start w:w="120" w:type="dxa"/>
              <w:bottom w:w="80" w:type="dxa"/>
              <w:end w:w="120" w:type="dxa"/>
            </w:tcMar>
            <w:vAlign w:val="center"/>
          </w:tcPr>
          <w:p>
            <w:pPr>
              <w:spacing w:after="40" w:line="240" w:lineRule="auto" w:before="0"/>
            </w:pPr>
            <w:r>
              <w:rPr>
                <w:rFonts w:ascii="Calibri" w:hAnsi="Calibri"/>
                <w:color w:val="232323"/>
                <w:sz w:val="20"/>
              </w:rPr>
              <w:t>La ville peut être instituée pour mutualiser les compétences de plusieurs communes et dispose du statut de commune.</w:t>
            </w:r>
          </w:p>
        </w:tc>
        <w:tc>
          <w:tcPr>
            <w:tcW w:type="dxa" w:w="3760"/>
            <w:tcMar>
              <w:top w:w="80" w:type="dxa"/>
              <w:start w:w="120" w:type="dxa"/>
              <w:bottom w:w="80" w:type="dxa"/>
              <w:end w:w="120" w:type="dxa"/>
            </w:tcMar>
            <w:vAlign w:val="center"/>
          </w:tcPr>
          <w:p>
            <w:pPr>
              <w:spacing w:after="40" w:line="240" w:lineRule="auto" w:before="0"/>
            </w:pPr>
            <w:r>
              <w:rPr>
                <w:rFonts w:ascii="Calibri" w:hAnsi="Calibri"/>
                <w:color w:val="232323"/>
                <w:sz w:val="20"/>
              </w:rPr>
              <w:t>Dakar doit clarifier ce qui relève de la mutualisation métropolitaine et ce qui relève de la proximité communale.</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Compétences de la ville</w:t>
            </w:r>
          </w:p>
        </w:tc>
        <w:tc>
          <w:tcPr>
            <w:tcW w:type="dxa" w:w="3400"/>
            <w:tcMar>
              <w:top w:w="80" w:type="dxa"/>
              <w:start w:w="120" w:type="dxa"/>
              <w:bottom w:w="80" w:type="dxa"/>
              <w:end w:w="120" w:type="dxa"/>
            </w:tcMar>
            <w:vAlign w:val="center"/>
          </w:tcPr>
          <w:p>
            <w:pPr>
              <w:spacing w:after="40" w:line="240" w:lineRule="auto" w:before="0"/>
            </w:pPr>
            <w:r>
              <w:rPr>
                <w:rFonts w:ascii="Calibri" w:hAnsi="Calibri"/>
                <w:color w:val="232323"/>
                <w:sz w:val="20"/>
              </w:rPr>
              <w:t>Le Code évoque les projets de la ville, leur financement, le plan de développement de la ville et les compétences transférées.</w:t>
            </w:r>
          </w:p>
        </w:tc>
        <w:tc>
          <w:tcPr>
            <w:tcW w:type="dxa" w:w="3760"/>
            <w:tcMar>
              <w:top w:w="80" w:type="dxa"/>
              <w:start w:w="120" w:type="dxa"/>
              <w:bottom w:w="80" w:type="dxa"/>
              <w:end w:w="120" w:type="dxa"/>
            </w:tcMar>
            <w:vAlign w:val="center"/>
          </w:tcPr>
          <w:p>
            <w:pPr>
              <w:spacing w:after="40" w:line="240" w:lineRule="auto" w:before="0"/>
            </w:pPr>
            <w:r>
              <w:rPr>
                <w:rFonts w:ascii="Calibri" w:hAnsi="Calibri"/>
                <w:color w:val="232323"/>
                <w:sz w:val="20"/>
              </w:rPr>
              <w:t>La stratégie Dakar 2035-2050 doit être reliée à un portefeuille de projets et à un plan de développement actualisé.</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Finances de la ville</w:t>
            </w:r>
          </w:p>
        </w:tc>
        <w:tc>
          <w:tcPr>
            <w:tcW w:type="dxa" w:w="3400"/>
            <w:tcMar>
              <w:top w:w="80" w:type="dxa"/>
              <w:start w:w="120" w:type="dxa"/>
              <w:bottom w:w="80" w:type="dxa"/>
              <w:end w:w="120" w:type="dxa"/>
            </w:tcMar>
            <w:vAlign w:val="center"/>
          </w:tcPr>
          <w:p>
            <w:pPr>
              <w:spacing w:after="40" w:line="240" w:lineRule="auto" w:before="0"/>
            </w:pPr>
            <w:r>
              <w:rPr>
                <w:rFonts w:ascii="Calibri" w:hAnsi="Calibri"/>
                <w:color w:val="232323"/>
                <w:sz w:val="20"/>
              </w:rPr>
              <w:t>Le budget de la ville retrace les recettes et dépenses ; les recettes incluent notamment fiscalité, revenus du patrimoine, produits des services, contributions et fonds d’emprunt.</w:t>
            </w:r>
          </w:p>
        </w:tc>
        <w:tc>
          <w:tcPr>
            <w:tcW w:type="dxa" w:w="3760"/>
            <w:tcMar>
              <w:top w:w="80" w:type="dxa"/>
              <w:start w:w="120" w:type="dxa"/>
              <w:bottom w:w="80" w:type="dxa"/>
              <w:end w:w="120" w:type="dxa"/>
            </w:tcMar>
            <w:vAlign w:val="center"/>
          </w:tcPr>
          <w:p>
            <w:pPr>
              <w:spacing w:after="40" w:line="240" w:lineRule="auto" w:before="0"/>
            </w:pPr>
            <w:r>
              <w:rPr>
                <w:rFonts w:ascii="Calibri" w:hAnsi="Calibri"/>
                <w:color w:val="232323"/>
                <w:sz w:val="20"/>
              </w:rPr>
              <w:t>Le rapport doit relier budget, recettes propres, patrimoine, services urbains et recours encadré à l’emprunt.</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Relations ville-communes</w:t>
            </w:r>
          </w:p>
        </w:tc>
        <w:tc>
          <w:tcPr>
            <w:tcW w:type="dxa" w:w="3400"/>
            <w:tcMar>
              <w:top w:w="80" w:type="dxa"/>
              <w:start w:w="120" w:type="dxa"/>
              <w:bottom w:w="80" w:type="dxa"/>
              <w:end w:w="120" w:type="dxa"/>
            </w:tcMar>
            <w:vAlign w:val="center"/>
          </w:tcPr>
          <w:p>
            <w:pPr>
              <w:spacing w:after="40" w:line="240" w:lineRule="auto" w:before="0"/>
            </w:pPr>
            <w:r>
              <w:rPr>
                <w:rFonts w:ascii="Calibri" w:hAnsi="Calibri"/>
                <w:color w:val="232323"/>
                <w:sz w:val="20"/>
              </w:rPr>
              <w:t>Le Code prévoit l’association des communes dans certaines conditions de réalisation et d’investissement.</w:t>
            </w:r>
          </w:p>
        </w:tc>
        <w:tc>
          <w:tcPr>
            <w:tcW w:type="dxa" w:w="3760"/>
            <w:tcMar>
              <w:top w:w="80" w:type="dxa"/>
              <w:start w:w="120" w:type="dxa"/>
              <w:bottom w:w="80" w:type="dxa"/>
              <w:end w:w="120" w:type="dxa"/>
            </w:tcMar>
            <w:vAlign w:val="center"/>
          </w:tcPr>
          <w:p>
            <w:pPr>
              <w:spacing w:after="40" w:line="240" w:lineRule="auto" w:before="0"/>
            </w:pPr>
            <w:r>
              <w:rPr>
                <w:rFonts w:ascii="Calibri" w:hAnsi="Calibri"/>
                <w:color w:val="232323"/>
                <w:sz w:val="20"/>
              </w:rPr>
              <w:t>La conférence permanente Ville-communes et les conventions de coopération doivent devenir des instruments opérationnels.</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Emprunts et coopération</w:t>
            </w:r>
          </w:p>
        </w:tc>
        <w:tc>
          <w:tcPr>
            <w:tcW w:type="dxa" w:w="3400"/>
            <w:tcMar>
              <w:top w:w="80" w:type="dxa"/>
              <w:start w:w="120" w:type="dxa"/>
              <w:bottom w:w="80" w:type="dxa"/>
              <w:end w:w="120" w:type="dxa"/>
            </w:tcMar>
            <w:vAlign w:val="center"/>
          </w:tcPr>
          <w:p>
            <w:pPr>
              <w:spacing w:after="40" w:line="240" w:lineRule="auto" w:before="0"/>
            </w:pPr>
            <w:r>
              <w:rPr>
                <w:rFonts w:ascii="Calibri" w:hAnsi="Calibri"/>
                <w:color w:val="232323"/>
                <w:sz w:val="20"/>
              </w:rPr>
              <w:t>Le Code mentionne les emprunts, garanties d’emprunts, conventions financières et coopération.</w:t>
            </w:r>
          </w:p>
        </w:tc>
        <w:tc>
          <w:tcPr>
            <w:tcW w:type="dxa" w:w="3760"/>
            <w:tcMar>
              <w:top w:w="80" w:type="dxa"/>
              <w:start w:w="120" w:type="dxa"/>
              <w:bottom w:w="80" w:type="dxa"/>
              <w:end w:w="120" w:type="dxa"/>
            </w:tcMar>
            <w:vAlign w:val="center"/>
          </w:tcPr>
          <w:p>
            <w:pPr>
              <w:spacing w:after="40" w:line="240" w:lineRule="auto" w:before="0"/>
            </w:pPr>
            <w:r>
              <w:rPr>
                <w:rFonts w:ascii="Calibri" w:hAnsi="Calibri"/>
                <w:color w:val="232323"/>
                <w:sz w:val="20"/>
              </w:rPr>
              <w:t>Les financements innovants doivent être sécurisés par la soutenabilité, la transparence et des projets bancables.</w:t>
            </w:r>
          </w:p>
        </w:tc>
      </w:tr>
    </w:tbl>
    <w:p>
      <w:pPr>
        <w:pStyle w:val="Heading2"/>
      </w:pPr>
      <w:r>
        <w:t>Lecture climat et finance verte</w:t>
      </w:r>
    </w:p>
    <w:p>
      <w:r>
        <w:t>Le PCET fixe une vision claire : faire de Dakar, à l’horizon 2050, une ville intelligente et sobre en carbone pour un développement inclusif et résilient. Ses 7 axes et 22 actions couvrent la gestion des risques, l’aménagement sensible au climat, le cadre de vie, l’énergie, la mobilité bas carbone, l’économie circulaire, la gouvernance climatique et l’accès à la finance verte. Cette base documentaire justifie de faire de la transition écologique un programme transversal de la Ville, relié à la planification, au budget, aux indicateurs et au financement.</w:t>
      </w:r>
      <w:r>
        <w:rPr>
          <w:rStyle w:val="FootnoteReference"/>
        </w:rPr>
        <w:footnoteReference w:id="8"/>
      </w:r>
    </w:p>
    <w:p>
      <w:pPr>
        <w:pStyle w:val="ListBullet"/>
      </w:pPr>
      <w:r>
        <w:t>Le PCET prévoit une gouvernance comprenant un comité de pilotage, un comité technique et des unités spécialisées, notamment pour les bases de données climatiques, la mise en œuvre des actions et la finance verte.</w:t>
      </w:r>
    </w:p>
    <w:p>
      <w:pPr>
        <w:pStyle w:val="ListBullet"/>
      </w:pPr>
      <w:r>
        <w:t>Le dispositif de suivi repose sur une logique MRV : mesure, rapportage et vérification des émissions, des actions d’atténuation, de l’adaptation et des soutiens reçus.</w:t>
      </w:r>
    </w:p>
    <w:p>
      <w:pPr>
        <w:pStyle w:val="ListBullet"/>
      </w:pPr>
      <w:r>
        <w:t>La stratégie de financement insiste sur la préparation de projets bancables, la diversification des bailleurs, la mobilisation de fonds climat et la capacité municipale à documenter les résultats.</w:t>
      </w:r>
    </w:p>
    <w:p>
      <w:pPr>
        <w:pStyle w:val="ListBullet"/>
      </w:pPr>
      <w:r>
        <w:t>Le progiciel de suivi évoqué dans le PCET rejoint les recommandations du rapport sur la data room municipale, les tableaux de bord et la gouvernance des données.</w:t>
      </w:r>
    </w:p>
    <w:p>
      <w:pPr>
        <w:pStyle w:val="Heading2"/>
      </w:pPr>
      <w:r>
        <w:t>Lecture GAR, comptabilité et planification municipale</w:t>
      </w:r>
    </w:p>
    <w:p>
      <w:r>
        <w:t>Les guides GAR et les supports UEMOA permettent de donner une portée normative à une idée centrale des panels : Dakar doit passer d’un pilotage par moyens à un pilotage par résultats. Cette approche suppose une chaîne claire entre ressources, activités, extrants, effets et impacts ; elle exige aussi des indicateurs limités, fiables, suivis dans le temps et reliés aux décisions budgétaires.</w:t>
      </w:r>
      <w:r>
        <w:rPr>
          <w:rStyle w:val="FootnoteReference"/>
        </w:rPr>
        <w:footnoteReference w:id="9"/>
      </w:r>
    </w:p>
    <w:p>
      <w:r>
        <w:t>Les outils recommandés par la GAR – budget-programme, document de programmation pluriannuelle des dépenses, projet annuel de performance, rapport annuel de performance, plan de travail annuel, contrat annuel de performance et lettres de mission – peuvent inspirer une architecture municipale adaptée, progressive et réaliste.</w:t>
      </w:r>
    </w:p>
    <w:p>
      <w:r>
        <w:t>La présentation sur le système de planification de la Ville montre que la municipalité a déjà identifié plusieurs fragilités : déficit d’information entre directions, absence de méthodologie globale, inexistence d’un tableau de bord global des activités, faiblesse du suivi après les documents de planification et cloisonnement des services. La cellule de planification proposée doit donc être horizontale, agile, interdirectionnelle, orientée projets et reliée aux arbitrages de décision.</w:t>
      </w:r>
    </w:p>
    <w:p>
      <w:r>
        <w:t>La réforme comptable UEMOA complète cette lecture : transparence, comparabilité des données, rigueur budgétaire et qualité du reporting sont des conditions de crédibilité pour accéder à l’emprunt, négocier des PPP ou mobiliser des financements verts.</w:t>
      </w:r>
    </w:p>
    <w:p>
      <w:pPr>
        <w:pStyle w:val="Heading1"/>
      </w:pPr>
      <w:r>
        <w:t>Recommandation structurante : Plan stratégique Dakar 2035-2050</w:t>
      </w:r>
    </w:p>
    <w:p>
      <w:r>
        <w:t>La cohérence globale du rapport suppose une recommandation faîtière : doter la Ville de Dakar d’un Plan stratégique 2035-2050, conçu comme un agenda municipal de transformation. Ce plan ne doit pas être un document de plus ; il doit devenir le référentiel qui aligne la vision, les compétences, les ressources, les projets, les données, les finances, le PCET, le PNADT, l’Acte IV, le Code général des Collectivités locales et le budget-programme.</w:t>
      </w:r>
      <w:r>
        <w:rPr>
          <w:rStyle w:val="FootnoteReference"/>
        </w:rPr>
        <w:footnoteReference w:id="10"/>
      </w:r>
    </w:p>
    <w:p>
      <w:r>
        <w:t>Le Plan stratégique doit clarifier la trajectoire de Dakar comme capitale, ville-centre, métropole africaine, pôle territorial, ville résiliente et ville attractive. Il doit aussi traduire les documents de référence en priorités municipales : le PNADT pour le rôle territorial de Dakar, le PCET pour la transition écologique, l’Acte IV pour les compétences et la gouvernance, le Code des CL pour la ville et la mutualisation, le Budget 2024 pour la capacité financière, et la GAR pour le suivi des résultats.</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300"/>
        <w:gridCol w:w="3000"/>
        <w:gridCol w:w="4060"/>
      </w:tblGrid>
      <w:tr>
        <w:trPr>
          <w:tblHeader w:val="true"/>
        </w:trPr>
        <w:tc>
          <w:tcPr>
            <w:tcW w:type="dxa" w:w="23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Pilier du Plan stratégique</w:t>
            </w:r>
          </w:p>
        </w:tc>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Document à intégrer</w:t>
            </w:r>
          </w:p>
        </w:tc>
        <w:tc>
          <w:tcPr>
            <w:tcW w:type="dxa" w:w="40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Livrable attendu</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Vision métropolitaine</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Acte IV, Code des CL, PNADT</w:t>
            </w:r>
          </w:p>
        </w:tc>
        <w:tc>
          <w:tcPr>
            <w:tcW w:type="dxa" w:w="4060"/>
            <w:tcMar>
              <w:top w:w="80" w:type="dxa"/>
              <w:start w:w="120" w:type="dxa"/>
              <w:bottom w:w="80" w:type="dxa"/>
              <w:end w:w="120" w:type="dxa"/>
            </w:tcMar>
            <w:vAlign w:val="center"/>
          </w:tcPr>
          <w:p>
            <w:pPr>
              <w:spacing w:after="40" w:line="240" w:lineRule="auto" w:before="0"/>
            </w:pPr>
            <w:r>
              <w:rPr>
                <w:rFonts w:ascii="Calibri" w:hAnsi="Calibri"/>
                <w:color w:val="232323"/>
                <w:sz w:val="20"/>
              </w:rPr>
              <w:t>Position de Dakar sur son statut, ses compétences et ses fonctions métropolitaines.</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Programmation territoriale</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PNADT, système de planification municipal</w:t>
            </w:r>
          </w:p>
        </w:tc>
        <w:tc>
          <w:tcPr>
            <w:tcW w:type="dxa" w:w="4060"/>
            <w:tcMar>
              <w:top w:w="80" w:type="dxa"/>
              <w:start w:w="120" w:type="dxa"/>
              <w:bottom w:w="80" w:type="dxa"/>
              <w:end w:w="120" w:type="dxa"/>
            </w:tcMar>
            <w:vAlign w:val="center"/>
          </w:tcPr>
          <w:p>
            <w:pPr>
              <w:spacing w:after="40" w:line="240" w:lineRule="auto" w:before="0"/>
            </w:pPr>
            <w:r>
              <w:rPr>
                <w:rFonts w:ascii="Calibri" w:hAnsi="Calibri"/>
                <w:color w:val="232323"/>
                <w:sz w:val="20"/>
              </w:rPr>
              <w:t>Carte des priorités spatiales, projets structurants et fonctions d’échelle.</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Transition écologique</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PCET</w:t>
            </w:r>
          </w:p>
        </w:tc>
        <w:tc>
          <w:tcPr>
            <w:tcW w:type="dxa" w:w="4060"/>
            <w:tcMar>
              <w:top w:w="80" w:type="dxa"/>
              <w:start w:w="120" w:type="dxa"/>
              <w:bottom w:w="80" w:type="dxa"/>
              <w:end w:w="120" w:type="dxa"/>
            </w:tcMar>
            <w:vAlign w:val="center"/>
          </w:tcPr>
          <w:p>
            <w:pPr>
              <w:spacing w:after="40" w:line="240" w:lineRule="auto" w:before="0"/>
            </w:pPr>
            <w:r>
              <w:rPr>
                <w:rFonts w:ascii="Calibri" w:hAnsi="Calibri"/>
                <w:color w:val="232323"/>
                <w:sz w:val="20"/>
              </w:rPr>
              <w:t>Portefeuille de projets verts, dispositif MRV, finance climat et indicateurs de résilience.</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Performance publique</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GAR, UEMOA, réforme comptable</w:t>
            </w:r>
          </w:p>
        </w:tc>
        <w:tc>
          <w:tcPr>
            <w:tcW w:type="dxa" w:w="4060"/>
            <w:tcMar>
              <w:top w:w="80" w:type="dxa"/>
              <w:start w:w="120" w:type="dxa"/>
              <w:bottom w:w="80" w:type="dxa"/>
              <w:end w:w="120" w:type="dxa"/>
            </w:tcMar>
            <w:vAlign w:val="center"/>
          </w:tcPr>
          <w:p>
            <w:pPr>
              <w:spacing w:after="40" w:line="240" w:lineRule="auto" w:before="0"/>
            </w:pPr>
            <w:r>
              <w:rPr>
                <w:rFonts w:ascii="Calibri" w:hAnsi="Calibri"/>
                <w:color w:val="232323"/>
                <w:sz w:val="20"/>
              </w:rPr>
              <w:t>Budget-programme, tableau de bord, responsables de programme et rapport de performance.</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Réformes fiscales</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Budget 2024, CGI, Code des CL, protocole DGID</w:t>
            </w:r>
          </w:p>
        </w:tc>
        <w:tc>
          <w:tcPr>
            <w:tcW w:type="dxa" w:w="4060"/>
            <w:tcMar>
              <w:top w:w="80" w:type="dxa"/>
              <w:start w:w="120" w:type="dxa"/>
              <w:bottom w:w="80" w:type="dxa"/>
              <w:end w:w="120" w:type="dxa"/>
            </w:tcMar>
            <w:vAlign w:val="center"/>
          </w:tcPr>
          <w:p>
            <w:pPr>
              <w:spacing w:after="40" w:line="240" w:lineRule="auto" w:before="0"/>
            </w:pPr>
            <w:r>
              <w:rPr>
                <w:rFonts w:ascii="Calibri" w:hAnsi="Calibri"/>
                <w:color w:val="232323"/>
                <w:sz w:val="20"/>
              </w:rPr>
              <w:t>Cadastre fiscal, e-taxe, partage de données, fiscalité foncière et recettes urbaines modernes.</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Attractivité et histoire</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Supports panel 6, transcriptions, benchmark</w:t>
            </w:r>
          </w:p>
        </w:tc>
        <w:tc>
          <w:tcPr>
            <w:tcW w:type="dxa" w:w="4060"/>
            <w:tcMar>
              <w:top w:w="80" w:type="dxa"/>
              <w:start w:w="120" w:type="dxa"/>
              <w:bottom w:w="80" w:type="dxa"/>
              <w:end w:w="120" w:type="dxa"/>
            </w:tcMar>
            <w:vAlign w:val="center"/>
          </w:tcPr>
          <w:p>
            <w:pPr>
              <w:spacing w:after="40" w:line="240" w:lineRule="auto" w:before="0"/>
            </w:pPr>
            <w:r>
              <w:rPr>
                <w:rFonts w:ascii="Calibri" w:hAnsi="Calibri"/>
                <w:color w:val="232323"/>
                <w:sz w:val="20"/>
              </w:rPr>
              <w:t>Récit historique de Dakar, circuits culturels, Dakar Brand et observatoire d’attractivité.</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Capital humain</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Supports RH et fonction publique locale</w:t>
            </w:r>
          </w:p>
        </w:tc>
        <w:tc>
          <w:tcPr>
            <w:tcW w:type="dxa" w:w="4060"/>
            <w:tcMar>
              <w:top w:w="80" w:type="dxa"/>
              <w:start w:w="120" w:type="dxa"/>
              <w:bottom w:w="80" w:type="dxa"/>
              <w:end w:w="120" w:type="dxa"/>
            </w:tcMar>
            <w:vAlign w:val="center"/>
          </w:tcPr>
          <w:p>
            <w:pPr>
              <w:spacing w:after="40" w:line="240" w:lineRule="auto" w:before="0"/>
            </w:pPr>
            <w:r>
              <w:rPr>
                <w:rFonts w:ascii="Calibri" w:hAnsi="Calibri"/>
                <w:color w:val="232323"/>
                <w:sz w:val="20"/>
              </w:rPr>
              <w:t>Audit RH, GPEC, plan de formation et compétences pour conduire les projets.</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ARBITRAGE RECOMMANDÉ</w:t>
            </w:r>
          </w:p>
          <w:p>
            <w:pPr>
              <w:spacing w:after="40" w:line="252" w:lineRule="auto"/>
            </w:pPr>
            <w:r>
              <w:rPr>
                <w:sz w:val="20"/>
              </w:rPr>
              <w:t>Lancer le Plan stratégique Dakar 2035-2050 dans les six prochains mois, avec une note de cadrage courte, une équipe de rédaction, un calendrier de concertation et une validation politique. Ce plan doit devenir le document d’alignement de tous les programmes.</w:t>
            </w:r>
          </w:p>
        </w:tc>
      </w:tr>
    </w:tbl>
    <w:p>
      <w:pPr>
        <w:pStyle w:val="Heading1"/>
      </w:pPr>
      <w:r>
        <w:t>Diagnostic transversal de Dakar</w:t>
      </w:r>
    </w:p>
    <w:p>
      <w:pPr>
        <w:pStyle w:val="Heading2"/>
      </w:pPr>
      <w:r>
        <w:t>Les atouts</w:t>
      </w:r>
    </w:p>
    <w:p>
      <w:pPr>
        <w:pStyle w:val="ListBullet"/>
      </w:pPr>
      <w:r>
        <w:t>Une position géographique stratégique, ouverte sur l’Atlantique et historiquement tournée vers les échanges internationaux.</w:t>
      </w:r>
    </w:p>
    <w:p>
      <w:pPr>
        <w:pStyle w:val="ListBullet"/>
      </w:pPr>
      <w:r>
        <w:t>Une concentration des fonctions politiques, administratives, économiques, financières, culturelles, diplomatiques et universitaires.</w:t>
      </w:r>
    </w:p>
    <w:p>
      <w:pPr>
        <w:pStyle w:val="ListBullet"/>
      </w:pPr>
      <w:r>
        <w:t>Une expérience municipale importante, portée par des compétences administratives et techniques disposant d’une mémoire institutionnelle solide.</w:t>
      </w:r>
    </w:p>
    <w:p>
      <w:pPr>
        <w:pStyle w:val="ListBullet"/>
      </w:pPr>
      <w:r>
        <w:t>Des réseaux internationaux actifs, notamment dans les champs de la coopération décentralisée, du climat, de la francophonie et de la gouvernance urbaine.</w:t>
      </w:r>
    </w:p>
    <w:p>
      <w:pPr>
        <w:pStyle w:val="ListBullet"/>
      </w:pPr>
      <w:r>
        <w:t>Un patrimoine culturel, historique, sportif et mémoriel pouvant servir de base à une marque territoriale forte.</w:t>
      </w:r>
    </w:p>
    <w:p>
      <w:pPr>
        <w:pStyle w:val="ListBullet"/>
      </w:pPr>
      <w:r>
        <w:t>Un budget municipal significatif en valeur nominale et un potentiel fiscal encore sous-exploité.</w:t>
      </w:r>
    </w:p>
    <w:p>
      <w:pPr>
        <w:pStyle w:val="Heading2"/>
      </w:pPr>
      <w:r>
        <w:t>Les contraintes</w:t>
      </w:r>
    </w:p>
    <w:p>
      <w:pPr>
        <w:pStyle w:val="ListBullet"/>
      </w:pPr>
      <w:r>
        <w:t>Un statut institutionnel jugé imprécis, avec des contradictions et des chevauchements entre Ville, communes, État et agences.</w:t>
      </w:r>
    </w:p>
    <w:p>
      <w:pPr>
        <w:pStyle w:val="ListBullet"/>
      </w:pPr>
      <w:r>
        <w:t>Une fragmentation territoriale qui complique la planification, l’urbanisme, les services urbains et la mobilisation des ressources.</w:t>
      </w:r>
    </w:p>
    <w:p>
      <w:pPr>
        <w:pStyle w:val="ListBullet"/>
      </w:pPr>
      <w:r>
        <w:t>Une culture de pilotage par résultats encore insuffisamment institutionnalisée.</w:t>
      </w:r>
    </w:p>
    <w:p>
      <w:pPr>
        <w:pStyle w:val="ListBullet"/>
      </w:pPr>
      <w:r>
        <w:t>Une faible lisibilité des projets, programmes, indicateurs et impacts pour les citoyens et les partenaires.</w:t>
      </w:r>
    </w:p>
    <w:p>
      <w:pPr>
        <w:pStyle w:val="ListBullet"/>
      </w:pPr>
      <w:r>
        <w:t>Une dépendance persistante aux recettes fiscales classiques et à l’autofinancement, avec une faible mobilisation de financements externes structurants.</w:t>
      </w:r>
    </w:p>
    <w:p>
      <w:pPr>
        <w:pStyle w:val="ListBullet"/>
      </w:pPr>
      <w:r>
        <w:t>Des besoins urbains croissants liés à la densité, à la mobilité, aux déchets, à l’assainissement, au logement, au climat et à l’emploi.</w:t>
      </w:r>
    </w:p>
    <w:p>
      <w:pPr>
        <w:pStyle w:val="Heading2"/>
      </w:pPr>
      <w:r>
        <w:t>Les enjeux transversaux</w:t>
      </w:r>
    </w:p>
    <w:p>
      <w:r>
        <w:t>Le diagnostic général montre que Dakar ne manque pas d’atouts ; elle manque surtout d’un alignement complet entre son ambition métropolitaine, son statut, ses ressources, ses outils de pilotage et sa capacité opérationnelle. Le défi central est donc un défi d’intégration. Il s’agit de relier les réformes institutionnelles à la programmation budgétaire, les ressources fiscales aux investissements, le capital humain aux résultats, et le rayonnement international à l’amélioration réelle du cadre de vie.</w:t>
      </w:r>
    </w:p>
    <w:p>
      <w:r>
        <w:t>Cette intégration suppose de sortir de la gestion par silos. Le corpus met en évidence le cloisonnement entre directions et services, l’absence de tableau de bord global, la difficulté à connaître précisément le nombre de projets structurants en cours et la faible articulation entre planification, budget et évaluation. La Ville dispose de compétences internes importantes, mais elles doivent être organisées autour de programmes transversaux, dotés de responsables, d’indicateurs et de mécanismes de suivi.</w:t>
      </w:r>
    </w:p>
    <w:p>
      <w:r>
        <w:t>Le diagnostic montre également que la confiance est un enjeu central : confiance entre l’État et les collectivités, confiance entre la Ville et les communes, confiance entre l’administration et les citoyens, confiance entre la Ville et le secteur privé, confiance des agents dans leur institution. Cette confiance ne se décrète pas ; elle se construit par la transparence, la régularité du dialogue, la qualité des données, la clarté des responsabilités et la capacité à transformer les recommandations en actions visibles.</w:t>
      </w:r>
    </w:p>
    <w:p>
      <w:pPr>
        <w:pStyle w:val="Heading1"/>
      </w:pPr>
      <w:r>
        <w:t>Synthèse analytique des panels</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900"/>
        <w:gridCol w:w="3750"/>
        <w:gridCol w:w="4710"/>
      </w:tblGrid>
      <w:tr>
        <w:trPr>
          <w:tblHeader w:val="true"/>
        </w:trPr>
        <w:tc>
          <w:tcPr>
            <w:tcW w:type="dxa" w:w="9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Panel</w:t>
            </w:r>
          </w:p>
        </w:tc>
        <w:tc>
          <w:tcPr>
            <w:tcW w:type="dxa" w:w="375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Thème</w:t>
            </w:r>
          </w:p>
        </w:tc>
        <w:tc>
          <w:tcPr>
            <w:tcW w:type="dxa" w:w="471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Composition signalée dans les supports</w:t>
            </w:r>
          </w:p>
        </w:tc>
      </w:tr>
      <w:tr>
        <w:tc>
          <w:tcPr>
            <w:tcW w:type="dxa" w:w="900"/>
            <w:tcMar>
              <w:top w:w="80" w:type="dxa"/>
              <w:start w:w="120" w:type="dxa"/>
              <w:bottom w:w="80" w:type="dxa"/>
              <w:end w:w="120" w:type="dxa"/>
            </w:tcMar>
            <w:vAlign w:val="center"/>
          </w:tcPr>
          <w:p>
            <w:pPr>
              <w:spacing w:after="40" w:line="240" w:lineRule="auto" w:before="0"/>
            </w:pPr>
            <w:r>
              <w:rPr>
                <w:rFonts w:ascii="Calibri" w:hAnsi="Calibri"/>
                <w:color w:val="232323"/>
                <w:sz w:val="20"/>
              </w:rPr>
              <w:t>1</w:t>
            </w:r>
          </w:p>
        </w:tc>
        <w:tc>
          <w:tcPr>
            <w:tcW w:type="dxa" w:w="3750"/>
            <w:tcMar>
              <w:top w:w="80" w:type="dxa"/>
              <w:start w:w="120" w:type="dxa"/>
              <w:bottom w:w="80" w:type="dxa"/>
              <w:end w:w="120" w:type="dxa"/>
            </w:tcMar>
            <w:vAlign w:val="center"/>
          </w:tcPr>
          <w:p>
            <w:pPr>
              <w:spacing w:after="40" w:line="240" w:lineRule="auto" w:before="0"/>
            </w:pPr>
            <w:r>
              <w:rPr>
                <w:rFonts w:ascii="Calibri" w:hAnsi="Calibri"/>
                <w:color w:val="232323"/>
                <w:sz w:val="20"/>
              </w:rPr>
              <w:t>Pôles territoriaux, Acte IV, statut et repositionnement</w:t>
            </w:r>
          </w:p>
        </w:tc>
        <w:tc>
          <w:tcPr>
            <w:tcW w:type="dxa" w:w="4710"/>
            <w:tcMar>
              <w:top w:w="80" w:type="dxa"/>
              <w:start w:w="120" w:type="dxa"/>
              <w:bottom w:w="80" w:type="dxa"/>
              <w:end w:w="120" w:type="dxa"/>
            </w:tcMar>
            <w:vAlign w:val="center"/>
          </w:tcPr>
          <w:p>
            <w:pPr>
              <w:spacing w:after="40" w:line="240" w:lineRule="auto" w:before="0"/>
            </w:pPr>
            <w:r>
              <w:rPr>
                <w:rFonts w:ascii="Calibri" w:hAnsi="Calibri"/>
                <w:color w:val="232323"/>
                <w:sz w:val="20"/>
              </w:rPr>
              <w:t>Léopold Wade ; Abdou Birahim Diop / Daouda Thiandoum</w:t>
            </w:r>
          </w:p>
        </w:tc>
      </w:tr>
      <w:tr>
        <w:tc>
          <w:tcPr>
            <w:tcW w:type="dxa" w:w="900"/>
            <w:tcMar>
              <w:top w:w="80" w:type="dxa"/>
              <w:start w:w="120" w:type="dxa"/>
              <w:bottom w:w="80" w:type="dxa"/>
              <w:end w:w="120" w:type="dxa"/>
            </w:tcMar>
            <w:vAlign w:val="center"/>
          </w:tcPr>
          <w:p>
            <w:pPr>
              <w:spacing w:after="40" w:line="240" w:lineRule="auto" w:before="0"/>
            </w:pPr>
            <w:r>
              <w:rPr>
                <w:rFonts w:ascii="Calibri" w:hAnsi="Calibri"/>
                <w:color w:val="232323"/>
                <w:sz w:val="20"/>
              </w:rPr>
              <w:t>2</w:t>
            </w:r>
          </w:p>
        </w:tc>
        <w:tc>
          <w:tcPr>
            <w:tcW w:type="dxa" w:w="3750"/>
            <w:tcMar>
              <w:top w:w="80" w:type="dxa"/>
              <w:start w:w="120" w:type="dxa"/>
              <w:bottom w:w="80" w:type="dxa"/>
              <w:end w:w="120" w:type="dxa"/>
            </w:tcMar>
            <w:vAlign w:val="center"/>
          </w:tcPr>
          <w:p>
            <w:pPr>
              <w:spacing w:after="40" w:line="240" w:lineRule="auto" w:before="0"/>
            </w:pPr>
            <w:r>
              <w:rPr>
                <w:rFonts w:ascii="Calibri" w:hAnsi="Calibri"/>
                <w:color w:val="232323"/>
                <w:sz w:val="20"/>
              </w:rPr>
              <w:t>Gouvernance municipale et GAR</w:t>
            </w:r>
          </w:p>
        </w:tc>
        <w:tc>
          <w:tcPr>
            <w:tcW w:type="dxa" w:w="4710"/>
            <w:tcMar>
              <w:top w:w="80" w:type="dxa"/>
              <w:start w:w="120" w:type="dxa"/>
              <w:bottom w:w="80" w:type="dxa"/>
              <w:end w:w="120" w:type="dxa"/>
            </w:tcMar>
            <w:vAlign w:val="center"/>
          </w:tcPr>
          <w:p>
            <w:pPr>
              <w:spacing w:after="40" w:line="240" w:lineRule="auto" w:before="0"/>
            </w:pPr>
            <w:r>
              <w:rPr>
                <w:rFonts w:ascii="Calibri" w:hAnsi="Calibri"/>
                <w:color w:val="232323"/>
                <w:sz w:val="20"/>
              </w:rPr>
              <w:t>Khadim Ndiaye ; Mame Aissatou Mbaye Sy ; Mamadou Diouf / Serigne Mansour Tall</w:t>
            </w:r>
          </w:p>
        </w:tc>
      </w:tr>
      <w:tr>
        <w:tc>
          <w:tcPr>
            <w:tcW w:type="dxa" w:w="900"/>
            <w:tcMar>
              <w:top w:w="80" w:type="dxa"/>
              <w:start w:w="120" w:type="dxa"/>
              <w:bottom w:w="80" w:type="dxa"/>
              <w:end w:w="120" w:type="dxa"/>
            </w:tcMar>
            <w:vAlign w:val="center"/>
          </w:tcPr>
          <w:p>
            <w:pPr>
              <w:spacing w:after="40" w:line="240" w:lineRule="auto" w:before="0"/>
            </w:pPr>
            <w:r>
              <w:rPr>
                <w:rFonts w:ascii="Calibri" w:hAnsi="Calibri"/>
                <w:color w:val="232323"/>
                <w:sz w:val="20"/>
              </w:rPr>
              <w:t>3</w:t>
            </w:r>
          </w:p>
        </w:tc>
        <w:tc>
          <w:tcPr>
            <w:tcW w:type="dxa" w:w="3750"/>
            <w:tcMar>
              <w:top w:w="80" w:type="dxa"/>
              <w:start w:w="120" w:type="dxa"/>
              <w:bottom w:w="80" w:type="dxa"/>
              <w:end w:w="120" w:type="dxa"/>
            </w:tcMar>
            <w:vAlign w:val="center"/>
          </w:tcPr>
          <w:p>
            <w:pPr>
              <w:spacing w:after="40" w:line="240" w:lineRule="auto" w:before="0"/>
            </w:pPr>
            <w:r>
              <w:rPr>
                <w:rFonts w:ascii="Calibri" w:hAnsi="Calibri"/>
                <w:color w:val="232323"/>
                <w:sz w:val="20"/>
              </w:rPr>
              <w:t>Mobilisation des ressources locales</w:t>
            </w:r>
          </w:p>
        </w:tc>
        <w:tc>
          <w:tcPr>
            <w:tcW w:type="dxa" w:w="4710"/>
            <w:tcMar>
              <w:top w:w="80" w:type="dxa"/>
              <w:start w:w="120" w:type="dxa"/>
              <w:bottom w:w="80" w:type="dxa"/>
              <w:end w:w="120" w:type="dxa"/>
            </w:tcMar>
            <w:vAlign w:val="center"/>
          </w:tcPr>
          <w:p>
            <w:pPr>
              <w:spacing w:after="40" w:line="240" w:lineRule="auto" w:before="0"/>
            </w:pPr>
            <w:r>
              <w:rPr>
                <w:rFonts w:ascii="Calibri" w:hAnsi="Calibri"/>
                <w:color w:val="232323"/>
                <w:sz w:val="20"/>
              </w:rPr>
              <w:t>Aïssatou Gueye ; Mamadou Diop / Mounirou Ndiaye</w:t>
            </w:r>
          </w:p>
        </w:tc>
      </w:tr>
      <w:tr>
        <w:tc>
          <w:tcPr>
            <w:tcW w:type="dxa" w:w="900"/>
            <w:tcMar>
              <w:top w:w="80" w:type="dxa"/>
              <w:start w:w="120" w:type="dxa"/>
              <w:bottom w:w="80" w:type="dxa"/>
              <w:end w:w="120" w:type="dxa"/>
            </w:tcMar>
            <w:vAlign w:val="center"/>
          </w:tcPr>
          <w:p>
            <w:pPr>
              <w:spacing w:after="40" w:line="240" w:lineRule="auto" w:before="0"/>
            </w:pPr>
            <w:r>
              <w:rPr>
                <w:rFonts w:ascii="Calibri" w:hAnsi="Calibri"/>
                <w:color w:val="232323"/>
                <w:sz w:val="20"/>
              </w:rPr>
              <w:t>4</w:t>
            </w:r>
          </w:p>
        </w:tc>
        <w:tc>
          <w:tcPr>
            <w:tcW w:type="dxa" w:w="3750"/>
            <w:tcMar>
              <w:top w:w="80" w:type="dxa"/>
              <w:start w:w="120" w:type="dxa"/>
              <w:bottom w:w="80" w:type="dxa"/>
              <w:end w:w="120" w:type="dxa"/>
            </w:tcMar>
            <w:vAlign w:val="center"/>
          </w:tcPr>
          <w:p>
            <w:pPr>
              <w:spacing w:after="40" w:line="240" w:lineRule="auto" w:before="0"/>
            </w:pPr>
            <w:r>
              <w:rPr>
                <w:rFonts w:ascii="Calibri" w:hAnsi="Calibri"/>
                <w:color w:val="232323"/>
                <w:sz w:val="20"/>
              </w:rPr>
              <w:t>PPP, finance climat et financements innovants</w:t>
            </w:r>
          </w:p>
        </w:tc>
        <w:tc>
          <w:tcPr>
            <w:tcW w:type="dxa" w:w="4710"/>
            <w:tcMar>
              <w:top w:w="80" w:type="dxa"/>
              <w:start w:w="120" w:type="dxa"/>
              <w:bottom w:w="80" w:type="dxa"/>
              <w:end w:w="120" w:type="dxa"/>
            </w:tcMar>
            <w:vAlign w:val="center"/>
          </w:tcPr>
          <w:p>
            <w:pPr>
              <w:spacing w:after="40" w:line="240" w:lineRule="auto" w:before="0"/>
            </w:pPr>
            <w:r>
              <w:rPr>
                <w:rFonts w:ascii="Calibri" w:hAnsi="Calibri"/>
                <w:color w:val="232323"/>
                <w:sz w:val="20"/>
              </w:rPr>
              <w:t>Amadou Bassirou Ba ; Al Hassan Diop ; Khadi Dia Sarr annoncée / Birame Owens Ndiaye</w:t>
            </w:r>
          </w:p>
        </w:tc>
      </w:tr>
      <w:tr>
        <w:tc>
          <w:tcPr>
            <w:tcW w:type="dxa" w:w="900"/>
            <w:tcMar>
              <w:top w:w="80" w:type="dxa"/>
              <w:start w:w="120" w:type="dxa"/>
              <w:bottom w:w="80" w:type="dxa"/>
              <w:end w:w="120" w:type="dxa"/>
            </w:tcMar>
            <w:vAlign w:val="center"/>
          </w:tcPr>
          <w:p>
            <w:pPr>
              <w:spacing w:after="40" w:line="240" w:lineRule="auto" w:before="0"/>
            </w:pPr>
            <w:r>
              <w:rPr>
                <w:rFonts w:ascii="Calibri" w:hAnsi="Calibri"/>
                <w:color w:val="232323"/>
                <w:sz w:val="20"/>
              </w:rPr>
              <w:t>5</w:t>
            </w:r>
          </w:p>
        </w:tc>
        <w:tc>
          <w:tcPr>
            <w:tcW w:type="dxa" w:w="3750"/>
            <w:tcMar>
              <w:top w:w="80" w:type="dxa"/>
              <w:start w:w="120" w:type="dxa"/>
              <w:bottom w:w="80" w:type="dxa"/>
              <w:end w:w="120" w:type="dxa"/>
            </w:tcMar>
            <w:vAlign w:val="center"/>
          </w:tcPr>
          <w:p>
            <w:pPr>
              <w:spacing w:after="40" w:line="240" w:lineRule="auto" w:before="0"/>
            </w:pPr>
            <w:r>
              <w:rPr>
                <w:rFonts w:ascii="Calibri" w:hAnsi="Calibri"/>
                <w:color w:val="232323"/>
                <w:sz w:val="20"/>
              </w:rPr>
              <w:t>Capital humain municipal</w:t>
            </w:r>
          </w:p>
        </w:tc>
        <w:tc>
          <w:tcPr>
            <w:tcW w:type="dxa" w:w="4710"/>
            <w:tcMar>
              <w:top w:w="80" w:type="dxa"/>
              <w:start w:w="120" w:type="dxa"/>
              <w:bottom w:w="80" w:type="dxa"/>
              <w:end w:w="120" w:type="dxa"/>
            </w:tcMar>
            <w:vAlign w:val="center"/>
          </w:tcPr>
          <w:p>
            <w:pPr>
              <w:spacing w:after="40" w:line="240" w:lineRule="auto" w:before="0"/>
            </w:pPr>
            <w:r>
              <w:rPr>
                <w:rFonts w:ascii="Calibri" w:hAnsi="Calibri"/>
                <w:color w:val="232323"/>
                <w:sz w:val="20"/>
              </w:rPr>
              <w:t>Alioune Kébé ; Dieynaba Guirassy ; Mouhamed Diop / Abdoulaye Cissé</w:t>
            </w:r>
          </w:p>
        </w:tc>
      </w:tr>
      <w:tr>
        <w:tc>
          <w:tcPr>
            <w:tcW w:type="dxa" w:w="900"/>
            <w:tcMar>
              <w:top w:w="80" w:type="dxa"/>
              <w:start w:w="120" w:type="dxa"/>
              <w:bottom w:w="80" w:type="dxa"/>
              <w:end w:w="120" w:type="dxa"/>
            </w:tcMar>
            <w:vAlign w:val="center"/>
          </w:tcPr>
          <w:p>
            <w:pPr>
              <w:spacing w:after="40" w:line="240" w:lineRule="auto" w:before="0"/>
            </w:pPr>
            <w:r>
              <w:rPr>
                <w:rFonts w:ascii="Calibri" w:hAnsi="Calibri"/>
                <w:color w:val="232323"/>
                <w:sz w:val="20"/>
              </w:rPr>
              <w:t>6</w:t>
            </w:r>
          </w:p>
        </w:tc>
        <w:tc>
          <w:tcPr>
            <w:tcW w:type="dxa" w:w="3750"/>
            <w:tcMar>
              <w:top w:w="80" w:type="dxa"/>
              <w:start w:w="120" w:type="dxa"/>
              <w:bottom w:w="80" w:type="dxa"/>
              <w:end w:w="120" w:type="dxa"/>
            </w:tcMar>
            <w:vAlign w:val="center"/>
          </w:tcPr>
          <w:p>
            <w:pPr>
              <w:spacing w:after="40" w:line="240" w:lineRule="auto" w:before="0"/>
            </w:pPr>
            <w:r>
              <w:rPr>
                <w:rFonts w:ascii="Calibri" w:hAnsi="Calibri"/>
                <w:color w:val="232323"/>
                <w:sz w:val="20"/>
              </w:rPr>
              <w:t>Rayonnement international et attractivité</w:t>
            </w:r>
          </w:p>
        </w:tc>
        <w:tc>
          <w:tcPr>
            <w:tcW w:type="dxa" w:w="4710"/>
            <w:tcMar>
              <w:top w:w="80" w:type="dxa"/>
              <w:start w:w="120" w:type="dxa"/>
              <w:bottom w:w="80" w:type="dxa"/>
              <w:end w:w="120" w:type="dxa"/>
            </w:tcMar>
            <w:vAlign w:val="center"/>
          </w:tcPr>
          <w:p>
            <w:pPr>
              <w:spacing w:after="40" w:line="240" w:lineRule="auto" w:before="0"/>
            </w:pPr>
            <w:r>
              <w:rPr>
                <w:rFonts w:ascii="Calibri" w:hAnsi="Calibri"/>
                <w:color w:val="232323"/>
                <w:sz w:val="20"/>
              </w:rPr>
              <w:t>Rokhaya Sy Gaye ; Papa Ngor Thiao annoncé ; Amadou Sène Niang / Maye Seck</w:t>
            </w:r>
          </w:p>
        </w:tc>
      </w:tr>
    </w:tbl>
    <w:p>
      <w:pPr>
        <w:pStyle w:val="Heading2"/>
      </w:pPr>
      <w:r>
        <w:t>Panel 1 – La Ville de Dakar à l’épreuve des réformes des pôles territoriaux et de l’Acte IV</w:t>
      </w:r>
    </w:p>
    <w:p>
      <w:r>
        <w:t>La composition du panel est rappelée dans le tableau de synthèse ci-dessus. L’analyse ci-après est présentée par thèmes afin de maintenir un traitement institutionnel et non personnalisé.</w:t>
      </w:r>
    </w:p>
    <w:p>
      <w:pPr>
        <w:pStyle w:val="Heading3"/>
      </w:pPr>
      <w:r>
        <w:t>Problématique</w:t>
      </w:r>
    </w:p>
    <w:p>
      <w:r>
        <w:t>Le premier panel a posé la question du repositionnement stratégique de Dakar dans la réforme territoriale en cours. Il a interrogé la notion de ville au Sénégal, le statut juridique de Dakar, la relation avec les communes, la place de la capitale dans le futur pôle territorial ouest et les conditions d’un leadership métropolitain efficace.</w:t>
      </w:r>
    </w:p>
    <w:p>
      <w:pPr>
        <w:pStyle w:val="Heading3"/>
      </w:pPr>
      <w:r>
        <w:t>Analyse</w:t>
      </w:r>
    </w:p>
    <w:p>
      <w:r>
        <w:t>L’une des idées fortes du panel est que le statut actuel de la Ville comporte des ambiguïtés. La ville est décrite à la fois comme structure de coopération intercommunale et comme commune, tandis que certaines compétences se recoupent avec celles des communes. Cette situation crée des incertitudes pratiques, notamment en matière de lotissement, d’urbanisme, de voirie, de santé, de fiscalité et de services urbains.</w:t>
      </w:r>
    </w:p>
    <w:p>
      <w:r>
        <w:t>L’analyse historique de la décentralisation montre que chaque réforme répond à des insuffisances du modèle précédent, mais peut également produire de nouveaux déséquilibres lorsque les concepts ne sont pas stabilisés. L’inversion opérée par l’Acte III, qui fait de la Ville une résultante des communes plutôt qu’un centre de commandement métropolitain, est identifiée comme une source de fragilité.</w:t>
      </w:r>
    </w:p>
    <w:p>
      <w:r>
        <w:t>La lecture opérationnelle du panel souligne les pertes de compétences subies par la Ville, notamment en urbanisme, les difficultés de coordination avec les communes et les incohérences entre échelles de planification et échelles de décision. L’exemple de la voirie, des permis de construire ou des services concessionnaires montre que la fragmentation territoriale peut réduire l’efficacité de l’action publique.</w:t>
      </w:r>
    </w:p>
    <w:p>
      <w:r>
        <w:t>Le panel a également ouvert un débat comparatif. Plusieurs modèles de gestion des capitales africaines ont été évoqués : district autonome, ville-collectivité, gestion technique professionnalisée. Cette comparaison invite Dakar à choisir un modèle adapté à sa vocation de capitale, sans copier mécaniquement d’autres expériences. La question n’est pas seulement institutionnelle ; elle touche la démocratie locale, la performance administrative et la sécurité des investissements.</w:t>
      </w:r>
    </w:p>
    <w:p>
      <w:r>
        <w:t>Le panel conclut que Dakar doit être repositionnée comme pivot du pôle métropolitain intégré et moteur de la Vision Sénégal 2050. Ce repositionnement suppose de clarifier les compétences, de formaliser les relations Ville-communes, de consolider le rôle de coordination de la Ville, d’améliorer l’ingénierie territoriale et d’inscrire les investissements dans une programmation pluriannuelle robuste.</w:t>
      </w:r>
      <w:r>
        <w:rPr>
          <w:rStyle w:val="FootnoteReference"/>
        </w:rPr>
        <w:footnoteReference w:id="17"/>
      </w:r>
    </w:p>
    <w:tbl>
      <w:tblPr>
        <w:tblW w:type="auto" w:w="0"/>
        <w:tblLayout w:type="fixed"/>
        <w:tblLook w:firstColumn="1" w:firstRow="1" w:lastColumn="0" w:lastRow="0" w:noHBand="0" w:noVBand="1" w:val="04A0"/>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216"/>
            <w:tcMar>
              <w:top w:w="120" w:type="dxa"/>
              <w:start w:w="120" w:type="dxa"/>
              <w:bottom w:w="120" w:type="dxa"/>
              <w:end w:w="120" w:type="dxa"/>
            </w:tcMar>
            <w:shd w:fill="F2F6FA" w:val="clear" w:color="auto"/>
          </w:tcPr>
          <w:p>
            <w:pPr>
              <w:spacing w:after="40" w:line="252" w:lineRule="auto"/>
            </w:pPr>
            <w:r>
              <w:rPr>
                <w:b/>
                <w:color w:val="1F4E79"/>
                <w:sz w:val="20"/>
              </w:rPr>
            </w:r>
            <w:r>
              <w:rPr>
                <w:b/>
                <w:color w:val="1F4E79"/>
                <w:sz w:val="20"/>
              </w:rPr>
              <w:t>PAROLE DES DISCUSSIONS</w:t>
            </w:r>
          </w:p>
          <w:p>
            <w:pPr>
              <w:spacing w:after="40" w:line="252" w:lineRule="auto"/>
            </w:pPr>
            <w:r>
              <w:rPr>
                <w:i/>
                <w:sz w:val="20"/>
              </w:rPr>
              <w:t>« Les pôles viennent pour compléter. On n’aimerait pas qu’ils deviennent une superposition de structures. L’avenir de nos communes, c’est l’intercommunalité. »</w:t>
            </w:r>
          </w:p>
          <w:p>
            <w:pPr>
              <w:spacing w:after="40" w:line="252" w:lineRule="auto"/>
              <w:jc w:val="right"/>
            </w:pPr>
            <w:r>
              <w:rPr>
                <w:i/>
                <w:sz w:val="20"/>
              </w:rPr>
              <w:t>Extrait des échanges, transcription nettoyée.</w:t>
            </w:r>
          </w:p>
        </w:tc>
      </w:tr>
    </w:tbl>
    <w:p>
      <w:pPr>
        <w:pStyle w:val="Heading3"/>
      </w:pPr>
      <w:r>
        <w:t>Messages clés</w:t>
      </w:r>
    </w:p>
    <w:p>
      <w:pPr>
        <w:pStyle w:val="ListBullet"/>
      </w:pPr>
      <w:r>
        <w:t>Le statut juridique de Dakar doit être clarifié pour correspondre à sa vocation de capitale et de métropole.</w:t>
      </w:r>
    </w:p>
    <w:p>
      <w:pPr>
        <w:pStyle w:val="ListBullet"/>
      </w:pPr>
      <w:r>
        <w:t>L’Acte IV doit corriger les chevauchements de compétences et éviter la création d’une nouvelle strate institutionnelle floue.</w:t>
      </w:r>
    </w:p>
    <w:p>
      <w:pPr>
        <w:pStyle w:val="ListBullet"/>
      </w:pPr>
      <w:r>
        <w:t>Dakar doit être locomotive du pôle territorial ouest, sans entrer en concurrence avec les communes qui la composent.</w:t>
      </w:r>
    </w:p>
    <w:p>
      <w:pPr>
        <w:pStyle w:val="ListBullet"/>
      </w:pPr>
      <w:r>
        <w:t>Le leadership métropolitain doit être institutionnalisé, outillé et adossé à des données territoriales fiables.</w:t>
      </w:r>
    </w:p>
    <w:p>
      <w:pPr>
        <w:pStyle w:val="Heading3"/>
      </w:pPr>
      <w:r>
        <w:t>Recommandations issues du panel</w:t>
      </w:r>
    </w:p>
    <w:p>
      <w:pPr>
        <w:pStyle w:val="ListBullet"/>
      </w:pPr>
      <w:r>
        <w:t>Engager un plaidoyer pour un statut particulier ou spécial de Dakar.</w:t>
      </w:r>
    </w:p>
    <w:p>
      <w:pPr>
        <w:pStyle w:val="ListBullet"/>
      </w:pPr>
      <w:r>
        <w:t>Clarifier les blocs de compétences entre État, Ville, communes et pôles.</w:t>
      </w:r>
    </w:p>
    <w:p>
      <w:pPr>
        <w:pStyle w:val="ListBullet"/>
      </w:pPr>
      <w:r>
        <w:t>Créer des mécanismes formels d’arbitrage et de coordination métropolitaine.</w:t>
      </w:r>
    </w:p>
    <w:p>
      <w:pPr>
        <w:pStyle w:val="ListBullet"/>
      </w:pPr>
      <w:r>
        <w:t>Mettre en place des outils de planification intégrée : SIG, schémas directeurs, programmation pluriannuelle.</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LECTURE INSTITUTIONNELLE</w:t>
            </w:r>
          </w:p>
          <w:p>
            <w:pPr>
              <w:spacing w:after="40" w:line="252" w:lineRule="auto"/>
            </w:pPr>
            <w:r>
              <w:rPr>
                <w:sz w:val="20"/>
              </w:rPr>
              <w:t>Ce panel apporte une pièce au même puzzle : transformer Dakar suppose de relier statut, gouvernance, ressources, capital humain et attractivité dans une stratégie unique, mesurable et portée politiquement.</w:t>
            </w:r>
          </w:p>
        </w:tc>
      </w:tr>
    </w:tbl>
    <w:p>
      <w:pPr>
        <w:pStyle w:val="Heading2"/>
      </w:pPr>
      <w:r>
        <w:t>Panel 2 – Réforme de la gouvernance municipale et gestion axée sur les résultats</w:t>
      </w:r>
    </w:p>
    <w:p>
      <w:r>
        <w:t>La composition du panel est rappelée dans le tableau de synthèse ci-dessus. L’analyse ci-après est présentée par thèmes afin de maintenir un traitement institutionnel et non personnalisé.</w:t>
      </w:r>
    </w:p>
    <w:p>
      <w:pPr>
        <w:pStyle w:val="Heading3"/>
      </w:pPr>
      <w:r>
        <w:t>Problématique</w:t>
      </w:r>
    </w:p>
    <w:p>
      <w:r>
        <w:t>Le deuxième panel a examiné la transition nécessaire d’une gouvernance municipale centrée sur les moyens vers une gouvernance orientée résultats. Il a mis en débat le budget-programme, les indicateurs, la transparence, la participation citoyenne, l’évaluation et la redevabilité.</w:t>
      </w:r>
    </w:p>
    <w:p>
      <w:pPr>
        <w:pStyle w:val="Heading3"/>
      </w:pPr>
      <w:r>
        <w:t>Analyse</w:t>
      </w:r>
    </w:p>
    <w:p>
      <w:r>
        <w:t>L’analyse budgétaire présentée dans le panel montre que le budget de Dakar, bien que significatif en valeur nominale, reste dominé par une logique administrative. Les ressources sont réparties par directions et lignes de dépenses plutôt que par programmes, objectifs et impacts. Le problème n’est donc pas seulement le montant du budget, mais sa structure et sa capacité à démontrer les résultats produits.</w:t>
      </w:r>
    </w:p>
    <w:p>
      <w:r>
        <w:t>La GAR a été présentée comme un basculement méthodologique : partir d’une vision, la décliner en programmes, associer chaque programme à des activités, produits, résultats et impacts, puis suivre ces éléments par des indicateurs. Dans cette logique, la dépense n’est plus seulement autorisée ; elle est justifiée par un effet attendu sur les populations.</w:t>
      </w:r>
    </w:p>
    <w:p>
      <w:r>
        <w:t>La dimension citoyenne de la GAR constitue un point central. Gouverner par les résultats signifie rendre l’information accessible, permettre le contrôle citoyen, organiser des moments de redevabilité et connecter les plans de développement aux budgets. Sans données désagrégées, actualisées et accessibles, les citoyens ne peuvent pas suivre les projets ni apprécier leur impact.</w:t>
      </w:r>
    </w:p>
    <w:p>
      <w:r>
        <w:t>Le panel a également souligné que la GAR n’est pas un outil purement technique. Elle est un instrument politique de crédibilité. Un maire ou une équipe municipale qui dispose de programmes, d’indicateurs et de bilans mesurables peut rendre compte de manière plus transparente. La GAR permet de passer des promesses aux preuves, des dépenses aux impacts, des projets isolés à une vision stratégique.</w:t>
      </w:r>
    </w:p>
    <w:p>
      <w:r>
        <w:t>La mise en place d’une cellule interdirectionnelle d’instruction, d’orientation et de suivi des projets a été proposée comme prérequis. Cette cellule permettrait de filtrer les projets, vérifier leur alignement, prioriser les investissements, suivre l’exécution et produire des informations utiles à la décision. Elle contribuerait aussi à préparer Dakar à l’accès aux financements externes, qui exigent transparence, certification et crédibilité financière.</w:t>
      </w:r>
    </w:p>
    <w:p>
      <w:pPr>
        <w:pStyle w:val="Heading3"/>
      </w:pPr>
      <w:r>
        <w:t>Messages clés</w:t>
      </w:r>
    </w:p>
    <w:p>
      <w:pPr>
        <w:pStyle w:val="ListBullet"/>
      </w:pPr>
      <w:r>
        <w:t>La GAR doit être institutionnalisée comme méthode de pilotage municipal.</w:t>
      </w:r>
    </w:p>
    <w:p>
      <w:pPr>
        <w:pStyle w:val="ListBullet"/>
      </w:pPr>
      <w:r>
        <w:t>Le budget de Dakar doit évoluer vers un budget-programme orienté impacts.</w:t>
      </w:r>
    </w:p>
    <w:p>
      <w:pPr>
        <w:pStyle w:val="ListBullet"/>
      </w:pPr>
      <w:r>
        <w:t>Les indicateurs doivent mesurer les transformations réelles pour les citoyens.</w:t>
      </w:r>
    </w:p>
    <w:p>
      <w:pPr>
        <w:pStyle w:val="ListBullet"/>
      </w:pPr>
      <w:r>
        <w:t>La transparence des données est une condition de participation, de confiance et de financement.</w:t>
      </w:r>
    </w:p>
    <w:p>
      <w:pPr>
        <w:pStyle w:val="Heading3"/>
      </w:pPr>
      <w:r>
        <w:t>Recommandations issues du panel</w:t>
      </w:r>
    </w:p>
    <w:p>
      <w:pPr>
        <w:pStyle w:val="ListBullet"/>
      </w:pPr>
      <w:r>
        <w:t>Créer une cellule GAR et grands projets au sein de la Ville.</w:t>
      </w:r>
    </w:p>
    <w:p>
      <w:pPr>
        <w:pStyle w:val="ListBullet"/>
      </w:pPr>
      <w:r>
        <w:t>Définir un noyau d’indicateurs stratégiques : mobilité, services de base, emploi, satisfaction citoyenne, cadre de vie.</w:t>
      </w:r>
    </w:p>
    <w:p>
      <w:pPr>
        <w:pStyle w:val="ListBullet"/>
      </w:pPr>
      <w:r>
        <w:t>Publier un rapport annuel de performance municipale.</w:t>
      </w:r>
    </w:p>
    <w:p>
      <w:pPr>
        <w:pStyle w:val="ListBullet"/>
      </w:pPr>
      <w:r>
        <w:t>Former les agents et élus à la planification, au suivi-évaluation et au budget-programme.</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LECTURE INSTITUTIONNELLE</w:t>
            </w:r>
          </w:p>
          <w:p>
            <w:pPr>
              <w:spacing w:after="40" w:line="252" w:lineRule="auto"/>
            </w:pPr>
            <w:r>
              <w:rPr>
                <w:sz w:val="20"/>
              </w:rPr>
              <w:t>Ce panel apporte une pièce au même puzzle : transformer Dakar suppose de relier statut, gouvernance, ressources, capital humain et attractivité dans une stratégie unique, mesurable et portée politiquement.</w:t>
            </w:r>
          </w:p>
        </w:tc>
      </w:tr>
    </w:tbl>
    <w:p>
      <w:pPr>
        <w:pStyle w:val="Heading2"/>
      </w:pPr>
      <w:r>
        <w:t>Panel 3 – Mobilisation des ressources locales et ingénierie financière</w:t>
      </w:r>
    </w:p>
    <w:p>
      <w:r>
        <w:t>La composition du panel est rappelée dans le tableau de synthèse ci-dessus. L’analyse ci-après est présentée par thèmes afin de maintenir un traitement institutionnel et non personnalisé.</w:t>
      </w:r>
    </w:p>
    <w:p>
      <w:pPr>
        <w:pStyle w:val="Heading3"/>
      </w:pPr>
      <w:r>
        <w:t>Problématique</w:t>
      </w:r>
    </w:p>
    <w:p>
      <w:r>
        <w:t>Le troisième panel a abordé l’autonomie fiscale durable et équitable de Dakar. Il a examiné la trajectoire fiscale de la Ville, les effets des réformes, les limites de l’assiette et du recouvrement, ainsi que les leviers d’optimisation des ressources propres.</w:t>
      </w:r>
    </w:p>
    <w:p>
      <w:pPr>
        <w:pStyle w:val="Heading3"/>
      </w:pPr>
      <w:r>
        <w:t>Analyse</w:t>
      </w:r>
    </w:p>
    <w:p>
      <w:r>
        <w:t>L’histoire fiscale de Dakar apparaît étroitement liée à son histoire institutionnelle. La création de la division des recettes municipales a constitué une innovation majeure, en renforçant l’ordonnancement local des recettes. Mais les réformes successives, notamment la fragmentation du territoire et la transformation de la patente en CEL, ont affecté la structure des ressources.</w:t>
      </w:r>
    </w:p>
    <w:p>
      <w:r>
        <w:t>L’analyse montre que la Ville génère des richesses importantes mais ne capte pas toujours les ressources correspondant à son potentiel. La fiscalité foncière demeure sous-exploitée alors que les constructions se multiplient. Les autorisations d’urbanisme, la gestion des déchets, les taxes de proximité, la publicité et le stationnement révèlent les liens entre compétences, assiette et recettes. Quand la compétence échappe à la Ville, la ressource devient difficile à maîtriser.</w:t>
      </w:r>
    </w:p>
    <w:p>
      <w:r>
        <w:t>Les défis d’optimisation sont clairement identifiés : faible civisme fiscal, centralisation de la chaîne fiscale, complexité des procédures, difficulté de recouvrement des petites cotes, absence de cadastre fiscal complet et besoin de modernisation des systèmes d’information. L’optimisation ne signifie pas seulement créer de nouveaux impôts ; elle consiste d’abord à mieux collecter ce qui existe déjà.</w:t>
      </w:r>
    </w:p>
    <w:p>
      <w:r>
        <w:t>La digitalisation apparaît comme un levier décisif. Des outils comme SIGUIL 2, les projets d’amélioration de la gestion foncière et les plateformes de paiement peuvent rapprocher le contribuable de l’administration fiscale. Le paiement mobile, les notifications, les bases de données géolocalisées et les moratoires numériques peuvent améliorer le rendement tout en réduisant les coûts de recouvrement.</w:t>
      </w:r>
    </w:p>
    <w:p>
      <w:r>
        <w:t>Le panel a enfin rappelé que l’autonomie financière ne se joue pas seulement du côté des recettes. L’utilisation optimale des ressources disponibles, la maîtrise de la dépense, l’analyse financière, les ratios d’exécution, la programmation pluriannuelle et la transparence budgétaire sont également des sources de ressources indirectes. Une dépense mieux orientée libère de la capacité d’investissement.</w:t>
      </w:r>
    </w:p>
    <w:p>
      <w:pPr>
        <w:pStyle w:val="Heading3"/>
      </w:pPr>
      <w:r>
        <w:t>Messages clés</w:t>
      </w:r>
    </w:p>
    <w:p>
      <w:pPr>
        <w:pStyle w:val="ListBullet"/>
      </w:pPr>
      <w:r>
        <w:t>L’autonomie fiscale de Dakar dépend de la clarification de son statut et de ses compétences.</w:t>
      </w:r>
    </w:p>
    <w:p>
      <w:pPr>
        <w:pStyle w:val="ListBullet"/>
      </w:pPr>
      <w:r>
        <w:t>La fiscalité foncière constitue un potentiel majeur mais insuffisamment exploité.</w:t>
      </w:r>
    </w:p>
    <w:p>
      <w:pPr>
        <w:pStyle w:val="ListBullet"/>
      </w:pPr>
      <w:r>
        <w:t>La digitalisation doit couvrir toute la chaîne : identification, assiette, liquidation, recouvrement et suivi.</w:t>
      </w:r>
    </w:p>
    <w:p>
      <w:pPr>
        <w:pStyle w:val="ListBullet"/>
      </w:pPr>
      <w:r>
        <w:t>La mobilisation des ressources doit être reliée à une vision pérenne dépassant les mandats électifs.</w:t>
      </w:r>
    </w:p>
    <w:p>
      <w:pPr>
        <w:pStyle w:val="Heading3"/>
      </w:pPr>
      <w:r>
        <w:t>Recommandations issues du panel</w:t>
      </w:r>
    </w:p>
    <w:p>
      <w:pPr>
        <w:pStyle w:val="ListBullet"/>
      </w:pPr>
      <w:r>
        <w:t>Moderniser et simplifier la fiscalité locale.</w:t>
      </w:r>
    </w:p>
    <w:p>
      <w:pPr>
        <w:pStyle w:val="ListBullet"/>
      </w:pPr>
      <w:r>
        <w:t>Élaborer une stratégie de mobilisation des ressources propres : assiette, recouvrement, utilisation.</w:t>
      </w:r>
    </w:p>
    <w:p>
      <w:pPr>
        <w:pStyle w:val="ListBullet"/>
      </w:pPr>
      <w:r>
        <w:t>Accélérer la digitalisation fiscale et la constitution d’un cadastre communal fiable.</w:t>
      </w:r>
    </w:p>
    <w:p>
      <w:pPr>
        <w:pStyle w:val="ListBullet"/>
      </w:pPr>
      <w:r>
        <w:t>Rénover le cadre juridico-institutionnel d’accès aux financements innovants.</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LECTURE INSTITUTIONNELLE</w:t>
            </w:r>
          </w:p>
          <w:p>
            <w:pPr>
              <w:spacing w:after="40" w:line="252" w:lineRule="auto"/>
            </w:pPr>
            <w:r>
              <w:rPr>
                <w:sz w:val="20"/>
              </w:rPr>
              <w:t>Ce panel apporte une pièce au même puzzle : transformer Dakar suppose de relier statut, gouvernance, ressources, capital humain et attractivité dans une stratégie unique, mesurable et portée politiquement.</w:t>
            </w:r>
          </w:p>
        </w:tc>
      </w:tr>
    </w:tbl>
    <w:p>
      <w:pPr>
        <w:pStyle w:val="Heading2"/>
      </w:pPr>
      <w:r>
        <w:t>Panel 4 – Financements innovants, PPP et finance climat</w:t>
      </w:r>
    </w:p>
    <w:p>
      <w:r>
        <w:t>La composition du panel est rappelée dans le tableau de synthèse ci-dessus. L’analyse ci-après est présentée par thèmes afin de maintenir un traitement institutionnel et non personnalisé.</w:t>
      </w:r>
    </w:p>
    <w:p>
      <w:pPr>
        <w:pStyle w:val="Heading3"/>
      </w:pPr>
      <w:r>
        <w:t>Problématique</w:t>
      </w:r>
    </w:p>
    <w:p>
      <w:r>
        <w:t>Le quatrième panel a interrogé les mécanismes permettant à Dakar de financer sa transformation urbaine au-delà des ressources ordinaires : PPP, finance climat, fonds verts, marchés financiers, valorisation du patrimoine et instruments de partage des risques.</w:t>
      </w:r>
    </w:p>
    <w:p>
      <w:pPr>
        <w:pStyle w:val="Heading3"/>
      </w:pPr>
      <w:r>
        <w:t>Analyse</w:t>
      </w:r>
    </w:p>
    <w:p>
      <w:r>
        <w:t>Les besoins de Dakar en infrastructures, services publics, adaptation climatique et équipements structurants dépassent les capacités budgétaires classiques. Les recettes fiscales et l’autofinancement demeurent nécessaires, mais ils ne suffisent pas pour répondre aux défis de mobilité, d’assainissement, de stationnement, de logement, de gestion du littoral, de reverdissement et de services urbains.</w:t>
      </w:r>
    </w:p>
    <w:p>
      <w:r>
        <w:t>Dakar est présentée comme un territoire à identité remarquable et à fort potentiel économique. Le pôle Dakar contribue fortement au PIB national et concentre des emplois, des projets et des actifs stratégiques. Pourtant, les collectivités territoriales apparaissent faiblement représentées comme catégorie autonome dans les financements mobilisés par l’État. Cette situation invite à construire des instruments dédiés au financement communal.</w:t>
      </w:r>
    </w:p>
    <w:p>
      <w:r>
        <w:t>L’idée d’une structure de type Dakar Financial Corporation ou Dakar Holding City a été mise en avant. Il s’agirait d’un véhicule de développement municipal capable de valoriser le patrimoine communal, notamment foncier, sans aliénation systématique. Des sociétés de projet pourraient être créées pour porter des investissements, associer des partenaires privés, mobiliser de la dette et organiser un partage des risques.</w:t>
      </w:r>
    </w:p>
    <w:p>
      <w:r>
        <w:t>Les PPP sont analysés comme un outil possible de développement des collectivités territoriales. Ils ne constituent pas une solution automatique ; ils supposent un cadre juridique, une expertise, une analyse des risques, une préparation technique et une gouvernance contractuelle solide. Des exemples comme la gare routière de Koudougou montrent que les PPP peuvent créer des revenus, améliorer les services et transférer des compétences si le modèle est bien conçu.</w:t>
      </w:r>
    </w:p>
    <w:p>
      <w:r>
        <w:t>La finance climat a aussi été abordée à travers les projets d’adaptation : écoquartiers, récupération des eaux pluviales, lutte contre l’érosion côtière, reverdissement urbain, réduction des îlots de chaleur et solutions fondées sur la nature. Ces projets produisent souvent des bénéfices sociaux et de long terme, alors que les financeurs recherchent parfois des retours monétisables à court terme. La Ville doit donc renforcer son assistance à la préparation de projets et utiliser des mécanismes de blended finance.</w:t>
      </w:r>
    </w:p>
    <w:p>
      <w:pPr>
        <w:pStyle w:val="Heading3"/>
      </w:pPr>
      <w:r>
        <w:t>Messages clés</w:t>
      </w:r>
    </w:p>
    <w:p>
      <w:pPr>
        <w:pStyle w:val="ListBullet"/>
      </w:pPr>
      <w:r>
        <w:t>Dakar doit structurer des projets bancables plutôt que présenter seulement des besoins.</w:t>
      </w:r>
    </w:p>
    <w:p>
      <w:pPr>
        <w:pStyle w:val="ListBullet"/>
      </w:pPr>
      <w:r>
        <w:t>Les PPP exigent une ingénierie contractuelle, financière et juridique forte.</w:t>
      </w:r>
    </w:p>
    <w:tbl>
      <w:tblPr>
        <w:tblW w:type="auto" w:w="0"/>
        <w:tblLayout w:type="fixed"/>
        <w:tblLook w:firstColumn="1" w:firstRow="1" w:lastColumn="0" w:lastRow="0" w:noHBand="0" w:noVBand="1" w:val="04A0"/>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216"/>
            <w:tcMar>
              <w:top w:w="120" w:type="dxa"/>
              <w:start w:w="120" w:type="dxa"/>
              <w:bottom w:w="120" w:type="dxa"/>
              <w:end w:w="120" w:type="dxa"/>
            </w:tcMar>
            <w:shd w:fill="F2F6FA" w:val="clear" w:color="auto"/>
          </w:tcPr>
          <w:p>
            <w:pPr>
              <w:spacing w:after="40" w:line="252" w:lineRule="auto"/>
            </w:pPr>
            <w:r>
              <w:rPr>
                <w:b/>
                <w:color w:val="1F4E79"/>
                <w:sz w:val="20"/>
              </w:rPr>
            </w:r>
            <w:r>
              <w:rPr>
                <w:b/>
                <w:color w:val="1F4E79"/>
                <w:sz w:val="20"/>
              </w:rPr>
              <w:t>PAROLE DES DISCUSSIONS</w:t>
            </w:r>
          </w:p>
          <w:p>
            <w:pPr>
              <w:spacing w:after="40" w:line="252" w:lineRule="auto"/>
            </w:pPr>
            <w:r>
              <w:rPr>
                <w:i/>
                <w:sz w:val="20"/>
              </w:rPr>
              <w:t>« Les partenaires privés ne sont pas des philanthropes. La Ville doit écrire le projet de sorte qu’un privé soit intéressé, et la Ville aura des retours. »</w:t>
            </w:r>
          </w:p>
          <w:p>
            <w:pPr>
              <w:spacing w:after="40" w:line="252" w:lineRule="auto"/>
              <w:jc w:val="right"/>
            </w:pPr>
            <w:r>
              <w:rPr>
                <w:i/>
                <w:sz w:val="20"/>
              </w:rPr>
              <w:t>Extrait des échanges, transcription nettoyée.</w:t>
            </w:r>
          </w:p>
        </w:tc>
      </w:tr>
    </w:tbl>
    <w:p>
      <w:pPr>
        <w:pStyle w:val="ListBullet"/>
      </w:pPr>
      <w:r>
        <w:t>La valorisation du patrimoine communal peut réduire la pression sur le budget direct.</w:t>
      </w:r>
    </w:p>
    <w:p>
      <w:pPr>
        <w:pStyle w:val="ListBullet"/>
      </w:pPr>
      <w:r>
        <w:t>La finance climat doit être connectée aux priorités urbaines : eaux pluviales, littoral, espaces verts, quartiers résilients.</w:t>
      </w:r>
    </w:p>
    <w:p>
      <w:pPr>
        <w:pStyle w:val="Heading3"/>
      </w:pPr>
      <w:r>
        <w:t>Recommandations issues du panel</w:t>
      </w:r>
    </w:p>
    <w:p>
      <w:pPr>
        <w:pStyle w:val="ListBullet"/>
      </w:pPr>
      <w:r>
        <w:t>Créer une structure dédiée à l’ingénierie financière territoriale.</w:t>
      </w:r>
    </w:p>
    <w:p>
      <w:pPr>
        <w:pStyle w:val="ListBullet"/>
      </w:pPr>
      <w:r>
        <w:t>Constituer un portefeuille priorisé de projets bancables.</w:t>
      </w:r>
    </w:p>
    <w:p>
      <w:pPr>
        <w:pStyle w:val="ListBullet"/>
      </w:pPr>
      <w:r>
        <w:t>Mettre en place une plateforme de dialogue public-privé.</w:t>
      </w:r>
    </w:p>
    <w:p>
      <w:pPr>
        <w:pStyle w:val="ListBullet"/>
      </w:pPr>
      <w:r>
        <w:t>Renforcer l’accès direct aux financements climat et aux fonds verts.</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LECTURE INSTITUTIONNELLE</w:t>
            </w:r>
          </w:p>
          <w:p>
            <w:pPr>
              <w:spacing w:after="40" w:line="252" w:lineRule="auto"/>
            </w:pPr>
            <w:r>
              <w:rPr>
                <w:sz w:val="20"/>
              </w:rPr>
              <w:t>Ce panel apporte une pièce au même puzzle : transformer Dakar suppose de relier statut, gouvernance, ressources, capital humain et attractivité dans une stratégie unique, mesurable et portée politiquement.</w:t>
            </w:r>
          </w:p>
        </w:tc>
      </w:tr>
    </w:tbl>
    <w:p>
      <w:pPr>
        <w:pStyle w:val="Heading2"/>
      </w:pPr>
      <w:r>
        <w:t>Panel 5 – Investir dans le capital humain municipal</w:t>
      </w:r>
    </w:p>
    <w:p>
      <w:r>
        <w:t>La composition du panel est rappelée dans le tableau de synthèse ci-dessus. L’analyse ci-après est présentée par thèmes afin de maintenir un traitement institutionnel et non personnalisé.</w:t>
      </w:r>
    </w:p>
    <w:p>
      <w:pPr>
        <w:pStyle w:val="Heading3"/>
      </w:pPr>
      <w:r>
        <w:t>Problématique</w:t>
      </w:r>
    </w:p>
    <w:p>
      <w:r>
        <w:t>Le cinquième panel a replacé les femmes et les hommes de l’administration municipale au centre de la performance territoriale. Il a interrogé la formation, la gestion des carrières, la GPEC, la digitalisation RH, la motivation, les conditions de travail et la capacité d’innovation.</w:t>
      </w:r>
    </w:p>
    <w:p>
      <w:pPr>
        <w:pStyle w:val="Heading3"/>
      </w:pPr>
      <w:r>
        <w:t>Analyse</w:t>
      </w:r>
    </w:p>
    <w:p>
      <w:r>
        <w:t>Les communications convergent vers une idée simple : le capital humain municipal n’est pas une charge, mais un investissement stratégique. Les infrastructures, les budgets, les plans et les réformes ne produisent des résultats que si les agents et les élus disposent des compétences, de la motivation, de l’organisation et de l’éthique nécessaires pour les mettre en œuvre.</w:t>
      </w:r>
    </w:p>
    <w:p>
      <w:r>
        <w:t>Le CNFPLF est présenté comme un instrument de professionnalisation de la fonction publique locale. Sa mission consiste à accompagner les collectivités en matière statutaire, de rémunération, d’actions sociales, de retraite et surtout de renforcement des compétences. Le panel souligne la nécessité d’une gestion stratégique et prévisionnelle des ressources humaines territoriales.</w:t>
      </w:r>
    </w:p>
    <w:p>
      <w:r>
        <w:t>La cartographie RH de la Ville met en évidence les effectifs, les statuts, les hiérarchies, l’ancienneté, l’organisation de la DRH, les défis et les perspectives. Elle confirme le passage nécessaire d’une administration du personnel centrée sur la conformité vers une fonction RH orientée compétences, gestion des talents, parcours professionnels et performance.</w:t>
      </w:r>
    </w:p>
    <w:p>
      <w:r>
        <w:t>La formation continue apparaît comme un levier d’adaptation des compétences aux enjeux urbains : numérisation, planification, résilience, gouvernance, leadership, éthique et innovation. L’EMPS, le CIFAL Dakar, le CEGLA et les réseaux de formation ouest-africains constituent des atouts institutionnels à consolider.</w:t>
      </w:r>
    </w:p>
    <w:p>
      <w:r>
        <w:t>Les échanges ont également fait émerger des préoccupations fortes : audit du personnel, digitalisation de la gestion RH, situation des volontaires, valorisation des acquis, foire interne aux postes, mobilité, revalorisation salariale, statut de l’élu local, inclusion des personnes à mobilité réduite et restauration du dialogue entre populations, agents et administration. Ces préoccupations montrent que la performance RH est à la fois technique, sociale et politique.</w:t>
      </w:r>
    </w:p>
    <w:p>
      <w:pPr>
        <w:pStyle w:val="Heading3"/>
      </w:pPr>
      <w:r>
        <w:t>Messages clés</w:t>
      </w:r>
    </w:p>
    <w:p>
      <w:pPr>
        <w:pStyle w:val="ListBullet"/>
      </w:pPr>
      <w:r>
        <w:t>Le capital humain est le premier actif stratégique de la Ville de Dakar.</w:t>
      </w:r>
    </w:p>
    <w:p>
      <w:pPr>
        <w:pStyle w:val="ListBullet"/>
      </w:pPr>
      <w:r>
        <w:t>La formation doit être inscrite dans une stratégie de développement territorial, et non traitée comme une dépense isolée.</w:t>
      </w:r>
    </w:p>
    <w:p>
      <w:pPr>
        <w:pStyle w:val="ListBullet"/>
      </w:pPr>
      <w:r>
        <w:t>La GPEC, la mobilité et la valorisation des acquis peuvent mieux aligner talents et besoins municipaux.</w:t>
      </w:r>
    </w:p>
    <w:p>
      <w:pPr>
        <w:pStyle w:val="ListBullet"/>
      </w:pPr>
      <w:r>
        <w:t>La motivation passe par la reconnaissance, les conditions de travail, la transparence et les perspectives de carrière.</w:t>
      </w:r>
    </w:p>
    <w:p>
      <w:pPr>
        <w:pStyle w:val="Heading3"/>
      </w:pPr>
      <w:r>
        <w:t>Recommandations issues du panel</w:t>
      </w:r>
    </w:p>
    <w:p>
      <w:pPr>
        <w:pStyle w:val="ListBullet"/>
      </w:pPr>
      <w:r>
        <w:t>Finaliser l’audit RH et élaborer une stratégie RH à long terme.</w:t>
      </w:r>
    </w:p>
    <w:p>
      <w:pPr>
        <w:pStyle w:val="ListBullet"/>
      </w:pPr>
      <w:r>
        <w:t>Mettre en place un plan de formation continue aligné sur les programmes prioritaires de la Ville.</w:t>
      </w:r>
    </w:p>
    <w:p>
      <w:pPr>
        <w:pStyle w:val="ListBullet"/>
      </w:pPr>
      <w:r>
        <w:t>Digitaliser la gestion RH et les données du personnel.</w:t>
      </w:r>
    </w:p>
    <w:p>
      <w:pPr>
        <w:pStyle w:val="ListBullet"/>
      </w:pPr>
      <w:r>
        <w:t>Créer des mécanismes de mobilité interne, de valorisation des acquis et d’innovation participative.</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LECTURE INSTITUTIONNELLE</w:t>
            </w:r>
          </w:p>
          <w:p>
            <w:pPr>
              <w:spacing w:after="40" w:line="252" w:lineRule="auto"/>
            </w:pPr>
            <w:r>
              <w:rPr>
                <w:sz w:val="20"/>
              </w:rPr>
              <w:t>Ce panel apporte une pièce au même puzzle : transformer Dakar suppose de relier statut, gouvernance, ressources, capital humain et attractivité dans une stratégie unique, mesurable et portée politiquement.</w:t>
            </w:r>
          </w:p>
        </w:tc>
      </w:tr>
    </w:tbl>
    <w:p>
      <w:pPr>
        <w:pStyle w:val="Heading2"/>
      </w:pPr>
      <w:r>
        <w:t>Panel 6 – Rayonnement international et attractivité de la Ville de Dakar</w:t>
      </w:r>
    </w:p>
    <w:p>
      <w:r>
        <w:t>La composition du panel est rappelée dans le tableau de synthèse ci-dessus. L’analyse ci-après est présentée par thèmes afin de maintenir un traitement institutionnel et non personnalisé.</w:t>
      </w:r>
    </w:p>
    <w:p>
      <w:pPr>
        <w:pStyle w:val="Heading3"/>
      </w:pPr>
      <w:r>
        <w:t>Problématique</w:t>
      </w:r>
    </w:p>
    <w:p>
      <w:r>
        <w:t>Le sixième panel a interrogé la capacité de Dakar à consolider son statut de ville mondiale, à renforcer sa marque territoriale, à attirer des investissements, des talents et des événements, et à transformer ses réseaux internationaux en leviers concrets de développement.</w:t>
      </w:r>
    </w:p>
    <w:p>
      <w:pPr>
        <w:pStyle w:val="Heading3"/>
      </w:pPr>
      <w:r>
        <w:t>Analyse</w:t>
      </w:r>
    </w:p>
    <w:p>
      <w:r>
        <w:t>Dakar dispose d’un héritage exceptionnel. Ancienne capitale de l’AOF, capitale politique du Sénégal, ville de culture, de mémoire, de diplomatie, de sport et de rencontres internationales, elle possède des atouts qui peuvent nourrir une stratégie de rayonnement. Son histoire, ses institutions, Gorée, la Biennale, les lieux culturels, la diplomatie urbaine et les JOJ 2026 constituent un capital symbolique considérable.</w:t>
      </w:r>
    </w:p>
    <w:p>
      <w:r>
        <w:t>Dakar est analysée comme une ville mondiale en devenir. Son appartenance à des réseaux tels que CGLU, C40, AIMF et d’autres plateformes de coopération décentralisée lui donne accès à des idées, des financements, des partenariats et une visibilité. Mais cette présence doit être mieux organisée : points focaux, initiatives visibles, portefeuille de projets et suivi des engagements.</w:t>
      </w:r>
    </w:p>
    <w:p>
      <w:r>
        <w:t>La stratégie d’attractivité suppose une vision claire. Dakar doit renforcer le sentiment d’appartenance de ses habitants et valoriser ses spécificités : îles, marchés, patrimoine, culture léboue, mémoire, gastronomie, créativité, sport et qualité de vie. La marque territoriale ne doit pas être un slogan ; elle doit exprimer une expérience urbaine.</w:t>
      </w:r>
    </w:p>
    <w:p>
      <w:r>
        <w:t>La modération a souligné la relation entre rayonnement et attractivité. Le rayonnement désigne ce que Dakar projette vers l’extérieur ; l’attractivité désigne ce que Dakar organise pour que l’extérieur vienne vers elle. Les deux dimensions se nourrissent. Une ville rayonne si elle est bien gouvernée, propre, sûre, accessible, connectée, verte, créative et capable d’accueillir des événements de qualité.</w:t>
      </w:r>
    </w:p>
    <w:p>
      <w:r>
        <w:t>Les défis restent importants : congestion, dégradation de certaines infrastructures, manque d’espaces verts, faible ouverture du front de mer, saturation des réseaux, insuffisance de marketing territorial, accords de coopération parfois peu opérationnels, perte de certains labels ou rendez-vous sportifs. La réponse doit être globale : masterplan, diplomatie territoriale, stratégie culturelle, événementiel, tourisme, smart city, résilience climatique et observatoire de l’attractivité.</w:t>
      </w:r>
    </w:p>
    <w:p>
      <w:pPr>
        <w:pStyle w:val="Heading3"/>
      </w:pPr>
      <w:r>
        <w:t>Messages clés</w:t>
      </w:r>
    </w:p>
    <w:p>
      <w:pPr>
        <w:pStyle w:val="ListBullet"/>
      </w:pPr>
      <w:r>
        <w:t>Dakar a les attributs d’une ville mondiale, mais son rayonnement doit être stratégiquement organisé.</w:t>
      </w:r>
    </w:p>
    <w:p>
      <w:pPr>
        <w:pStyle w:val="ListBullet"/>
      </w:pPr>
      <w:r>
        <w:t>La marque territoriale doit valoriser les atouts réels de Dakar et renforcer le sentiment d’appartenance.</w:t>
      </w:r>
    </w:p>
    <w:p>
      <w:pPr>
        <w:pStyle w:val="ListBullet"/>
      </w:pPr>
      <w:r>
        <w:t>Les partenariats internationaux doivent devenir plus pragmatiques, évalués et orientés projets.</w:t>
      </w:r>
    </w:p>
    <w:p>
      <w:pPr>
        <w:pStyle w:val="ListBullet"/>
      </w:pPr>
      <w:r>
        <w:t>Les JOJ 2026 doivent produire un héritage urbain, sportif, culturel et économique durable.</w:t>
      </w:r>
    </w:p>
    <w:p>
      <w:pPr>
        <w:pStyle w:val="Heading3"/>
      </w:pPr>
      <w:r>
        <w:t>Recommandations issues du panel</w:t>
      </w:r>
    </w:p>
    <w:p>
      <w:pPr>
        <w:pStyle w:val="ListBullet"/>
      </w:pPr>
      <w:r>
        <w:t>Créer ou renforcer une direction des relations internationales et de la coopération décentralisée.</w:t>
      </w:r>
    </w:p>
    <w:p>
      <w:pPr>
        <w:pStyle w:val="ListBullet"/>
      </w:pPr>
      <w:r>
        <w:t>Élaborer une stratégie de marque territoriale Dakar Brand.</w:t>
      </w:r>
    </w:p>
    <w:p>
      <w:pPr>
        <w:pStyle w:val="ListBullet"/>
      </w:pPr>
      <w:r>
        <w:t>Mettre en place un observatoire de l’attractivité territoriale.</w:t>
      </w:r>
    </w:p>
    <w:p>
      <w:pPr>
        <w:pStyle w:val="ListBullet"/>
      </w:pPr>
      <w:r>
        <w:t>Candidater à des événements internationaux et valoriser le patrimoine culturel, sportif et mémoriel.</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LECTURE INSTITUTIONNELLE</w:t>
            </w:r>
          </w:p>
          <w:p>
            <w:pPr>
              <w:spacing w:after="40" w:line="252" w:lineRule="auto"/>
            </w:pPr>
            <w:r>
              <w:rPr>
                <w:sz w:val="20"/>
              </w:rPr>
              <w:t>Ce panel apporte une pièce au même puzzle : transformer Dakar suppose de relier statut, gouvernance, ressources, capital humain et attractivité dans une stratégie unique, mesurable et portée politiquement.</w:t>
            </w:r>
          </w:p>
        </w:tc>
      </w:tr>
    </w:tbl>
    <w:p>
      <w:pPr>
        <w:pStyle w:val="Heading1"/>
      </w:pPr>
      <w:r>
        <w:t>Messages majeurs issus des débats</w:t>
      </w:r>
    </w:p>
    <w:p>
      <w:r>
        <w:t>Cette section restitue dix idées fortes issues des échanges. Les formulations ci-dessous sont volontairement stabilisées : elles ne reproduisent pas mécaniquement les transcriptions automatiques, mais en conservent l’esprit, les tensions et les propositions audacieuses. Elles permettent de rendre le rapport plus mémorable et plus fidèle à la dynamique des Journées scientifiques.</w:t>
      </w:r>
      <w:r>
        <w:rPr>
          <w:rStyle w:val="FootnoteReference"/>
        </w:rPr>
        <w:footnoteReference w:id="11"/>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300"/>
        <w:gridCol w:w="3850"/>
        <w:gridCol w:w="3210"/>
      </w:tblGrid>
      <w:tr>
        <w:trPr>
          <w:tblHeader w:val="true"/>
        </w:trPr>
        <w:tc>
          <w:tcPr>
            <w:tcW w:type="dxa" w:w="23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Message entendu</w:t>
            </w:r>
          </w:p>
        </w:tc>
        <w:tc>
          <w:tcPr>
            <w:tcW w:type="dxa" w:w="385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Idée forte reformulée</w:t>
            </w:r>
          </w:p>
        </w:tc>
        <w:tc>
          <w:tcPr>
            <w:tcW w:type="dxa" w:w="321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Conséquence pour le rapport</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Intercommunalité</w:t>
            </w:r>
          </w:p>
        </w:tc>
        <w:tc>
          <w:tcPr>
            <w:tcW w:type="dxa" w:w="3850"/>
            <w:tcMar>
              <w:top w:w="80" w:type="dxa"/>
              <w:start w:w="120" w:type="dxa"/>
              <w:bottom w:w="80" w:type="dxa"/>
              <w:end w:w="120" w:type="dxa"/>
            </w:tcMar>
            <w:vAlign w:val="center"/>
          </w:tcPr>
          <w:p>
            <w:pPr>
              <w:spacing w:after="40" w:line="240" w:lineRule="auto" w:before="0"/>
            </w:pPr>
            <w:r>
              <w:rPr>
                <w:rFonts w:ascii="Calibri" w:hAnsi="Calibri"/>
                <w:color w:val="232323"/>
                <w:sz w:val="20"/>
              </w:rPr>
              <w:t>L’avenir des communes de Dakar passe par la mutualisation et l’intercommunalité ; les pôles ne doivent pas devenir une strate supplémentaire.</w:t>
            </w:r>
          </w:p>
        </w:tc>
        <w:tc>
          <w:tcPr>
            <w:tcW w:type="dxa" w:w="3210"/>
            <w:tcMar>
              <w:top w:w="80" w:type="dxa"/>
              <w:start w:w="120" w:type="dxa"/>
              <w:bottom w:w="80" w:type="dxa"/>
              <w:end w:w="120" w:type="dxa"/>
            </w:tcMar>
            <w:vAlign w:val="center"/>
          </w:tcPr>
          <w:p>
            <w:pPr>
              <w:spacing w:after="40" w:line="240" w:lineRule="auto" w:before="0"/>
            </w:pPr>
            <w:r>
              <w:rPr>
                <w:rFonts w:ascii="Calibri" w:hAnsi="Calibri"/>
                <w:color w:val="232323"/>
                <w:sz w:val="20"/>
              </w:rPr>
              <w:t>Clarifier les relations Ville-communes et donner un contenu opérationnel à la mutualisation prévue par le Code des CL.</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CT de développement</w:t>
            </w:r>
          </w:p>
        </w:tc>
        <w:tc>
          <w:tcPr>
            <w:tcW w:type="dxa" w:w="3850"/>
            <w:tcMar>
              <w:top w:w="80" w:type="dxa"/>
              <w:start w:w="120" w:type="dxa"/>
              <w:bottom w:w="80" w:type="dxa"/>
              <w:end w:w="120" w:type="dxa"/>
            </w:tcMar>
            <w:vAlign w:val="center"/>
          </w:tcPr>
          <w:p>
            <w:pPr>
              <w:spacing w:after="40" w:line="240" w:lineRule="auto" w:before="0"/>
            </w:pPr>
            <w:r>
              <w:rPr>
                <w:rFonts w:ascii="Calibri" w:hAnsi="Calibri"/>
                <w:color w:val="232323"/>
                <w:sz w:val="20"/>
              </w:rPr>
              <w:t>La réforme doit faire passer les collectivités d’une logique de statut à une logique de développement.</w:t>
            </w:r>
          </w:p>
        </w:tc>
        <w:tc>
          <w:tcPr>
            <w:tcW w:type="dxa" w:w="3210"/>
            <w:tcMar>
              <w:top w:w="80" w:type="dxa"/>
              <w:start w:w="120" w:type="dxa"/>
              <w:bottom w:w="80" w:type="dxa"/>
              <w:end w:w="120" w:type="dxa"/>
            </w:tcMar>
            <w:vAlign w:val="center"/>
          </w:tcPr>
          <w:p>
            <w:pPr>
              <w:spacing w:after="40" w:line="240" w:lineRule="auto" w:before="0"/>
            </w:pPr>
            <w:r>
              <w:rPr>
                <w:rFonts w:ascii="Calibri" w:hAnsi="Calibri"/>
                <w:color w:val="232323"/>
                <w:sz w:val="20"/>
              </w:rPr>
              <w:t>Relier statut, compétences, ressources et résultats mesurables.</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PPP exigeants</w:t>
            </w:r>
          </w:p>
        </w:tc>
        <w:tc>
          <w:tcPr>
            <w:tcW w:type="dxa" w:w="3850"/>
            <w:tcMar>
              <w:top w:w="80" w:type="dxa"/>
              <w:start w:w="120" w:type="dxa"/>
              <w:bottom w:w="80" w:type="dxa"/>
              <w:end w:w="120" w:type="dxa"/>
            </w:tcMar>
            <w:vAlign w:val="center"/>
          </w:tcPr>
          <w:p>
            <w:pPr>
              <w:spacing w:after="40" w:line="240" w:lineRule="auto" w:before="0"/>
            </w:pPr>
            <w:r>
              <w:rPr>
                <w:rFonts w:ascii="Calibri" w:hAnsi="Calibri"/>
                <w:color w:val="232323"/>
                <w:sz w:val="20"/>
              </w:rPr>
              <w:t>Les partenaires privés ne sont pas des philanthropes ; ils s’intéressent à des projets solides, lisibles et rentables pour toutes les parties.</w:t>
            </w:r>
          </w:p>
        </w:tc>
        <w:tc>
          <w:tcPr>
            <w:tcW w:type="dxa" w:w="3210"/>
            <w:tcMar>
              <w:top w:w="80" w:type="dxa"/>
              <w:start w:w="120" w:type="dxa"/>
              <w:bottom w:w="80" w:type="dxa"/>
              <w:end w:w="120" w:type="dxa"/>
            </w:tcMar>
            <w:vAlign w:val="center"/>
          </w:tcPr>
          <w:p>
            <w:pPr>
              <w:spacing w:after="40" w:line="240" w:lineRule="auto" w:before="0"/>
            </w:pPr>
            <w:r>
              <w:rPr>
                <w:rFonts w:ascii="Calibri" w:hAnsi="Calibri"/>
                <w:color w:val="232323"/>
                <w:sz w:val="20"/>
              </w:rPr>
              <w:t>Structurer des fiches bancables avant toute démarche de financement.</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Prudence PPP</w:t>
            </w:r>
          </w:p>
        </w:tc>
        <w:tc>
          <w:tcPr>
            <w:tcW w:type="dxa" w:w="3850"/>
            <w:tcMar>
              <w:top w:w="80" w:type="dxa"/>
              <w:start w:w="120" w:type="dxa"/>
              <w:bottom w:w="80" w:type="dxa"/>
              <w:end w:w="120" w:type="dxa"/>
            </w:tcMar>
            <w:vAlign w:val="center"/>
          </w:tcPr>
          <w:p>
            <w:pPr>
              <w:spacing w:after="40" w:line="240" w:lineRule="auto" w:before="0"/>
            </w:pPr>
            <w:r>
              <w:rPr>
                <w:rFonts w:ascii="Calibri" w:hAnsi="Calibri"/>
                <w:color w:val="232323"/>
                <w:sz w:val="20"/>
              </w:rPr>
              <w:t>Il ne faut pas vouloir faire des PPP partout et immédiatement ; toutes les collectivités ne sont pas prêtes au même rythme.</w:t>
            </w:r>
          </w:p>
        </w:tc>
        <w:tc>
          <w:tcPr>
            <w:tcW w:type="dxa" w:w="3210"/>
            <w:tcMar>
              <w:top w:w="80" w:type="dxa"/>
              <w:start w:w="120" w:type="dxa"/>
              <w:bottom w:w="80" w:type="dxa"/>
              <w:end w:w="120" w:type="dxa"/>
            </w:tcMar>
            <w:vAlign w:val="center"/>
          </w:tcPr>
          <w:p>
            <w:pPr>
              <w:spacing w:after="40" w:line="240" w:lineRule="auto" w:before="0"/>
            </w:pPr>
            <w:r>
              <w:rPr>
                <w:rFonts w:ascii="Calibri" w:hAnsi="Calibri"/>
                <w:color w:val="232323"/>
                <w:sz w:val="20"/>
              </w:rPr>
              <w:t>Classer les projets par maturité et sécuriser l’assistance technique.</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Vision d’abord</w:t>
            </w:r>
          </w:p>
        </w:tc>
        <w:tc>
          <w:tcPr>
            <w:tcW w:type="dxa" w:w="3850"/>
            <w:tcMar>
              <w:top w:w="80" w:type="dxa"/>
              <w:start w:w="120" w:type="dxa"/>
              <w:bottom w:w="80" w:type="dxa"/>
              <w:end w:w="120" w:type="dxa"/>
            </w:tcMar>
            <w:vAlign w:val="center"/>
          </w:tcPr>
          <w:p>
            <w:pPr>
              <w:spacing w:after="40" w:line="240" w:lineRule="auto" w:before="0"/>
            </w:pPr>
            <w:r>
              <w:rPr>
                <w:rFonts w:ascii="Calibri" w:hAnsi="Calibri"/>
                <w:color w:val="232323"/>
                <w:sz w:val="20"/>
              </w:rPr>
              <w:t>Sans vision, il n’y a pas de projet structurant ; sans projet structuré, il n’y a pas de financement crédible.</w:t>
            </w:r>
          </w:p>
        </w:tc>
        <w:tc>
          <w:tcPr>
            <w:tcW w:type="dxa" w:w="3210"/>
            <w:tcMar>
              <w:top w:w="80" w:type="dxa"/>
              <w:start w:w="120" w:type="dxa"/>
              <w:bottom w:w="80" w:type="dxa"/>
              <w:end w:w="120" w:type="dxa"/>
            </w:tcMar>
            <w:vAlign w:val="center"/>
          </w:tcPr>
          <w:p>
            <w:pPr>
              <w:spacing w:after="40" w:line="240" w:lineRule="auto" w:before="0"/>
            </w:pPr>
            <w:r>
              <w:rPr>
                <w:rFonts w:ascii="Calibri" w:hAnsi="Calibri"/>
                <w:color w:val="232323"/>
                <w:sz w:val="20"/>
              </w:rPr>
              <w:t>Faire de Dakar 2035-2050 un référentiel de programmation.</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Capital humain</w:t>
            </w:r>
          </w:p>
        </w:tc>
        <w:tc>
          <w:tcPr>
            <w:tcW w:type="dxa" w:w="3850"/>
            <w:tcMar>
              <w:top w:w="80" w:type="dxa"/>
              <w:start w:w="120" w:type="dxa"/>
              <w:bottom w:w="80" w:type="dxa"/>
              <w:end w:w="120" w:type="dxa"/>
            </w:tcMar>
            <w:vAlign w:val="center"/>
          </w:tcPr>
          <w:p>
            <w:pPr>
              <w:spacing w:after="40" w:line="240" w:lineRule="auto" w:before="0"/>
            </w:pPr>
            <w:r>
              <w:rPr>
                <w:rFonts w:ascii="Calibri" w:hAnsi="Calibri"/>
                <w:color w:val="232323"/>
                <w:sz w:val="20"/>
              </w:rPr>
              <w:t>Les compétences internes sont la condition de la transformation : les projets, l’innovation, la fiscalité et les PPP dépendent des ressources humaines.</w:t>
            </w:r>
          </w:p>
        </w:tc>
        <w:tc>
          <w:tcPr>
            <w:tcW w:type="dxa" w:w="3210"/>
            <w:tcMar>
              <w:top w:w="80" w:type="dxa"/>
              <w:start w:w="120" w:type="dxa"/>
              <w:bottom w:w="80" w:type="dxa"/>
              <w:end w:w="120" w:type="dxa"/>
            </w:tcMar>
            <w:vAlign w:val="center"/>
          </w:tcPr>
          <w:p>
            <w:pPr>
              <w:spacing w:after="40" w:line="240" w:lineRule="auto" w:before="0"/>
            </w:pPr>
            <w:r>
              <w:rPr>
                <w:rFonts w:ascii="Calibri" w:hAnsi="Calibri"/>
                <w:color w:val="232323"/>
                <w:sz w:val="20"/>
              </w:rPr>
              <w:t>Mettre l’audit RH, la formation et la GPEC au cœur de la feuille de route.</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Attractivité réciproque</w:t>
            </w:r>
          </w:p>
        </w:tc>
        <w:tc>
          <w:tcPr>
            <w:tcW w:type="dxa" w:w="3850"/>
            <w:tcMar>
              <w:top w:w="80" w:type="dxa"/>
              <w:start w:w="120" w:type="dxa"/>
              <w:bottom w:w="80" w:type="dxa"/>
              <w:end w:w="120" w:type="dxa"/>
            </w:tcMar>
            <w:vAlign w:val="center"/>
          </w:tcPr>
          <w:p>
            <w:pPr>
              <w:spacing w:after="40" w:line="240" w:lineRule="auto" w:before="0"/>
            </w:pPr>
            <w:r>
              <w:rPr>
                <w:rFonts w:ascii="Calibri" w:hAnsi="Calibri"/>
                <w:color w:val="232323"/>
                <w:sz w:val="20"/>
              </w:rPr>
              <w:t>Le rayonnement nourrit l’attractivité, mais l’attractivité nourrit aussi le rayonnement.</w:t>
            </w:r>
          </w:p>
        </w:tc>
        <w:tc>
          <w:tcPr>
            <w:tcW w:type="dxa" w:w="3210"/>
            <w:tcMar>
              <w:top w:w="80" w:type="dxa"/>
              <w:start w:w="120" w:type="dxa"/>
              <w:bottom w:w="80" w:type="dxa"/>
              <w:end w:w="120" w:type="dxa"/>
            </w:tcMar>
            <w:vAlign w:val="center"/>
          </w:tcPr>
          <w:p>
            <w:pPr>
              <w:spacing w:after="40" w:line="240" w:lineRule="auto" w:before="0"/>
            </w:pPr>
            <w:r>
              <w:rPr>
                <w:rFonts w:ascii="Calibri" w:hAnsi="Calibri"/>
                <w:color w:val="232323"/>
                <w:sz w:val="20"/>
              </w:rPr>
              <w:t>Lier Dakar Brand à des services urbains, des événements, des circuits et des résultats visibles.</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Histoire de Dakar</w:t>
            </w:r>
          </w:p>
        </w:tc>
        <w:tc>
          <w:tcPr>
            <w:tcW w:type="dxa" w:w="3850"/>
            <w:tcMar>
              <w:top w:w="80" w:type="dxa"/>
              <w:start w:w="120" w:type="dxa"/>
              <w:bottom w:w="80" w:type="dxa"/>
              <w:end w:w="120" w:type="dxa"/>
            </w:tcMar>
            <w:vAlign w:val="center"/>
          </w:tcPr>
          <w:p>
            <w:pPr>
              <w:spacing w:after="40" w:line="240" w:lineRule="auto" w:before="0"/>
            </w:pPr>
            <w:r>
              <w:rPr>
                <w:rFonts w:ascii="Calibri" w:hAnsi="Calibri"/>
                <w:color w:val="232323"/>
                <w:sz w:val="20"/>
              </w:rPr>
              <w:t>L’histoire de Dakar fait partie de sa force : elle doit être organisée comme un actif culturel, touristique et diplomatique.</w:t>
            </w:r>
          </w:p>
        </w:tc>
        <w:tc>
          <w:tcPr>
            <w:tcW w:type="dxa" w:w="3210"/>
            <w:tcMar>
              <w:top w:w="80" w:type="dxa"/>
              <w:start w:w="120" w:type="dxa"/>
              <w:bottom w:w="80" w:type="dxa"/>
              <w:end w:w="120" w:type="dxa"/>
            </w:tcMar>
            <w:vAlign w:val="center"/>
          </w:tcPr>
          <w:p>
            <w:pPr>
              <w:spacing w:after="40" w:line="240" w:lineRule="auto" w:before="0"/>
            </w:pPr>
            <w:r>
              <w:rPr>
                <w:rFonts w:ascii="Calibri" w:hAnsi="Calibri"/>
                <w:color w:val="232323"/>
                <w:sz w:val="20"/>
              </w:rPr>
              <w:t>Créer un récit institutionnel et des circuits mémoriels adossés à l’histoire de la ville.</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Dakar métropole particulière</w:t>
            </w:r>
          </w:p>
        </w:tc>
        <w:tc>
          <w:tcPr>
            <w:tcW w:type="dxa" w:w="3850"/>
            <w:tcMar>
              <w:top w:w="80" w:type="dxa"/>
              <w:start w:w="120" w:type="dxa"/>
              <w:bottom w:w="80" w:type="dxa"/>
              <w:end w:w="120" w:type="dxa"/>
            </w:tcMar>
            <w:vAlign w:val="center"/>
          </w:tcPr>
          <w:p>
            <w:pPr>
              <w:spacing w:after="40" w:line="240" w:lineRule="auto" w:before="0"/>
            </w:pPr>
            <w:r>
              <w:rPr>
                <w:rFonts w:ascii="Calibri" w:hAnsi="Calibri"/>
                <w:color w:val="232323"/>
                <w:sz w:val="20"/>
              </w:rPr>
              <w:t>Dakar dépasse le cadre d’une collectivité ordinaire et doit consolider ses relations, projets et partenariats.</w:t>
            </w:r>
          </w:p>
        </w:tc>
        <w:tc>
          <w:tcPr>
            <w:tcW w:type="dxa" w:w="3210"/>
            <w:tcMar>
              <w:top w:w="80" w:type="dxa"/>
              <w:start w:w="120" w:type="dxa"/>
              <w:bottom w:w="80" w:type="dxa"/>
              <w:end w:w="120" w:type="dxa"/>
            </w:tcMar>
            <w:vAlign w:val="center"/>
          </w:tcPr>
          <w:p>
            <w:pPr>
              <w:spacing w:after="40" w:line="240" w:lineRule="auto" w:before="0"/>
            </w:pPr>
            <w:r>
              <w:rPr>
                <w:rFonts w:ascii="Calibri" w:hAnsi="Calibri"/>
                <w:color w:val="232323"/>
                <w:sz w:val="20"/>
              </w:rPr>
              <w:t>Justifier un statut et des outils différenciés dans l’Acte IV.</w:t>
            </w:r>
          </w:p>
        </w:tc>
      </w:tr>
      <w:tr>
        <w:tc>
          <w:tcPr>
            <w:tcW w:type="dxa" w:w="2300"/>
            <w:tcMar>
              <w:top w:w="80" w:type="dxa"/>
              <w:start w:w="120" w:type="dxa"/>
              <w:bottom w:w="80" w:type="dxa"/>
              <w:end w:w="120" w:type="dxa"/>
            </w:tcMar>
            <w:vAlign w:val="center"/>
          </w:tcPr>
          <w:p>
            <w:pPr>
              <w:spacing w:after="40" w:line="240" w:lineRule="auto" w:before="0"/>
            </w:pPr>
            <w:r>
              <w:rPr>
                <w:rFonts w:ascii="Calibri" w:hAnsi="Calibri"/>
                <w:color w:val="232323"/>
                <w:sz w:val="20"/>
              </w:rPr>
              <w:t>Numérique et gestion</w:t>
            </w:r>
          </w:p>
        </w:tc>
        <w:tc>
          <w:tcPr>
            <w:tcW w:type="dxa" w:w="3850"/>
            <w:tcMar>
              <w:top w:w="80" w:type="dxa"/>
              <w:start w:w="120" w:type="dxa"/>
              <w:bottom w:w="80" w:type="dxa"/>
              <w:end w:w="120" w:type="dxa"/>
            </w:tcMar>
            <w:vAlign w:val="center"/>
          </w:tcPr>
          <w:p>
            <w:pPr>
              <w:spacing w:after="40" w:line="240" w:lineRule="auto" w:before="0"/>
            </w:pPr>
            <w:r>
              <w:rPr>
                <w:rFonts w:ascii="Calibri" w:hAnsi="Calibri"/>
                <w:color w:val="232323"/>
                <w:sz w:val="20"/>
              </w:rPr>
              <w:t>La faible intégration numérique freine la gestion territoriale, la fiscalité, les RH, les projets et l’attractivité.</w:t>
            </w:r>
          </w:p>
        </w:tc>
        <w:tc>
          <w:tcPr>
            <w:tcW w:type="dxa" w:w="3210"/>
            <w:tcMar>
              <w:top w:w="80" w:type="dxa"/>
              <w:start w:w="120" w:type="dxa"/>
              <w:bottom w:w="80" w:type="dxa"/>
              <w:end w:w="120" w:type="dxa"/>
            </w:tcMar>
            <w:vAlign w:val="center"/>
          </w:tcPr>
          <w:p>
            <w:pPr>
              <w:spacing w:after="40" w:line="240" w:lineRule="auto" w:before="0"/>
            </w:pPr>
            <w:r>
              <w:rPr>
                <w:rFonts w:ascii="Calibri" w:hAnsi="Calibri"/>
                <w:color w:val="232323"/>
                <w:sz w:val="20"/>
              </w:rPr>
              <w:t>Créer un programme numérique municipal distinct et rattacher la gouvernance des données au programme GAR-données.</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MESSAGE POLITIQUE TRANSVERSAL</w:t>
            </w:r>
          </w:p>
          <w:p>
            <w:pPr>
              <w:spacing w:after="40" w:line="252" w:lineRule="auto"/>
            </w:pPr>
            <w:r>
              <w:rPr>
                <w:sz w:val="20"/>
              </w:rPr>
              <w:t>Les débats convergent vers une même idée : Dakar connaît déjà une grande partie des solutions ; le défi principal est désormais de décider, prioriser, financer, exécuter et rendre compte.</w:t>
            </w:r>
          </w:p>
        </w:tc>
      </w:tr>
    </w:tbl>
    <w:p>
      <w:pPr>
        <w:pStyle w:val="Heading1"/>
      </w:pPr>
      <w:r>
        <w:t>Points de débat et arbitrages à trancher</w:t>
      </w:r>
    </w:p>
    <w:p>
      <w:r>
        <w:t>Pour éviter un rapport trop linéaire, cette section restitue les principales tensions de fond apparues dans les travaux. Elles ne sont pas présentées comme des contradictions bloquantes, mais comme des arbitrages institutionnels à clarifier. Un rapport de Journées scientifiques doit en effet capitaliser les convergences, mais aussi rendre visibles les choix difficiles.</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350"/>
        <w:gridCol w:w="3400"/>
        <w:gridCol w:w="3610"/>
      </w:tblGrid>
      <w:tr>
        <w:trPr>
          <w:tblHeader w:val="true"/>
        </w:trPr>
        <w:tc>
          <w:tcPr>
            <w:tcW w:type="dxa" w:w="235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Point de tension</w:t>
            </w:r>
          </w:p>
        </w:tc>
        <w:tc>
          <w:tcPr>
            <w:tcW w:type="dxa" w:w="34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Ce que révèlent les échanges</w:t>
            </w:r>
          </w:p>
        </w:tc>
        <w:tc>
          <w:tcPr>
            <w:tcW w:type="dxa" w:w="361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Arbitrage à préparer</w:t>
            </w:r>
          </w:p>
        </w:tc>
      </w:tr>
      <w:tr>
        <w:tc>
          <w:tcPr>
            <w:tcW w:type="dxa" w:w="2350"/>
            <w:tcMar>
              <w:top w:w="80" w:type="dxa"/>
              <w:start w:w="120" w:type="dxa"/>
              <w:bottom w:w="80" w:type="dxa"/>
              <w:end w:w="120" w:type="dxa"/>
            </w:tcMar>
            <w:vAlign w:val="center"/>
          </w:tcPr>
          <w:p>
            <w:pPr>
              <w:spacing w:after="40" w:line="240" w:lineRule="auto" w:before="0"/>
            </w:pPr>
            <w:r>
              <w:rPr>
                <w:rFonts w:ascii="Calibri" w:hAnsi="Calibri"/>
                <w:color w:val="232323"/>
                <w:sz w:val="20"/>
              </w:rPr>
              <w:t>Statut de Dakar et mutualisation</w:t>
            </w:r>
          </w:p>
        </w:tc>
        <w:tc>
          <w:tcPr>
            <w:tcW w:type="dxa" w:w="3400"/>
            <w:tcMar>
              <w:top w:w="80" w:type="dxa"/>
              <w:start w:w="120" w:type="dxa"/>
              <w:bottom w:w="80" w:type="dxa"/>
              <w:end w:w="120" w:type="dxa"/>
            </w:tcMar>
            <w:vAlign w:val="center"/>
          </w:tcPr>
          <w:p>
            <w:pPr>
              <w:spacing w:after="40" w:line="240" w:lineRule="auto" w:before="0"/>
            </w:pPr>
            <w:r>
              <w:rPr>
                <w:rFonts w:ascii="Calibri" w:hAnsi="Calibri"/>
                <w:color w:val="232323"/>
                <w:sz w:val="20"/>
              </w:rPr>
              <w:t>Le Code général des Collectivités locales permet la ville comme espace de mutualisation, mais les débats montrent que la mutualisation actuelle ne suffit pas toujours à produire un leadership métropolitain.</w:t>
            </w:r>
          </w:p>
        </w:tc>
        <w:tc>
          <w:tcPr>
            <w:tcW w:type="dxa" w:w="3610"/>
            <w:tcMar>
              <w:top w:w="80" w:type="dxa"/>
              <w:start w:w="120" w:type="dxa"/>
              <w:bottom w:w="80" w:type="dxa"/>
              <w:end w:w="120" w:type="dxa"/>
            </w:tcMar>
            <w:vAlign w:val="center"/>
          </w:tcPr>
          <w:p>
            <w:pPr>
              <w:spacing w:after="40" w:line="240" w:lineRule="auto" w:before="0"/>
            </w:pPr>
            <w:r>
              <w:rPr>
                <w:rFonts w:ascii="Calibri" w:hAnsi="Calibri"/>
                <w:color w:val="232323"/>
                <w:sz w:val="20"/>
              </w:rPr>
              <w:t>Déterminer ce qui relève d’une compétence propre de la Ville, d’une compétence communale, d’une compétence mutualisée et d’un arbitrage État-pôle.</w:t>
            </w:r>
          </w:p>
        </w:tc>
      </w:tr>
      <w:tr>
        <w:tc>
          <w:tcPr>
            <w:tcW w:type="dxa" w:w="2350"/>
            <w:tcMar>
              <w:top w:w="80" w:type="dxa"/>
              <w:start w:w="120" w:type="dxa"/>
              <w:bottom w:w="80" w:type="dxa"/>
              <w:end w:w="120" w:type="dxa"/>
            </w:tcMar>
            <w:vAlign w:val="center"/>
          </w:tcPr>
          <w:p>
            <w:pPr>
              <w:spacing w:after="40" w:line="240" w:lineRule="auto" w:before="0"/>
            </w:pPr>
            <w:r>
              <w:rPr>
                <w:rFonts w:ascii="Calibri" w:hAnsi="Calibri"/>
                <w:color w:val="232323"/>
                <w:sz w:val="20"/>
              </w:rPr>
              <w:t>Autonomie financière et équité fiscale</w:t>
            </w:r>
          </w:p>
        </w:tc>
        <w:tc>
          <w:tcPr>
            <w:tcW w:type="dxa" w:w="3400"/>
            <w:tcMar>
              <w:top w:w="80" w:type="dxa"/>
              <w:start w:w="120" w:type="dxa"/>
              <w:bottom w:w="80" w:type="dxa"/>
              <w:end w:w="120" w:type="dxa"/>
            </w:tcMar>
            <w:vAlign w:val="center"/>
          </w:tcPr>
          <w:p>
            <w:pPr>
              <w:spacing w:after="40" w:line="240" w:lineRule="auto" w:before="0"/>
            </w:pPr>
            <w:r>
              <w:rPr>
                <w:rFonts w:ascii="Calibri" w:hAnsi="Calibri"/>
                <w:color w:val="232323"/>
                <w:sz w:val="20"/>
              </w:rPr>
              <w:t>L’élargissement de l’assiette est indispensable, mais une fiscalité mal expliquée peut accroître la défiance.</w:t>
            </w:r>
          </w:p>
        </w:tc>
        <w:tc>
          <w:tcPr>
            <w:tcW w:type="dxa" w:w="3610"/>
            <w:tcMar>
              <w:top w:w="80" w:type="dxa"/>
              <w:start w:w="120" w:type="dxa"/>
              <w:bottom w:w="80" w:type="dxa"/>
              <w:end w:w="120" w:type="dxa"/>
            </w:tcMar>
            <w:vAlign w:val="center"/>
          </w:tcPr>
          <w:p>
            <w:pPr>
              <w:spacing w:after="40" w:line="240" w:lineRule="auto" w:before="0"/>
            </w:pPr>
            <w:r>
              <w:rPr>
                <w:rFonts w:ascii="Calibri" w:hAnsi="Calibri"/>
                <w:color w:val="232323"/>
                <w:sz w:val="20"/>
              </w:rPr>
              <w:t>Associer recensement fiscal, e-taxe, pédagogie citoyenne et visibilité de l’usage des recettes.</w:t>
            </w:r>
          </w:p>
        </w:tc>
      </w:tr>
      <w:tr>
        <w:tc>
          <w:tcPr>
            <w:tcW w:type="dxa" w:w="2350"/>
            <w:tcMar>
              <w:top w:w="80" w:type="dxa"/>
              <w:start w:w="120" w:type="dxa"/>
              <w:bottom w:w="80" w:type="dxa"/>
              <w:end w:w="120" w:type="dxa"/>
            </w:tcMar>
            <w:vAlign w:val="center"/>
          </w:tcPr>
          <w:p>
            <w:pPr>
              <w:spacing w:after="40" w:line="240" w:lineRule="auto" w:before="0"/>
            </w:pPr>
            <w:r>
              <w:rPr>
                <w:rFonts w:ascii="Calibri" w:hAnsi="Calibri"/>
                <w:color w:val="232323"/>
                <w:sz w:val="20"/>
              </w:rPr>
              <w:t>PPP, emprunt et soutenabilité</w:t>
            </w:r>
          </w:p>
        </w:tc>
        <w:tc>
          <w:tcPr>
            <w:tcW w:type="dxa" w:w="3400"/>
            <w:tcMar>
              <w:top w:w="80" w:type="dxa"/>
              <w:start w:w="120" w:type="dxa"/>
              <w:bottom w:w="80" w:type="dxa"/>
              <w:end w:w="120" w:type="dxa"/>
            </w:tcMar>
            <w:vAlign w:val="center"/>
          </w:tcPr>
          <w:p>
            <w:pPr>
              <w:spacing w:after="40" w:line="240" w:lineRule="auto" w:before="0"/>
            </w:pPr>
            <w:r>
              <w:rPr>
                <w:rFonts w:ascii="Calibri" w:hAnsi="Calibri"/>
                <w:color w:val="232323"/>
                <w:sz w:val="20"/>
              </w:rPr>
              <w:t>Les financements innovants sont nécessaires, mais ils créent des risques si les projets sont insuffisamment mûrs.</w:t>
            </w:r>
          </w:p>
        </w:tc>
        <w:tc>
          <w:tcPr>
            <w:tcW w:type="dxa" w:w="3610"/>
            <w:tcMar>
              <w:top w:w="80" w:type="dxa"/>
              <w:start w:w="120" w:type="dxa"/>
              <w:bottom w:w="80" w:type="dxa"/>
              <w:end w:w="120" w:type="dxa"/>
            </w:tcMar>
            <w:vAlign w:val="center"/>
          </w:tcPr>
          <w:p>
            <w:pPr>
              <w:spacing w:after="40" w:line="240" w:lineRule="auto" w:before="0"/>
            </w:pPr>
            <w:r>
              <w:rPr>
                <w:rFonts w:ascii="Calibri" w:hAnsi="Calibri"/>
                <w:color w:val="232323"/>
                <w:sz w:val="20"/>
              </w:rPr>
              <w:t>N’autoriser la négociation que pour les projets classés à un niveau de maturité suffisant, avec analyse des risques et moyen de vérification.</w:t>
            </w:r>
          </w:p>
        </w:tc>
      </w:tr>
      <w:tr>
        <w:tc>
          <w:tcPr>
            <w:tcW w:type="dxa" w:w="2350"/>
            <w:tcMar>
              <w:top w:w="80" w:type="dxa"/>
              <w:start w:w="120" w:type="dxa"/>
              <w:bottom w:w="80" w:type="dxa"/>
              <w:end w:w="120" w:type="dxa"/>
            </w:tcMar>
            <w:vAlign w:val="center"/>
          </w:tcPr>
          <w:p>
            <w:pPr>
              <w:spacing w:after="40" w:line="240" w:lineRule="auto" w:before="0"/>
            </w:pPr>
            <w:r>
              <w:rPr>
                <w:rFonts w:ascii="Calibri" w:hAnsi="Calibri"/>
                <w:color w:val="232323"/>
                <w:sz w:val="20"/>
              </w:rPr>
              <w:t>GAR et culture administrative</w:t>
            </w:r>
          </w:p>
        </w:tc>
        <w:tc>
          <w:tcPr>
            <w:tcW w:type="dxa" w:w="3400"/>
            <w:tcMar>
              <w:top w:w="80" w:type="dxa"/>
              <w:start w:w="120" w:type="dxa"/>
              <w:bottom w:w="80" w:type="dxa"/>
              <w:end w:w="120" w:type="dxa"/>
            </w:tcMar>
            <w:vAlign w:val="center"/>
          </w:tcPr>
          <w:p>
            <w:pPr>
              <w:spacing w:after="40" w:line="240" w:lineRule="auto" w:before="0"/>
            </w:pPr>
            <w:r>
              <w:rPr>
                <w:rFonts w:ascii="Calibri" w:hAnsi="Calibri"/>
                <w:color w:val="232323"/>
                <w:sz w:val="20"/>
              </w:rPr>
              <w:t>La GAR peut renforcer la performance, mais elle exige des données, des routines et une acceptation par les directions.</w:t>
            </w:r>
          </w:p>
        </w:tc>
        <w:tc>
          <w:tcPr>
            <w:tcW w:type="dxa" w:w="3610"/>
            <w:tcMar>
              <w:top w:w="80" w:type="dxa"/>
              <w:start w:w="120" w:type="dxa"/>
              <w:bottom w:w="80" w:type="dxa"/>
              <w:end w:w="120" w:type="dxa"/>
            </w:tcMar>
            <w:vAlign w:val="center"/>
          </w:tcPr>
          <w:p>
            <w:pPr>
              <w:spacing w:after="40" w:line="240" w:lineRule="auto" w:before="0"/>
            </w:pPr>
            <w:r>
              <w:rPr>
                <w:rFonts w:ascii="Calibri" w:hAnsi="Calibri"/>
                <w:color w:val="232323"/>
                <w:sz w:val="20"/>
              </w:rPr>
              <w:t>Démarrer par des programmes pilotes et rendre les revues de performance utiles aux arbitrages budgétaires.</w:t>
            </w:r>
          </w:p>
        </w:tc>
      </w:tr>
      <w:tr>
        <w:tc>
          <w:tcPr>
            <w:tcW w:type="dxa" w:w="2350"/>
            <w:tcMar>
              <w:top w:w="80" w:type="dxa"/>
              <w:start w:w="120" w:type="dxa"/>
              <w:bottom w:w="80" w:type="dxa"/>
              <w:end w:w="120" w:type="dxa"/>
            </w:tcMar>
            <w:vAlign w:val="center"/>
          </w:tcPr>
          <w:p>
            <w:pPr>
              <w:spacing w:after="40" w:line="240" w:lineRule="auto" w:before="0"/>
            </w:pPr>
            <w:r>
              <w:rPr>
                <w:rFonts w:ascii="Calibri" w:hAnsi="Calibri"/>
                <w:color w:val="232323"/>
                <w:sz w:val="20"/>
              </w:rPr>
              <w:t>Numérique et organisation</w:t>
            </w:r>
          </w:p>
        </w:tc>
        <w:tc>
          <w:tcPr>
            <w:tcW w:type="dxa" w:w="3400"/>
            <w:tcMar>
              <w:top w:w="80" w:type="dxa"/>
              <w:start w:w="120" w:type="dxa"/>
              <w:bottom w:w="80" w:type="dxa"/>
              <w:end w:w="120" w:type="dxa"/>
            </w:tcMar>
            <w:vAlign w:val="center"/>
          </w:tcPr>
          <w:p>
            <w:pPr>
              <w:spacing w:after="40" w:line="240" w:lineRule="auto" w:before="0"/>
            </w:pPr>
            <w:r>
              <w:rPr>
                <w:rFonts w:ascii="Calibri" w:hAnsi="Calibri"/>
                <w:color w:val="232323"/>
                <w:sz w:val="20"/>
              </w:rPr>
              <w:t>Le numérique peut accélérer la transparence, mais il peut aussi produire des outils isolés s’il n’est pas gouverné.</w:t>
            </w:r>
          </w:p>
        </w:tc>
        <w:tc>
          <w:tcPr>
            <w:tcW w:type="dxa" w:w="3610"/>
            <w:tcMar>
              <w:top w:w="80" w:type="dxa"/>
              <w:start w:w="120" w:type="dxa"/>
              <w:bottom w:w="80" w:type="dxa"/>
              <w:end w:w="120" w:type="dxa"/>
            </w:tcMar>
            <w:vAlign w:val="center"/>
          </w:tcPr>
          <w:p>
            <w:pPr>
              <w:spacing w:after="40" w:line="240" w:lineRule="auto" w:before="0"/>
            </w:pPr>
            <w:r>
              <w:rPr>
                <w:rFonts w:ascii="Calibri" w:hAnsi="Calibri"/>
                <w:color w:val="232323"/>
                <w:sz w:val="20"/>
              </w:rPr>
              <w:t>Définir des standards d’interopérabilité, une gouvernance des données et une responsabilité claire de la data room.</w:t>
            </w:r>
          </w:p>
        </w:tc>
      </w:tr>
      <w:tr>
        <w:tc>
          <w:tcPr>
            <w:tcW w:type="dxa" w:w="2350"/>
            <w:tcMar>
              <w:top w:w="80" w:type="dxa"/>
              <w:start w:w="120" w:type="dxa"/>
              <w:bottom w:w="80" w:type="dxa"/>
              <w:end w:w="120" w:type="dxa"/>
            </w:tcMar>
            <w:vAlign w:val="center"/>
          </w:tcPr>
          <w:p>
            <w:pPr>
              <w:spacing w:after="40" w:line="240" w:lineRule="auto" w:before="0"/>
            </w:pPr>
            <w:r>
              <w:rPr>
                <w:rFonts w:ascii="Calibri" w:hAnsi="Calibri"/>
                <w:color w:val="232323"/>
                <w:sz w:val="20"/>
              </w:rPr>
              <w:t>Transition écologique et financement</w:t>
            </w:r>
          </w:p>
        </w:tc>
        <w:tc>
          <w:tcPr>
            <w:tcW w:type="dxa" w:w="3400"/>
            <w:tcMar>
              <w:top w:w="80" w:type="dxa"/>
              <w:start w:w="120" w:type="dxa"/>
              <w:bottom w:w="80" w:type="dxa"/>
              <w:end w:w="120" w:type="dxa"/>
            </w:tcMar>
            <w:vAlign w:val="center"/>
          </w:tcPr>
          <w:p>
            <w:pPr>
              <w:spacing w:after="40" w:line="240" w:lineRule="auto" w:before="0"/>
            </w:pPr>
            <w:r>
              <w:rPr>
                <w:rFonts w:ascii="Calibri" w:hAnsi="Calibri"/>
                <w:color w:val="232323"/>
                <w:sz w:val="20"/>
              </w:rPr>
              <w:t>Le PCET donne une vision, mais l’accès aux financements climat dépend de projets chiffrés, mesurables et documentés.</w:t>
            </w:r>
          </w:p>
        </w:tc>
        <w:tc>
          <w:tcPr>
            <w:tcW w:type="dxa" w:w="3610"/>
            <w:tcMar>
              <w:top w:w="80" w:type="dxa"/>
              <w:start w:w="120" w:type="dxa"/>
              <w:bottom w:w="80" w:type="dxa"/>
              <w:end w:w="120" w:type="dxa"/>
            </w:tcMar>
            <w:vAlign w:val="center"/>
          </w:tcPr>
          <w:p>
            <w:pPr>
              <w:spacing w:after="40" w:line="240" w:lineRule="auto" w:before="0"/>
            </w:pPr>
            <w:r>
              <w:rPr>
                <w:rFonts w:ascii="Calibri" w:hAnsi="Calibri"/>
                <w:color w:val="232323"/>
                <w:sz w:val="20"/>
              </w:rPr>
              <w:t>Transformer le PCET en portefeuille de projets verts avec MRV, coûts, bénéficiaires, impacts et partenaires ciblés.</w:t>
            </w:r>
          </w:p>
        </w:tc>
      </w:tr>
      <w:tr>
        <w:tc>
          <w:tcPr>
            <w:tcW w:type="dxa" w:w="2350"/>
            <w:tcMar>
              <w:top w:w="80" w:type="dxa"/>
              <w:start w:w="120" w:type="dxa"/>
              <w:bottom w:w="80" w:type="dxa"/>
              <w:end w:w="120" w:type="dxa"/>
            </w:tcMar>
            <w:vAlign w:val="center"/>
          </w:tcPr>
          <w:p>
            <w:pPr>
              <w:spacing w:after="40" w:line="240" w:lineRule="auto" w:before="0"/>
            </w:pPr>
            <w:r>
              <w:rPr>
                <w:rFonts w:ascii="Calibri" w:hAnsi="Calibri"/>
                <w:color w:val="232323"/>
                <w:sz w:val="20"/>
              </w:rPr>
              <w:t>Attractivité et vécu urbain</w:t>
            </w:r>
          </w:p>
        </w:tc>
        <w:tc>
          <w:tcPr>
            <w:tcW w:type="dxa" w:w="3400"/>
            <w:tcMar>
              <w:top w:w="80" w:type="dxa"/>
              <w:start w:w="120" w:type="dxa"/>
              <w:bottom w:w="80" w:type="dxa"/>
              <w:end w:w="120" w:type="dxa"/>
            </w:tcMar>
            <w:vAlign w:val="center"/>
          </w:tcPr>
          <w:p>
            <w:pPr>
              <w:spacing w:after="40" w:line="240" w:lineRule="auto" w:before="0"/>
            </w:pPr>
            <w:r>
              <w:rPr>
                <w:rFonts w:ascii="Calibri" w:hAnsi="Calibri"/>
                <w:color w:val="232323"/>
                <w:sz w:val="20"/>
              </w:rPr>
              <w:t>Dakar dispose d’une histoire forte, mais l’attractivité ne peut pas compenser les faiblesses de propreté, mobilité, espaces publics ou accueil.</w:t>
            </w:r>
          </w:p>
        </w:tc>
        <w:tc>
          <w:tcPr>
            <w:tcW w:type="dxa" w:w="3610"/>
            <w:tcMar>
              <w:top w:w="80" w:type="dxa"/>
              <w:start w:w="120" w:type="dxa"/>
              <w:bottom w:w="80" w:type="dxa"/>
              <w:end w:w="120" w:type="dxa"/>
            </w:tcMar>
            <w:vAlign w:val="center"/>
          </w:tcPr>
          <w:p>
            <w:pPr>
              <w:spacing w:after="40" w:line="240" w:lineRule="auto" w:before="0"/>
            </w:pPr>
            <w:r>
              <w:rPr>
                <w:rFonts w:ascii="Calibri" w:hAnsi="Calibri"/>
                <w:color w:val="232323"/>
                <w:sz w:val="20"/>
              </w:rPr>
              <w:t>Relier Dakar Brand à des améliorations visibles, à l’histoire de Dakar et à des circuits culturels réellement praticables.</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LECTURE STRATÉGIQUE</w:t>
            </w:r>
          </w:p>
          <w:p>
            <w:pPr>
              <w:spacing w:after="40" w:line="252" w:lineRule="auto"/>
            </w:pPr>
            <w:r>
              <w:rPr>
                <w:sz w:val="20"/>
              </w:rPr>
              <w:t>La principale valeur ajoutée du rapport n’est pas de multiplier les recommandations, mais d’aider la Ville à choisir : ce qui doit être décidé maintenant, ce qui dépend de l’État, ce qui relève d’une réforme interne et ce qui doit être préparé techniquement avant financement.</w:t>
            </w:r>
          </w:p>
        </w:tc>
      </w:tr>
    </w:tbl>
    <w:p>
      <w:pPr>
        <w:pStyle w:val="Heading1"/>
      </w:pPr>
      <w:r>
        <w:t>Approfondissements stratégiques</w:t>
      </w:r>
    </w:p>
    <w:p>
      <w:r>
        <w:t>Les six panels permettent de dégager des axes d’approfondissement qui dépassent la restitution événementielle. Ces développements ont pour objectif de traduire les échanges en orientations structurantes pour la Ville de Dakar, l’APEC et les partenaires institutionnels. Ils peuvent servir de base à un mémorandum de plaidoyer, à une note institutionnelle, à un programme de suivi des recommandations ou à une feuille de route administrative.</w:t>
      </w:r>
    </w:p>
    <w:p>
      <w:pPr>
        <w:pStyle w:val="Heading2"/>
      </w:pPr>
      <w:r>
        <w:t>1. Repenser le statut de Dakar comme condition de transformation</w:t>
      </w:r>
    </w:p>
    <w:p>
      <w:r>
        <w:t>La question du statut de Dakar traverse l’ensemble des panels, même lorsqu’elle n’est pas explicitement au centre des discussions. Elle apparaît dans les débats sur les pôles territoriaux, mais aussi dans la fiscalité, l’urbanisme, les ressources humaines, les PPP et le rayonnement international. La raison est simple : une ville ne peut pas porter une ambition métropolitaine avec un cadre institutionnel qui limite sa capacité d’action, fragmente ses compétences et brouille ses responsabilités.</w:t>
      </w:r>
    </w:p>
    <w:p>
      <w:r>
        <w:t>Les échanges ont montré que Dakar se trouve dans une situation paradoxale. Elle est capitale nationale, pôle économique, vitrine internationale et cœur symbolique du pays, mais elle est traitée dans plusieurs domaines comme une collectivité dont les compétences sont comparables à celles d’autres communes. Cette tension produit des effets pratiques : perte de maîtrise sur certains actes d’urbanisme, difficulté à coordonner les investissements, chevauchements avec les communes, dépendance à des arbitrages étatiques et faible lisibilité du rôle de la Ville dans la gestion métropolitaine.</w:t>
      </w:r>
    </w:p>
    <w:p>
      <w:r>
        <w:t>Repenser le statut de Dakar ne signifie pas nécessairement recentraliser ou affaiblir les communes. Le débat doit être posé autrement : quelles fonctions doivent être exercées à l’échelle de proximité, quelles fonctions doivent être coordonnées à l’échelle métropolitaine, et quelles fonctions relèvent de l’État ? La subsidiarité doit être appliquée dans les deux sens. Les communes doivent garder ce qui est efficacement géré au plus près des populations ; la Ville doit retrouver ou consolider ce qui exige une cohérence d’ensemble : voirie structurante, planification urbaine, grands équipements, stratégie fiscale, rayonnement, données territoriales et projets métropolitains.</w:t>
      </w:r>
    </w:p>
    <w:p>
      <w:r>
        <w:t>L’enjeu central est la création d’une autorité de coordination claire. Une métropole fonctionne difficilement si chaque acteur décide selon son périmètre sans mécanisme de convergence. Les panels ont donné plusieurs exemples où l’absence d’arbitrage produit des surcoûts, des retards ou des contradictions. Une route traverse plusieurs communes ; un réseau d’assainissement dépend de plusieurs autorités ; une zone économique produit des recettes et des nuisances ; une politique de stationnement touche la mobilité, la fiscalité et l’espace public. Ces sujets exigent une gouvernance partagée mais hiérarchisée.</w:t>
      </w:r>
    </w:p>
    <w:p>
      <w:r>
        <w:t>Dans cette perspective, l’Acte IV devrait clarifier trois dimensions. D’abord, la compétence : qui fait quoi, à quelle échelle, avec quelle responsabilité ? Ensuite, la ressource : quelle fiscalité, quelle dotation, quelle capacité d’emprunt ou de valorisation patrimoniale accompagne chaque compétence ? Enfin, la redevabilité : devant qui l’acteur rend-il compte, avec quels indicateurs et quels mécanismes de contrôle ? Une compétence sans ressource crée l’impuissance ; une ressource sans redevabilité crée la défiance ; une responsabilité sans compétence crée la confusion.</w:t>
      </w:r>
    </w:p>
    <w:p>
      <w:r>
        <w:t>La revendication d’un statut particulier de Dakar doit donc être formulée avec précision. Elle ne doit pas être comprise comme une faveur institutionnelle, mais comme une réponse fonctionnelle à la vocation de capitale. Le rapport recommande de construire un dossier de plaidoyer adossé à des données : comparaison avec d’autres capitales, inventaire des compétences problématiques, estimation des pertes financières liées aux chevauchements, cartographie des projets métropolitains et scénarios de gouvernance. Ce dossier donnerait à la Ville et à l’APEC une base solide pour contribuer aux discussions nationales.</w:t>
      </w:r>
    </w:p>
    <w:p>
      <w:r>
        <w:t>Enfin, le statut de Dakar doit être relié au pôle territorial ouest. Si Dakar est appelée à être locomotive, elle doit pouvoir exercer un leadership de coordination, mais aussi organiser la solidarité avec les territoires périphériques. La métropole ne doit pas seulement concentrer ; elle doit redistribuer, connecter, structurer et entraîner. Cette posture est essentielle pour éviter une opposition entre capitale et autres territoires. Dakar doit devenir un moteur de complémentarités, non un centre qui absorbe tout.</w:t>
      </w:r>
    </w:p>
    <w:p>
      <w:pPr>
        <w:pStyle w:val="Heading3"/>
      </w:pPr>
      <w:r>
        <w:t>Scénarios de statut à inscrire dans l’Acte IV</w:t>
      </w:r>
    </w:p>
    <w:p>
      <w:pPr/>
      <w:r>
        <w:t>La réforme doit éviter deux impasses : maintenir Dakar dans un régime trop ordinaire pour ses charges réelles, ou créer une nouvelle strate institutionnelle sans ressources et sans redevabilité. Trois scénarios peuvent être soumis au débat national, avec une préférence pour une solution hybride : un District spécial de Dakar exerçant les fonctions de pôle urbain métropolitain du Sénégal occidental.</w:t>
      </w:r>
      <w:r>
        <w:rPr>
          <w:rStyle w:val="FootnoteReference"/>
        </w:rPr>
        <w:footnoteReference w:id="18"/>
      </w:r>
    </w:p>
    <w:tbl>
      <w:tblPr>
        <w:tblW w:type="auto" w:w="0"/>
        <w:tblLayout w:type="fixed"/>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340"/>
        <w:gridCol w:w="2340"/>
        <w:gridCol w:w="2340"/>
        <w:gridCol w:w="2340"/>
      </w:tblGrid>
      <w:tr>
        <w:trPr>
          <w:tblHeader w:val="true"/>
        </w:trPr>
        <w:tc>
          <w:tcPr>
            <w:tcW w:type="dxa" w:w="1944"/>
            <w:tcMar>
              <w:top w:w="120" w:type="dxa"/>
              <w:start w:w="120" w:type="dxa"/>
              <w:bottom w:w="120" w:type="dxa"/>
              <w:end w:w="120" w:type="dxa"/>
            </w:tcMar>
            <w:shd w:fill="1F4E79" w:val="clear" w:color="auto"/>
          </w:tcPr>
          <w:p>
            <w:pPr>
              <w:spacing w:after="40" w:line="240" w:lineRule="auto" w:before="0"/>
            </w:pPr>
            <w:r>
              <w:rPr>
                <w:b/>
                <w:color w:val="FFFFFF"/>
                <w:sz w:val="20"/>
              </w:rPr>
              <w:t>Scénario</w:t>
            </w:r>
          </w:p>
        </w:tc>
        <w:tc>
          <w:tcPr>
            <w:tcW w:type="dxa" w:w="2592"/>
            <w:tcMar>
              <w:top w:w="120" w:type="dxa"/>
              <w:start w:w="120" w:type="dxa"/>
              <w:bottom w:w="120" w:type="dxa"/>
              <w:end w:w="120" w:type="dxa"/>
            </w:tcMar>
            <w:shd w:fill="1F4E79" w:val="clear" w:color="auto"/>
          </w:tcPr>
          <w:p>
            <w:pPr>
              <w:spacing w:after="40" w:line="240" w:lineRule="auto" w:before="0"/>
            </w:pPr>
            <w:r>
              <w:rPr>
                <w:b/>
                <w:color w:val="FFFFFF"/>
                <w:sz w:val="20"/>
              </w:rPr>
              <w:t>Intérêt pour Dakar</w:t>
            </w:r>
          </w:p>
        </w:tc>
        <w:tc>
          <w:tcPr>
            <w:tcW w:type="dxa" w:w="3024"/>
            <w:tcMar>
              <w:top w:w="120" w:type="dxa"/>
              <w:start w:w="120" w:type="dxa"/>
              <w:bottom w:w="120" w:type="dxa"/>
              <w:end w:w="120" w:type="dxa"/>
            </w:tcMar>
            <w:shd w:fill="1F4E79" w:val="clear" w:color="auto"/>
          </w:tcPr>
          <w:p>
            <w:pPr>
              <w:spacing w:after="40" w:line="240" w:lineRule="auto" w:before="0"/>
            </w:pPr>
            <w:r>
              <w:rPr>
                <w:b/>
                <w:color w:val="FFFFFF"/>
                <w:sz w:val="20"/>
              </w:rPr>
              <w:t>Compétences clés</w:t>
            </w:r>
          </w:p>
        </w:tc>
        <w:tc>
          <w:tcPr>
            <w:tcW w:type="dxa" w:w="1944"/>
            <w:tcMar>
              <w:top w:w="120" w:type="dxa"/>
              <w:start w:w="120" w:type="dxa"/>
              <w:bottom w:w="120" w:type="dxa"/>
              <w:end w:w="120" w:type="dxa"/>
            </w:tcMar>
            <w:shd w:fill="1F4E79" w:val="clear" w:color="auto"/>
          </w:tcPr>
          <w:p>
            <w:pPr>
              <w:spacing w:after="40" w:line="240" w:lineRule="auto" w:before="0"/>
            </w:pPr>
            <w:r>
              <w:rPr>
                <w:b/>
                <w:color w:val="FFFFFF"/>
                <w:sz w:val="20"/>
              </w:rPr>
              <w:t>Vigilance</w:t>
            </w:r>
          </w:p>
        </w:tc>
      </w:tr>
      <w:tr>
        <w:tc>
          <w:tcPr>
            <w:tcW w:type="dxa" w:w="1944"/>
            <w:tcMar>
              <w:top w:w="120" w:type="dxa"/>
              <w:start w:w="120" w:type="dxa"/>
              <w:bottom w:w="120" w:type="dxa"/>
              <w:end w:w="120" w:type="dxa"/>
            </w:tcMar>
          </w:tcPr>
          <w:p>
            <w:pPr>
              <w:spacing w:after="40" w:line="240" w:lineRule="auto" w:before="0"/>
            </w:pPr>
            <w:r>
              <w:rPr>
                <w:sz w:val="20"/>
              </w:rPr>
              <w:t>District spécial de Dakar</w:t>
            </w:r>
          </w:p>
        </w:tc>
        <w:tc>
          <w:tcPr>
            <w:tcW w:type="dxa" w:w="2592"/>
            <w:tcMar>
              <w:top w:w="120" w:type="dxa"/>
              <w:start w:w="120" w:type="dxa"/>
              <w:bottom w:w="120" w:type="dxa"/>
              <w:end w:w="120" w:type="dxa"/>
            </w:tcMar>
          </w:tcPr>
          <w:p>
            <w:pPr>
              <w:spacing w:after="40" w:line="240" w:lineRule="auto" w:before="0"/>
            </w:pPr>
            <w:r>
              <w:rPr>
                <w:sz w:val="20"/>
              </w:rPr>
              <w:t>Reconnaître la fonction de capitale, la charge diplomatique, l’économie métropolitaine et les grands services urbains.</w:t>
            </w:r>
          </w:p>
        </w:tc>
        <w:tc>
          <w:tcPr>
            <w:tcW w:type="dxa" w:w="3024"/>
            <w:tcMar>
              <w:top w:w="120" w:type="dxa"/>
              <w:start w:w="120" w:type="dxa"/>
              <w:bottom w:w="120" w:type="dxa"/>
              <w:end w:w="120" w:type="dxa"/>
            </w:tcMar>
          </w:tcPr>
          <w:p>
            <w:pPr>
              <w:spacing w:after="40" w:line="240" w:lineRule="auto" w:before="0"/>
            </w:pPr>
            <w:r>
              <w:rPr>
                <w:sz w:val="20"/>
              </w:rPr>
              <w:t>Fiscalité urbaine différenciée, mobilité, grands équipements, données, PPP, finance climat, emprunt encadré.</w:t>
            </w:r>
          </w:p>
        </w:tc>
        <w:tc>
          <w:tcPr>
            <w:tcW w:type="dxa" w:w="1944"/>
            <w:tcMar>
              <w:top w:w="120" w:type="dxa"/>
              <w:start w:w="120" w:type="dxa"/>
              <w:bottom w:w="120" w:type="dxa"/>
              <w:end w:w="120" w:type="dxa"/>
            </w:tcMar>
          </w:tcPr>
          <w:p>
            <w:pPr>
              <w:spacing w:after="40" w:line="240" w:lineRule="auto" w:before="0"/>
            </w:pPr>
            <w:r>
              <w:rPr>
                <w:sz w:val="20"/>
              </w:rPr>
              <w:t>Préserver la démocratie locale et éviter une recentralisation masquée.</w:t>
            </w:r>
          </w:p>
        </w:tc>
      </w:tr>
      <w:tr>
        <w:tc>
          <w:tcPr>
            <w:tcW w:type="dxa" w:w="1944"/>
            <w:tcMar>
              <w:top w:w="120" w:type="dxa"/>
              <w:start w:w="120" w:type="dxa"/>
              <w:bottom w:w="120" w:type="dxa"/>
              <w:end w:w="120" w:type="dxa"/>
            </w:tcMar>
          </w:tcPr>
          <w:p>
            <w:pPr>
              <w:spacing w:after="40" w:line="240" w:lineRule="auto" w:before="0"/>
            </w:pPr>
            <w:r>
              <w:rPr>
                <w:sz w:val="20"/>
              </w:rPr>
              <w:t>Pôle urbain métropolitain</w:t>
            </w:r>
          </w:p>
        </w:tc>
        <w:tc>
          <w:tcPr>
            <w:tcW w:type="dxa" w:w="2592"/>
            <w:tcMar>
              <w:top w:w="120" w:type="dxa"/>
              <w:start w:w="120" w:type="dxa"/>
              <w:bottom w:w="120" w:type="dxa"/>
              <w:end w:w="120" w:type="dxa"/>
            </w:tcMar>
          </w:tcPr>
          <w:p>
            <w:pPr>
              <w:spacing w:after="40" w:line="240" w:lineRule="auto" w:before="0"/>
            </w:pPr>
            <w:r>
              <w:rPr>
                <w:sz w:val="20"/>
              </w:rPr>
              <w:t>Faire de Dakar le noyau fonctionnel du pôle territorial ouest, avec une gouvernance de coordination et de solidarité.</w:t>
            </w:r>
          </w:p>
        </w:tc>
        <w:tc>
          <w:tcPr>
            <w:tcW w:type="dxa" w:w="3024"/>
            <w:tcMar>
              <w:top w:w="120" w:type="dxa"/>
              <w:start w:w="120" w:type="dxa"/>
              <w:bottom w:w="120" w:type="dxa"/>
              <w:end w:w="120" w:type="dxa"/>
            </w:tcMar>
          </w:tcPr>
          <w:p>
            <w:pPr>
              <w:spacing w:after="40" w:line="240" w:lineRule="auto" w:before="0"/>
            </w:pPr>
            <w:r>
              <w:rPr>
                <w:sz w:val="20"/>
              </w:rPr>
              <w:t>Planification métropolitaine, voirie structurante, stationnement, déchets, événementiel, attractivité, data room.</w:t>
            </w:r>
          </w:p>
        </w:tc>
        <w:tc>
          <w:tcPr>
            <w:tcW w:type="dxa" w:w="1944"/>
            <w:tcMar>
              <w:top w:w="120" w:type="dxa"/>
              <w:start w:w="120" w:type="dxa"/>
              <w:bottom w:w="120" w:type="dxa"/>
              <w:end w:w="120" w:type="dxa"/>
            </w:tcMar>
          </w:tcPr>
          <w:p>
            <w:pPr>
              <w:spacing w:after="40" w:line="240" w:lineRule="auto" w:before="0"/>
            </w:pPr>
            <w:r>
              <w:rPr>
                <w:sz w:val="20"/>
              </w:rPr>
              <w:t>Ne pas créer un pôle sans budget, sans pouvoir d’arbitrage et sans indicateurs.</w:t>
            </w:r>
          </w:p>
        </w:tc>
      </w:tr>
      <w:tr>
        <w:tc>
          <w:tcPr>
            <w:tcW w:type="dxa" w:w="1944"/>
            <w:tcMar>
              <w:top w:w="120" w:type="dxa"/>
              <w:start w:w="120" w:type="dxa"/>
              <w:bottom w:w="120" w:type="dxa"/>
              <w:end w:w="120" w:type="dxa"/>
            </w:tcMar>
          </w:tcPr>
          <w:p>
            <w:pPr>
              <w:spacing w:after="40" w:line="240" w:lineRule="auto" w:before="0"/>
            </w:pPr>
            <w:r>
              <w:rPr>
                <w:sz w:val="20"/>
              </w:rPr>
              <w:t>Ville-capitale renforcée</w:t>
            </w:r>
          </w:p>
        </w:tc>
        <w:tc>
          <w:tcPr>
            <w:tcW w:type="dxa" w:w="2592"/>
            <w:tcMar>
              <w:top w:w="120" w:type="dxa"/>
              <w:start w:w="120" w:type="dxa"/>
              <w:bottom w:w="120" w:type="dxa"/>
              <w:end w:w="120" w:type="dxa"/>
            </w:tcMar>
          </w:tcPr>
          <w:p>
            <w:pPr>
              <w:spacing w:after="40" w:line="240" w:lineRule="auto" w:before="0"/>
            </w:pPr>
            <w:r>
              <w:rPr>
                <w:sz w:val="20"/>
              </w:rPr>
              <w:t>Améliorer le cadre actuel sans rupture institutionnelle lourde, en consolidant la Ville et ses relations avec les communes.</w:t>
            </w:r>
          </w:p>
        </w:tc>
        <w:tc>
          <w:tcPr>
            <w:tcW w:type="dxa" w:w="3024"/>
            <w:tcMar>
              <w:top w:w="120" w:type="dxa"/>
              <w:start w:w="120" w:type="dxa"/>
              <w:bottom w:w="120" w:type="dxa"/>
              <w:end w:w="120" w:type="dxa"/>
            </w:tcMar>
          </w:tcPr>
          <w:p>
            <w:pPr>
              <w:spacing w:after="40" w:line="240" w:lineRule="auto" w:before="0"/>
            </w:pPr>
            <w:r>
              <w:rPr>
                <w:sz w:val="20"/>
              </w:rPr>
              <w:t>Conventions Ville-communes, compétences mutualisées, fiscalité partagée, portefeuille de projets et reporting.</w:t>
            </w:r>
          </w:p>
        </w:tc>
        <w:tc>
          <w:tcPr>
            <w:tcW w:type="dxa" w:w="1944"/>
            <w:tcMar>
              <w:top w:w="120" w:type="dxa"/>
              <w:start w:w="120" w:type="dxa"/>
              <w:bottom w:w="120" w:type="dxa"/>
              <w:end w:w="120" w:type="dxa"/>
            </w:tcMar>
          </w:tcPr>
          <w:p>
            <w:pPr>
              <w:spacing w:after="40" w:line="240" w:lineRule="auto" w:before="0"/>
            </w:pPr>
            <w:r>
              <w:rPr>
                <w:sz w:val="20"/>
              </w:rPr>
              <w:t>Risque de rester insuffisant si les compétences et ressources ne sont pas explicitement transférées.</w:t>
            </w:r>
          </w:p>
        </w:tc>
      </w:tr>
    </w:tbl>
    <w:tbl>
      <w:tblPr>
        <w:tblW w:type="auto" w:w="0"/>
        <w:tblLayout w:type="fixed"/>
        <w:tblLook w:firstColumn="1" w:firstRow="1" w:lastColumn="0" w:lastRow="0" w:noHBand="0" w:noVBand="1" w:val="04A0"/>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216"/>
            <w:tcMar>
              <w:top w:w="120" w:type="dxa"/>
              <w:start w:w="120" w:type="dxa"/>
              <w:bottom w:w="120" w:type="dxa"/>
              <w:end w:w="120" w:type="dxa"/>
            </w:tcMar>
            <w:shd w:fill="F2F6FA" w:val="clear" w:color="auto"/>
          </w:tcPr>
          <w:p>
            <w:pPr>
              <w:spacing w:after="40" w:line="252" w:lineRule="auto"/>
            </w:pPr>
            <w:r>
              <w:rPr>
                <w:b/>
                <w:color w:val="1F4E79"/>
                <w:sz w:val="20"/>
              </w:rPr>
            </w:r>
            <w:r>
              <w:rPr>
                <w:b/>
                <w:color w:val="1F4E79"/>
                <w:sz w:val="20"/>
              </w:rPr>
              <w:t>PAROLE DES DISCUSSIONS</w:t>
            </w:r>
          </w:p>
          <w:p>
            <w:pPr>
              <w:spacing w:after="40" w:line="252" w:lineRule="auto"/>
            </w:pPr>
            <w:r>
              <w:rPr>
                <w:i/>
                <w:sz w:val="20"/>
              </w:rPr>
              <w:t>« Il est temps d’avoir une vision. Pour cela, il faut que Dakar ait un statut spécial, tout en laissant la population donner son avis. »</w:t>
            </w:r>
          </w:p>
          <w:p>
            <w:pPr>
              <w:spacing w:after="40" w:line="252" w:lineRule="auto"/>
              <w:jc w:val="right"/>
            </w:pPr>
            <w:r>
              <w:rPr>
                <w:i/>
                <w:sz w:val="20"/>
              </w:rPr>
              <w:t>Extrait des échanges, transcription nettoyée.</w:t>
            </w:r>
          </w:p>
        </w:tc>
      </w:tr>
    </w:tbl>
    <w:p>
      <w:pPr>
        <w:pStyle w:val="Heading3"/>
      </w:pPr>
      <w:r>
        <w:t>Compétences nouvelles à négocier</w:t>
      </w:r>
    </w:p>
    <w:p>
      <w:pPr/>
      <w:r>
        <w:t>Le statut ne doit pas être défendu comme un symbole, mais comme un contrat de compétences, de ressources et de redevabilité. L’Acte IV devrait donc préciser les blocs que Dakar peut exercer directement, ceux qui doivent être mutualisés avec les communes et ceux qui nécessitent un arbitrage de l’État.</w:t>
      </w:r>
    </w:p>
    <w:tbl>
      <w:tblPr>
        <w:tblW w:type="auto" w:w="0"/>
        <w:tblLayout w:type="fixed"/>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3120"/>
        <w:gridCol w:w="3120"/>
        <w:gridCol w:w="3120"/>
      </w:tblGrid>
      <w:tr>
        <w:trPr>
          <w:tblHeader w:val="true"/>
        </w:trPr>
        <w:tc>
          <w:tcPr>
            <w:tcW w:type="dxa" w:w="1944"/>
            <w:tcMar>
              <w:top w:w="120" w:type="dxa"/>
              <w:start w:w="120" w:type="dxa"/>
              <w:bottom w:w="120" w:type="dxa"/>
              <w:end w:w="120" w:type="dxa"/>
            </w:tcMar>
            <w:shd w:fill="1F4E79" w:val="clear" w:color="auto"/>
          </w:tcPr>
          <w:p>
            <w:pPr>
              <w:spacing w:after="40" w:line="240" w:lineRule="auto" w:before="0"/>
            </w:pPr>
            <w:r>
              <w:rPr>
                <w:b/>
                <w:color w:val="FFFFFF"/>
                <w:sz w:val="20"/>
              </w:rPr>
              <w:t>Bloc</w:t>
            </w:r>
          </w:p>
        </w:tc>
        <w:tc>
          <w:tcPr>
            <w:tcW w:type="dxa" w:w="4464"/>
            <w:tcMar>
              <w:top w:w="120" w:type="dxa"/>
              <w:start w:w="120" w:type="dxa"/>
              <w:bottom w:w="120" w:type="dxa"/>
              <w:end w:w="120" w:type="dxa"/>
            </w:tcMar>
            <w:shd w:fill="1F4E79" w:val="clear" w:color="auto"/>
          </w:tcPr>
          <w:p>
            <w:pPr>
              <w:spacing w:after="40" w:line="240" w:lineRule="auto" w:before="0"/>
            </w:pPr>
            <w:r>
              <w:rPr>
                <w:b/>
                <w:color w:val="FFFFFF"/>
                <w:sz w:val="20"/>
              </w:rPr>
              <w:t>Compétences à inscrire</w:t>
            </w:r>
          </w:p>
        </w:tc>
        <w:tc>
          <w:tcPr>
            <w:tcW w:type="dxa" w:w="2880"/>
            <w:tcMar>
              <w:top w:w="120" w:type="dxa"/>
              <w:start w:w="120" w:type="dxa"/>
              <w:bottom w:w="120" w:type="dxa"/>
              <w:end w:w="120" w:type="dxa"/>
            </w:tcMar>
            <w:shd w:fill="1F4E79" w:val="clear" w:color="auto"/>
          </w:tcPr>
          <w:p>
            <w:pPr>
              <w:spacing w:after="40" w:line="240" w:lineRule="auto" w:before="0"/>
            </w:pPr>
            <w:r>
              <w:rPr>
                <w:b/>
                <w:color w:val="FFFFFF"/>
                <w:sz w:val="20"/>
              </w:rPr>
              <w:t>Instruments proposés</w:t>
            </w:r>
          </w:p>
        </w:tc>
      </w:tr>
      <w:tr>
        <w:tc>
          <w:tcPr>
            <w:tcW w:type="dxa" w:w="1944"/>
            <w:tcMar>
              <w:top w:w="120" w:type="dxa"/>
              <w:start w:w="120" w:type="dxa"/>
              <w:bottom w:w="120" w:type="dxa"/>
              <w:end w:w="120" w:type="dxa"/>
            </w:tcMar>
          </w:tcPr>
          <w:p>
            <w:pPr>
              <w:spacing w:after="40" w:line="240" w:lineRule="auto" w:before="0"/>
            </w:pPr>
            <w:r>
              <w:rPr>
                <w:sz w:val="20"/>
              </w:rPr>
              <w:t>Fiscalité et valeur urbaine</w:t>
            </w:r>
          </w:p>
        </w:tc>
        <w:tc>
          <w:tcPr>
            <w:tcW w:type="dxa" w:w="4464"/>
            <w:tcMar>
              <w:top w:w="120" w:type="dxa"/>
              <w:start w:w="120" w:type="dxa"/>
              <w:bottom w:w="120" w:type="dxa"/>
              <w:end w:w="120" w:type="dxa"/>
            </w:tcMar>
          </w:tcPr>
          <w:p>
            <w:pPr>
              <w:spacing w:after="40" w:line="240" w:lineRule="auto" w:before="0"/>
            </w:pPr>
            <w:r>
              <w:rPr>
                <w:sz w:val="20"/>
              </w:rPr>
              <w:t>Cadastre fiscal, e-taxe, fiscalité foncière, stationnement, publicité, occupation du domaine public, fiscalité événementielle.</w:t>
            </w:r>
          </w:p>
        </w:tc>
        <w:tc>
          <w:tcPr>
            <w:tcW w:type="dxa" w:w="2880"/>
            <w:tcMar>
              <w:top w:w="120" w:type="dxa"/>
              <w:start w:w="120" w:type="dxa"/>
              <w:bottom w:w="120" w:type="dxa"/>
              <w:end w:w="120" w:type="dxa"/>
            </w:tcMar>
          </w:tcPr>
          <w:p>
            <w:pPr>
              <w:spacing w:after="40" w:line="240" w:lineRule="auto" w:before="0"/>
            </w:pPr>
            <w:r>
              <w:rPr>
                <w:sz w:val="20"/>
              </w:rPr>
              <w:t>Protocole DGID-Ville, compte contribuable, barèmes transparents, tableaux de recouvrement.</w:t>
            </w:r>
          </w:p>
        </w:tc>
      </w:tr>
      <w:tr>
        <w:tc>
          <w:tcPr>
            <w:tcW w:type="dxa" w:w="1944"/>
            <w:tcMar>
              <w:top w:w="120" w:type="dxa"/>
              <w:start w:w="120" w:type="dxa"/>
              <w:bottom w:w="120" w:type="dxa"/>
              <w:end w:w="120" w:type="dxa"/>
            </w:tcMar>
          </w:tcPr>
          <w:p>
            <w:pPr>
              <w:spacing w:after="40" w:line="240" w:lineRule="auto" w:before="0"/>
            </w:pPr>
            <w:r>
              <w:rPr>
                <w:sz w:val="20"/>
              </w:rPr>
              <w:t>Transport et mobilité</w:t>
            </w:r>
          </w:p>
        </w:tc>
        <w:tc>
          <w:tcPr>
            <w:tcW w:type="dxa" w:w="4464"/>
            <w:tcMar>
              <w:top w:w="120" w:type="dxa"/>
              <w:start w:w="120" w:type="dxa"/>
              <w:bottom w:w="120" w:type="dxa"/>
              <w:end w:w="120" w:type="dxa"/>
            </w:tcMar>
          </w:tcPr>
          <w:p>
            <w:pPr>
              <w:spacing w:after="40" w:line="240" w:lineRule="auto" w:before="0"/>
            </w:pPr>
            <w:r>
              <w:rPr>
                <w:sz w:val="20"/>
              </w:rPr>
              <w:t>Coordination des gares, stationnement, voirie structurante, mobilité bas carbone et information voyageurs.</w:t>
            </w:r>
          </w:p>
        </w:tc>
        <w:tc>
          <w:tcPr>
            <w:tcW w:type="dxa" w:w="2880"/>
            <w:tcMar>
              <w:top w:w="120" w:type="dxa"/>
              <w:start w:w="120" w:type="dxa"/>
              <w:bottom w:w="120" w:type="dxa"/>
              <w:end w:w="120" w:type="dxa"/>
            </w:tcMar>
          </w:tcPr>
          <w:p>
            <w:pPr>
              <w:spacing w:after="40" w:line="240" w:lineRule="auto" w:before="0"/>
            </w:pPr>
            <w:r>
              <w:rPr>
                <w:sz w:val="20"/>
              </w:rPr>
              <w:t>Autorité de mobilité urbaine, conventions avec l’État, les communes et les opérateurs.</w:t>
            </w:r>
          </w:p>
        </w:tc>
      </w:tr>
      <w:tr>
        <w:tc>
          <w:tcPr>
            <w:tcW w:type="dxa" w:w="1944"/>
            <w:tcMar>
              <w:top w:w="120" w:type="dxa"/>
              <w:start w:w="120" w:type="dxa"/>
              <w:bottom w:w="120" w:type="dxa"/>
              <w:end w:w="120" w:type="dxa"/>
            </w:tcMar>
          </w:tcPr>
          <w:p>
            <w:pPr>
              <w:spacing w:after="40" w:line="240" w:lineRule="auto" w:before="0"/>
            </w:pPr>
            <w:r>
              <w:rPr>
                <w:sz w:val="20"/>
              </w:rPr>
              <w:t>Finances et levée de fonds</w:t>
            </w:r>
          </w:p>
        </w:tc>
        <w:tc>
          <w:tcPr>
            <w:tcW w:type="dxa" w:w="4464"/>
            <w:tcMar>
              <w:top w:w="120" w:type="dxa"/>
              <w:start w:w="120" w:type="dxa"/>
              <w:bottom w:w="120" w:type="dxa"/>
              <w:end w:w="120" w:type="dxa"/>
            </w:tcMar>
          </w:tcPr>
          <w:p>
            <w:pPr>
              <w:spacing w:after="40" w:line="240" w:lineRule="auto" w:before="0"/>
            </w:pPr>
            <w:r>
              <w:rPr>
                <w:sz w:val="20"/>
              </w:rPr>
              <w:t>Emprunt encadré, obligations vertes, fonds de préparation, diaspora bonds locaux, garanties et financements mixtes.</w:t>
            </w:r>
          </w:p>
        </w:tc>
        <w:tc>
          <w:tcPr>
            <w:tcW w:type="dxa" w:w="2880"/>
            <w:tcMar>
              <w:top w:w="120" w:type="dxa"/>
              <w:start w:w="120" w:type="dxa"/>
              <w:bottom w:w="120" w:type="dxa"/>
              <w:end w:w="120" w:type="dxa"/>
            </w:tcMar>
          </w:tcPr>
          <w:p>
            <w:pPr>
              <w:spacing w:after="40" w:line="240" w:lineRule="auto" w:before="0"/>
            </w:pPr>
            <w:r>
              <w:rPr>
                <w:sz w:val="20"/>
              </w:rPr>
              <w:t>Notation, audits, plafond de dette, règles de soutenabilité, portefeuille bancable.</w:t>
            </w:r>
          </w:p>
        </w:tc>
      </w:tr>
      <w:tr>
        <w:tc>
          <w:tcPr>
            <w:tcW w:type="dxa" w:w="1944"/>
            <w:tcMar>
              <w:top w:w="120" w:type="dxa"/>
              <w:start w:w="120" w:type="dxa"/>
              <w:bottom w:w="120" w:type="dxa"/>
              <w:end w:w="120" w:type="dxa"/>
            </w:tcMar>
          </w:tcPr>
          <w:p>
            <w:pPr>
              <w:spacing w:after="40" w:line="240" w:lineRule="auto" w:before="0"/>
            </w:pPr>
            <w:r>
              <w:rPr>
                <w:sz w:val="20"/>
              </w:rPr>
              <w:t>PPP et projets structurants</w:t>
            </w:r>
          </w:p>
        </w:tc>
        <w:tc>
          <w:tcPr>
            <w:tcW w:type="dxa" w:w="4464"/>
            <w:tcMar>
              <w:top w:w="120" w:type="dxa"/>
              <w:start w:w="120" w:type="dxa"/>
              <w:bottom w:w="120" w:type="dxa"/>
              <w:end w:w="120" w:type="dxa"/>
            </w:tcMar>
          </w:tcPr>
          <w:p>
            <w:pPr>
              <w:spacing w:after="40" w:line="240" w:lineRule="auto" w:before="0"/>
            </w:pPr>
            <w:r>
              <w:rPr>
                <w:sz w:val="20"/>
              </w:rPr>
              <w:t>Préparation, passation, suivi et évaluation des PPP à paiement public ou par les usagers.</w:t>
            </w:r>
          </w:p>
        </w:tc>
        <w:tc>
          <w:tcPr>
            <w:tcW w:type="dxa" w:w="2880"/>
            <w:tcMar>
              <w:top w:w="120" w:type="dxa"/>
              <w:start w:w="120" w:type="dxa"/>
              <w:bottom w:w="120" w:type="dxa"/>
              <w:end w:w="120" w:type="dxa"/>
            </w:tcMar>
          </w:tcPr>
          <w:p>
            <w:pPr>
              <w:spacing w:after="40" w:line="240" w:lineRule="auto" w:before="0"/>
            </w:pPr>
            <w:r>
              <w:rPr>
                <w:sz w:val="20"/>
              </w:rPr>
              <w:t>Point focal PPP, appui UNAPPP, data room, études préalables, comité de suivi.</w:t>
            </w:r>
          </w:p>
        </w:tc>
      </w:tr>
      <w:tr>
        <w:tc>
          <w:tcPr>
            <w:tcW w:type="dxa" w:w="1944"/>
            <w:tcMar>
              <w:top w:w="120" w:type="dxa"/>
              <w:start w:w="120" w:type="dxa"/>
              <w:bottom w:w="120" w:type="dxa"/>
              <w:end w:w="120" w:type="dxa"/>
            </w:tcMar>
          </w:tcPr>
          <w:p>
            <w:pPr>
              <w:spacing w:after="40" w:line="240" w:lineRule="auto" w:before="0"/>
            </w:pPr>
            <w:r>
              <w:rPr>
                <w:sz w:val="20"/>
              </w:rPr>
              <w:t>Planification et urbanisme</w:t>
            </w:r>
          </w:p>
        </w:tc>
        <w:tc>
          <w:tcPr>
            <w:tcW w:type="dxa" w:w="4464"/>
            <w:tcMar>
              <w:top w:w="120" w:type="dxa"/>
              <w:start w:w="120" w:type="dxa"/>
              <w:bottom w:w="120" w:type="dxa"/>
              <w:end w:w="120" w:type="dxa"/>
            </w:tcMar>
          </w:tcPr>
          <w:p>
            <w:pPr>
              <w:spacing w:after="40" w:line="240" w:lineRule="auto" w:before="0"/>
            </w:pPr>
            <w:r>
              <w:rPr>
                <w:sz w:val="20"/>
              </w:rPr>
              <w:t>Schéma métropolitain, grands équipements, cohérence des permis, espaces publics et patrimoine.</w:t>
            </w:r>
          </w:p>
        </w:tc>
        <w:tc>
          <w:tcPr>
            <w:tcW w:type="dxa" w:w="2880"/>
            <w:tcMar>
              <w:top w:w="120" w:type="dxa"/>
              <w:start w:w="120" w:type="dxa"/>
              <w:bottom w:w="120" w:type="dxa"/>
              <w:end w:w="120" w:type="dxa"/>
            </w:tcMar>
          </w:tcPr>
          <w:p>
            <w:pPr>
              <w:spacing w:after="40" w:line="240" w:lineRule="auto" w:before="0"/>
            </w:pPr>
            <w:r>
              <w:rPr>
                <w:sz w:val="20"/>
              </w:rPr>
              <w:t>Conférence Ville-communes, SIG, conventions de coopération et arbitrage État.</w:t>
            </w:r>
          </w:p>
        </w:tc>
      </w:tr>
      <w:tr>
        <w:tc>
          <w:tcPr>
            <w:tcW w:type="dxa" w:w="1944"/>
            <w:tcMar>
              <w:top w:w="120" w:type="dxa"/>
              <w:start w:w="120" w:type="dxa"/>
              <w:bottom w:w="120" w:type="dxa"/>
              <w:end w:w="120" w:type="dxa"/>
            </w:tcMar>
          </w:tcPr>
          <w:p>
            <w:pPr>
              <w:spacing w:after="40" w:line="240" w:lineRule="auto" w:before="0"/>
            </w:pPr>
            <w:r>
              <w:rPr>
                <w:sz w:val="20"/>
              </w:rPr>
              <w:t>Données, GAR et redevabilité</w:t>
            </w:r>
          </w:p>
        </w:tc>
        <w:tc>
          <w:tcPr>
            <w:tcW w:type="dxa" w:w="4464"/>
            <w:tcMar>
              <w:top w:w="120" w:type="dxa"/>
              <w:start w:w="120" w:type="dxa"/>
              <w:bottom w:w="120" w:type="dxa"/>
              <w:end w:w="120" w:type="dxa"/>
            </w:tcMar>
          </w:tcPr>
          <w:p>
            <w:pPr>
              <w:spacing w:after="40" w:line="240" w:lineRule="auto" w:before="0"/>
            </w:pPr>
            <w:r>
              <w:rPr>
                <w:sz w:val="20"/>
              </w:rPr>
              <w:t>Budget-programme, indicateurs, rapport de performance, partage de données fiscales, foncières, climatiques et RH.</w:t>
            </w:r>
          </w:p>
        </w:tc>
        <w:tc>
          <w:tcPr>
            <w:tcW w:type="dxa" w:w="2880"/>
            <w:tcMar>
              <w:top w:w="120" w:type="dxa"/>
              <w:start w:w="120" w:type="dxa"/>
              <w:bottom w:w="120" w:type="dxa"/>
              <w:end w:w="120" w:type="dxa"/>
            </w:tcMar>
          </w:tcPr>
          <w:p>
            <w:pPr>
              <w:spacing w:after="40" w:line="240" w:lineRule="auto" w:before="0"/>
            </w:pPr>
            <w:r>
              <w:rPr>
                <w:sz w:val="20"/>
              </w:rPr>
              <w:t>Cellule GAR-données-projets, tableau de bord, revue trimestrielle, publication annuelle.</w:t>
            </w:r>
          </w:p>
        </w:tc>
      </w:tr>
      <w:tr>
        <w:tc>
          <w:tcPr>
            <w:tcW w:type="dxa" w:w="1944"/>
            <w:tcMar>
              <w:top w:w="120" w:type="dxa"/>
              <w:start w:w="120" w:type="dxa"/>
              <w:bottom w:w="120" w:type="dxa"/>
              <w:end w:w="120" w:type="dxa"/>
            </w:tcMar>
          </w:tcPr>
          <w:p>
            <w:pPr>
              <w:spacing w:after="40" w:line="240" w:lineRule="auto" w:before="0"/>
            </w:pPr>
            <w:r>
              <w:rPr>
                <w:sz w:val="20"/>
              </w:rPr>
              <w:t>Climat, littoral et résilience</w:t>
            </w:r>
          </w:p>
        </w:tc>
        <w:tc>
          <w:tcPr>
            <w:tcW w:type="dxa" w:w="4464"/>
            <w:tcMar>
              <w:top w:w="120" w:type="dxa"/>
              <w:start w:w="120" w:type="dxa"/>
              <w:bottom w:w="120" w:type="dxa"/>
              <w:end w:w="120" w:type="dxa"/>
            </w:tcMar>
          </w:tcPr>
          <w:p>
            <w:pPr>
              <w:spacing w:after="40" w:line="240" w:lineRule="auto" w:before="0"/>
            </w:pPr>
            <w:r>
              <w:rPr>
                <w:sz w:val="20"/>
              </w:rPr>
              <w:t>MRV climat, drainage, littoral, espaces verts, déchets, efficacité énergétique et finance verte.</w:t>
            </w:r>
          </w:p>
        </w:tc>
        <w:tc>
          <w:tcPr>
            <w:tcW w:type="dxa" w:w="2880"/>
            <w:tcMar>
              <w:top w:w="120" w:type="dxa"/>
              <w:start w:w="120" w:type="dxa"/>
              <w:bottom w:w="120" w:type="dxa"/>
              <w:end w:w="120" w:type="dxa"/>
            </w:tcMar>
          </w:tcPr>
          <w:p>
            <w:pPr>
              <w:spacing w:after="40" w:line="240" w:lineRule="auto" w:before="0"/>
            </w:pPr>
            <w:r>
              <w:rPr>
                <w:sz w:val="20"/>
              </w:rPr>
              <w:t>Portefeuille PCET, dossiers fonds climat, indicateurs MRV, conventions avec C40 et partenaires.</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IMPLICATION POUR L’ACTION</w:t>
            </w:r>
          </w:p>
          <w:p>
            <w:pPr>
              <w:spacing w:after="40" w:line="252" w:lineRule="auto"/>
            </w:pPr>
            <w:r>
              <w:rPr>
                <w:sz w:val="20"/>
              </w:rPr>
              <w:t>Cet axe doit être converti en décisions administratives, responsables identifiés, calendrier et indicateurs. L’APEC peut jouer un rôle de veille, de capitalisation et de plaidoyer pour maintenir la continuité entre réflexion et mise en œuvre.</w:t>
            </w:r>
          </w:p>
        </w:tc>
      </w:tr>
    </w:tbl>
    <w:p>
      <w:pPr>
        <w:pStyle w:val="Heading2"/>
      </w:pPr>
      <w:r>
        <w:t>2. Institutionnaliser la gestion axée sur les résultats</w:t>
      </w:r>
    </w:p>
    <w:p>
      <w:r>
        <w:t>La GAR a été l’un des axes les plus structurants des journées. Elle a été présentée non comme une technique administrative de plus, mais comme une nouvelle culture de gouvernance. Son objectif est de relier la vision politique, la programmation administrative, l’allocation budgétaire, le suivi de l’exécution et la mesure des impacts. Pour Dakar, elle peut devenir un levier de crédibilité, de transparence et de mobilisation des ressources.</w:t>
      </w:r>
    </w:p>
    <w:p>
      <w:r>
        <w:t>La situation actuelle décrite dans les supports montre une prédominance du budget de moyens. Les crédits sont affectés par directions, lignes et natures de dépenses, ce qui permet de fonctionner mais ne permet pas toujours de dire clairement quels résultats sont attendus. Cette logique limite la capacité du décideur à arbitrer en fonction de l’impact, du citoyen à comprendre l’utilisation des ressources, et du partenaire financier à apprécier la performance institutionnelle.</w:t>
      </w:r>
    </w:p>
    <w:p>
      <w:r>
        <w:t>Le budget-programme introduit une autre logique. Il ne s’agit plus seulement de savoir combien reçoit une direction, mais quel programme municipal est financé, quel problème il traite, quelle population il cible, quels résultats il vise, quels indicateurs seront suivis et qui sera responsable de l’exécution. Cette approche rend possible une lecture transversale des politiques publiques : un programme de cadre de vie peut mobiliser plusieurs directions ; un programme de jeunesse peut croiser formation, culture, sport et emploi ; un programme de résilience peut associer environnement, urbanisme, assainissement et coopération internationale.</w:t>
      </w:r>
    </w:p>
    <w:p>
      <w:r>
        <w:t>Pour être crédible, la GAR doit être institutionnalisée. Une simple formation ne suffira pas. Il faut une décision municipale, une cellule technique, une méthode commune, des outils numériques, des responsables de programme et un calendrier de suivi. La Ville pourrait commencer par quelques programmes pilotes avant de généraliser l’approche : cadre de vie et propreté, mobilité et voirie, jeunesse et emploi, adaptation climatique, attractivité et coopération, gouvernance et performance interne.</w:t>
      </w:r>
    </w:p>
    <w:p>
      <w:r>
        <w:t>Le suivi-évaluation doit être conçu comme un outil de décision, non comme une formalité de rapportage. Les indicateurs doivent être choisis avec rigueur. Trop d’indicateurs tuent le pilotage ; trop peu empêchent de comprendre les effets. Il faut distinguer les indicateurs de moyens, d’activités, de produits, de résultats et d’impacts. Le nombre de kilomètres de voirie rénovée est un produit ; la réduction du temps de déplacement ou l’amélioration de la satisfaction des usagers sont des résultats ; l’augmentation de l’activité économique ou de l’accès aux services relève de l’impact.</w:t>
      </w:r>
    </w:p>
    <w:p>
      <w:r>
        <w:t>La transparence des données doit accompagner cette réforme. Un tableau de bord public, même progressif, renforcerait la confiance. Il pourrait présenter les projets prioritaires, leur état d’avancement, le budget prévu, le budget exécuté, les résultats attendus et les alertes. Cette transparence permettrait de structurer le contrôle citoyen, d’éviter les rumeurs et de montrer que l’administration municipale accepte d’être évaluée sur des faits.</w:t>
      </w:r>
    </w:p>
    <w:p>
      <w:r>
        <w:t>La GAR est également un instrument de financement. Les bailleurs, investisseurs, partenaires privés et fonds climat demandent des cadres logiques, des indicateurs, des preuves de capacité d’exécution, des systèmes de suivi et des garanties de redevabilité. Une Ville capable de produire des rapports de performance crédibles pourra mieux négocier. La GAR prépare donc Dakar à passer d’une logique de demande de financement à une logique de présentation de projets structurés.</w:t>
      </w:r>
    </w:p>
    <w:p>
      <w:r>
        <w:t>La réussite de la GAR dépendra enfin du capital humain. Les agents doivent comprendre la méthode, mais aussi se l’approprier. Certains devront devenir responsables de programme, chefs de projet, analystes de données, spécialistes suivi-évaluation ou référents qualité. Cette évolution peut valoriser les compétences internes et donner aux cadres municipaux une place centrale dans la transformation de la Ville.</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IMPLICATION POUR L’ACTION</w:t>
            </w:r>
          </w:p>
          <w:p>
            <w:pPr>
              <w:spacing w:after="40" w:line="252" w:lineRule="auto"/>
            </w:pPr>
            <w:r>
              <w:rPr>
                <w:sz w:val="20"/>
              </w:rPr>
              <w:t>Cet axe doit être converti en décisions administratives, responsables identifiés, calendrier et indicateurs. L’APEC peut jouer un rôle de veille, de capitalisation et de plaidoyer pour maintenir la continuité entre réflexion et mise en œuvre.</w:t>
            </w:r>
          </w:p>
        </w:tc>
      </w:tr>
    </w:tbl>
    <w:p>
      <w:pPr>
        <w:pStyle w:val="Heading2"/>
      </w:pPr>
      <w:r>
        <w:t>3. Construire une autonomie financière crédible et équitable</w:t>
      </w:r>
    </w:p>
    <w:p>
      <w:r>
        <w:t>L’autonomie financière de Dakar ne peut être réduite à la hausse mécanique des recettes. Elle suppose une relation cohérente entre compétences, assiette fiscale, recouvrement, dépense, investissement et confiance citoyenne. Les panels consacrés aux ressources et aux financements innovants montrent que la Ville dispose d’un potentiel réel, mais que ce potentiel est dispersé, partiellement maîtrisé et insuffisamment transformé en capacité d’investissement durable.</w:t>
      </w:r>
    </w:p>
    <w:p>
      <w:r>
        <w:t>Le premier chantier est la connaissance de l’assiette. Une collectivité ne peut pas optimiser ce qu’elle ne connaît pas. Le foncier bâti est apparu comme un exemple central : la ville voit les immeubles se multiplier, mais la fiscalité correspondante ne reflète pas toujours cette transformation. La construction d’un cadastre fiscal municipal ou métropolitain, articulé avec les services de l’État et les communes, constitue donc une priorité. Ce cadastre doit combiner données foncières, données d’urbanisme, géolocalisation, identification des contribuables et historique de recouvrement.</w:t>
      </w:r>
    </w:p>
    <w:p>
      <w:r>
        <w:t>Le deuxième chantier est le recouvrement. Les documents insistent sur les limites des méthodes classiques, surtout pour les petites cotes dont le coût de recouvrement peut être supérieur au rendement immédiat. Les plateformes numériques, le paiement mobile, les messages ciblés, les échéanciers automatiques et l’interconnexion avec les bases de données peuvent améliorer le civisme fiscal sans transformer la relation fiscale en confrontation. La proximité numérique peut compléter la proximité administrative.</w:t>
      </w:r>
    </w:p>
    <w:p>
      <w:r>
        <w:t>Le troisième chantier est la lisibilité fiscale. Un système trop complexe décourage le contribuable et rend la redevabilité difficile. Les citoyens acceptent plus facilement l’impôt lorsqu’ils comprennent ce qu’ils paient, pourquoi ils le paient, comment ils peuvent le payer et ce que la collectivité en fait. La Ville devrait donc accompagner la modernisation fiscale par une communication simple, des services d’assistance, des campagnes pédagogiques et une publication régulière des résultats obtenus grâce aux recettes locales.</w:t>
      </w:r>
    </w:p>
    <w:p>
      <w:r>
        <w:t>Le quatrième chantier est la dépense. La recherche de ressources additionnelles doit s’accompagner d’une meilleure utilisation des ressources disponibles. Une dépense mal ciblée, répétitive ou non coordonnée réduit la capacité d’investissement autant qu’une recette non collectée. La GAR, les ratios financiers, les audits de dépenses et la programmation pluriannuelle doivent donc être intégrés à la stratégie de mobilisation des ressources.</w:t>
      </w:r>
    </w:p>
    <w:p>
      <w:r>
        <w:t>L’autonomie financière exige aussi une diversification. Dakar peut développer des recettes liées au stationnement, à l’occupation du domaine public, à la valorisation du patrimoine, aux services urbains, à l’économie culturelle et événementielle, aux partenariats avec les entreprises implantées sur son territoire, et à la coopération internationale. Mais chaque nouveau levier doit être encadré pour éviter l’informel, l’opacité ou la concurrence entre communes.</w:t>
      </w:r>
    </w:p>
    <w:p>
      <w:r>
        <w:t>L’équité doit rester au centre de la stratégie. Les ressources ne doivent pas être mobilisées de manière aveugle. La fiscalité locale doit tenir compte des capacités contributives, de la qualité du service rendu, de la répartition territoriale des équipements et des besoins sociaux. La digitalisation ne doit pas exclure les personnes éloignées du numérique ; les réformes foncières ne doivent pas ignorer les ménages vulnérables ; la valorisation du domaine public ne doit pas supprimer les usages sociaux sans solution.</w:t>
      </w:r>
    </w:p>
    <w:p>
      <w:r>
        <w:t>Enfin, la Ville doit construire une stratégie de recettes à moyen terme adaptée à son contexte. Cette stratégie pourrait fixer des objectifs par grande catégorie de ressources, identifier les niches à fort potentiel, définir les responsabilités administratives, programmer les investissements numériques et prévoir un mécanisme de suivi trimestriel. Elle constituerait le pendant financier de la vision métropolitaine.</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IMPLICATION POUR L’ACTION</w:t>
            </w:r>
          </w:p>
          <w:p>
            <w:pPr>
              <w:spacing w:after="40" w:line="252" w:lineRule="auto"/>
            </w:pPr>
            <w:r>
              <w:rPr>
                <w:sz w:val="20"/>
              </w:rPr>
              <w:t>Cet axe doit être converti en décisions administratives, responsables identifiés, calendrier et indicateurs. L’APEC peut jouer un rôle de veille, de capitalisation et de plaidoyer pour maintenir la continuité entre réflexion et mise en œuvre.</w:t>
            </w:r>
          </w:p>
        </w:tc>
      </w:tr>
    </w:tbl>
    <w:p>
      <w:pPr>
        <w:pStyle w:val="Heading2"/>
      </w:pPr>
      <w:r>
        <w:t>4. Passer des financements innovants aux projets bancables</w:t>
      </w:r>
    </w:p>
    <w:p>
      <w:r>
        <w:t>Les financements innovants occupent une place centrale dans les discussions, mais les panels ont évité l’écueil d’une vision magique des PPP ou des fonds climat. Le message est clair : les financements existent, mais ils vont vers les projets crédibles. Dakar ne doit donc pas seulement chercher de l’argent ; elle doit construire des projets techniquement solides, financièrement soutenables, socialement utiles et politiquement assumés.</w:t>
      </w:r>
    </w:p>
    <w:p>
      <w:r>
        <w:t>Le premier besoin est la préparation des projets. Un projet bancable n’est pas une idée, ni même une priorité politique. C’est un ensemble documenté comprenant un diagnostic, une justification, une étude de faisabilité, un modèle économique, une analyse des risques, une estimation des coûts, un calendrier, une gouvernance, un mécanisme de suivi et une mesure des impacts. Cette exigence vaut pour les PPP, les financements climat, les marchés financiers et les partenariats internationaux.</w:t>
      </w:r>
    </w:p>
    <w:p>
      <w:r>
        <w:t>La Ville devrait constituer un portefeuille de projets structuré. Ce portefeuille permettrait de classer les initiatives selon leur maturité : idée à explorer, projet à pré-faisabilité, projet à faisabilité, projet en recherche de financement, projet en transaction, projet en exécution. Une telle classification éviterait de présenter toutes les idées comme immédiatement finançables. Elle permettrait aussi de cibler l’assistance technique là où elle produit le plus d’effet.</w:t>
      </w:r>
    </w:p>
    <w:p>
      <w:r>
        <w:t>Les PPP doivent être utilisés de manière sélective. Ils peuvent être pertinents pour des infrastructures génératrices de revenus, des équipements urbains, des parkings, marchés, gares routières, services énergétiques, projets de valorisation foncière ou équipements à forte demande. Ils sont moins adaptés lorsque le service est socialement indispensable mais peu monétisable, sauf si un mécanisme de paiement public ou de subvention d’équilibre est prévu. L’analyse de la soutenabilité budgétaire est donc essentielle.</w:t>
      </w:r>
    </w:p>
    <w:p>
      <w:r>
        <w:t>La valorisation du patrimoine communal est une piste puissante mais sensible. Le foncier public peut permettre de réduire les besoins de financement direct et d’améliorer la bancabilité de projets. Mais cette valorisation doit se faire sans brader les actifs, sans opacité et sans priver les générations futures de ressources stratégiques. Le modèle proposé autour d’une holding municipale ou d’un véhicule de développement suppose une gouvernance professionnelle, des règles de transparence et une séparation claire entre propriété publique et exploitation économique.</w:t>
      </w:r>
    </w:p>
    <w:p>
      <w:r>
        <w:t>La finance climat nécessite une autre forme de bancabilité. Les projets d’adaptation produisent souvent des bénéfices sociaux, environnementaux et sanitaires difficiles à monétiser directement. Il faut donc documenter les pertes évitées, les populations protégées, les émissions réduites, les surfaces végétalisées, les eaux pluviales valorisées, les risques côtiers diminués et les effets sur le cadre de vie. Les données climatiques et économiques deviennent ici déterminantes.</w:t>
      </w:r>
    </w:p>
    <w:p>
      <w:r>
        <w:t>La Ville gagnerait à développer une cellule de préparation de projets et de financements innovants. Cette cellule travaillerait avec les directions techniques, la DAF, la planification, la coopération internationale, les juristes et les partenaires externes. Elle aurait pour rôle de transformer les priorités en projets présentables, de choisir le bon mode de financement, de préparer les dossiers, de coordonner les études et de suivre les transactions.</w:t>
      </w:r>
    </w:p>
    <w:p>
      <w:r>
        <w:t>Enfin, les financements innovants doivent être reliés à la redevabilité. Les PPP et fonds externes peuvent susciter de la méfiance s’ils ne sont pas expliqués. Les citoyens doivent comprendre pourquoi un projet est confié à un partenaire privé, quels risques sont transférés, quels revenus sont attendus, quelles garanties protègent l’intérêt public et comment la Ville contrôlera la qualité du service. La transparence contractuelle devient une condition de légitimité.</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IMPLICATION POUR L’ACTION</w:t>
            </w:r>
          </w:p>
          <w:p>
            <w:pPr>
              <w:spacing w:after="40" w:line="252" w:lineRule="auto"/>
            </w:pPr>
            <w:r>
              <w:rPr>
                <w:sz w:val="20"/>
              </w:rPr>
              <w:t>Cet axe doit être converti en décisions administratives, responsables identifiés, calendrier et indicateurs. L’APEC peut jouer un rôle de veille, de capitalisation et de plaidoyer pour maintenir la continuité entre réflexion et mise en œuvre.</w:t>
            </w:r>
          </w:p>
        </w:tc>
      </w:tr>
    </w:tbl>
    <w:p>
      <w:pPr>
        <w:pStyle w:val="Heading2"/>
      </w:pPr>
      <w:r>
        <w:t>5. Faire du capital humain le moteur de la réforme municipale</w:t>
      </w:r>
    </w:p>
    <w:p>
      <w:r>
        <w:t>Le volet capital humain donne une profondeur particulière au rapport. Les débats institutionnels et financiers peuvent parfois donner l’impression que la transformation dépend surtout des textes, des budgets ou des partenaires. L’analyse rappelle que la transformation dépend aussi des agents, des cadres, des élus et de leur capacité collective à apprendre, décider, exécuter, évaluer et innover.</w:t>
      </w:r>
    </w:p>
    <w:p>
      <w:r>
        <w:t>La Ville de Dakar dispose d’un capital humain reconnu. Les échanges mettent en évidence la qualité des compétences municipales, la mémoire institutionnelle, les parcours professionnels construits au sein de l’administration et la capacité de formation de l’institution. Cette force doit être organisée et valorisée par des dispositifs objectifs de gestion des compétences.</w:t>
      </w:r>
    </w:p>
    <w:p>
      <w:r>
        <w:t>La première priorité est l’audit des compétences. Il ne s’agit pas seulement de compter les agents par statut, grade ou ancienneté. Il faut identifier les formations, expériences, savoir-faire, compétences numériques, capacités linguistiques, expertise en projets, en fiscalité, en urbanisme, en coopération, en climat, en gestion financière ou en animation communautaire. Cette cartographie permettrait de mieux affecter les personnes, d’organiser la mobilité et de préparer les besoins futurs.</w:t>
      </w:r>
    </w:p>
    <w:p>
      <w:r>
        <w:t>La GPEC doit devenir un outil de pilotage. Dakar ne peut pas attendre que les besoins apparaissent pour former. Les métiers municipaux évoluent : analyste de données territoriales, chargé de projets climat, spécialiste PPP, gestionnaire de contrats, médiateur numérique, responsable de programme GAR, expert en attractivité, gestionnaire de patrimoine, chargé d’évaluation. La Ville doit anticiper ces profils et construire des parcours internes.</w:t>
      </w:r>
    </w:p>
    <w:p>
      <w:r>
        <w:t>La formation continue doit être reliée aux priorités de la Ville. Former pour former ne suffit pas. Chaque action de formation devrait correspondre à un programme municipal, à une compétence stratégique ou à une réforme en cours. Les formations sur la GAR doivent accompagner le budget-programme ; les formations sur la fiscalité doivent soutenir la stratégie de recettes ; les formations sur le PPP doivent nourrir le portefeuille de projets ; les formations sur la coopération doivent renforcer la marque territoriale.</w:t>
      </w:r>
    </w:p>
    <w:p>
      <w:r>
        <w:t>La motivation des agents est un enjeu de performance. Les échanges ont évoqué les conditions de travail, les rémunérations, la reconnaissance, la situation des volontaires, la valorisation des acquis et les perspectives de carrière. Un agent compétent mais démotivé ne produira pas durablement des résultats. La réforme RH doit donc combiner outils techniques et justice organisationnelle. La transparence des critères de promotion, de mobilité, de formation et de responsabilisation est essentielle.</w:t>
      </w:r>
    </w:p>
    <w:p>
      <w:r>
        <w:t>La digitalisation RH peut devenir un socle de modernisation. Un système d’information RH fiable permettrait de suivre les carrières, les formations, les compétences, les évaluations, les mobilités et les besoins. Il faciliterait la planification et réduirait les risques de décisions informelles. Mais la digitalisation ne doit pas être seulement un logiciel ; elle doit être accompagnée d’une clarification des processus, d’une formation des utilisateurs et d’une culture de la donnée.</w:t>
      </w:r>
    </w:p>
    <w:p>
      <w:r>
        <w:t>Enfin, l’administration municipale doit organiser une production régulière de connaissance professionnelle. Cette capacité de réflexion doit être institutionnalisée : cercles de pratiques, notes de politique publique, retours d’expérience, capitalisation des projets, mentorat professionnel, partenariats avec universités et centres de recherche. Une ville apprenante est une ville qui transforme son expérience en connaissance.</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IMPLICATION POUR L’ACTION</w:t>
            </w:r>
          </w:p>
          <w:p>
            <w:pPr>
              <w:spacing w:after="40" w:line="252" w:lineRule="auto"/>
            </w:pPr>
            <w:r>
              <w:rPr>
                <w:sz w:val="20"/>
              </w:rPr>
              <w:t>Cet axe doit être converti en décisions administratives, responsables identifiés, calendrier et indicateurs. L’APEC peut jouer un rôle de veille, de capitalisation et de plaidoyer pour maintenir la continuité entre réflexion et mise en œuvre.</w:t>
            </w:r>
          </w:p>
        </w:tc>
      </w:tr>
    </w:tbl>
    <w:p>
      <w:pPr>
        <w:pStyle w:val="Heading2"/>
      </w:pPr>
      <w:r>
        <w:t>6. Organiser le rayonnement international autour d’une marque territoriale</w:t>
      </w:r>
    </w:p>
    <w:p>
      <w:r>
        <w:t>Le rayonnement de Dakar ne part pas de zéro. La ville possède une histoire, une position géographique, une charge symbolique et des réseaux qui en font déjà une référence. Mais les panels ont montré que ce capital doit être organisé. Dans un monde où les villes se concurrencent pour attirer événements, investisseurs, touristes, talents, étudiants, financements climat et partenariats, l’attractivité doit devenir une politique publique municipale.</w:t>
      </w:r>
    </w:p>
    <w:p>
      <w:r>
        <w:t>L’histoire de Dakar doit être traitée comme une ressource stratégique. La trajectoire de ville-capitale, l’inscription dans l’histoire atlantique, le rôle du port, les fonctions administratives, diplomatiques et culturelles, les patrimoines matériels et immatériels, les marchés, les quartiers historiques, Gorée, le Plateau, la Médina, les lieux de création et les mémoires urbaines peuvent former un récit cohérent. Ce récit doit nourrir les circuits touristiques, l’éducation citoyenne, la signalétique urbaine, les événements et la marque territoriale.</w:t>
      </w:r>
    </w:p>
    <w:p>
      <w:r>
        <w:t>La marque territoriale Dakar doit être construite à partir d’atouts réels. Une marque ne se résume pas à un logo ou à un slogan. Elle exprime une promesse : ce que la ville offre, ce qu’elle représente, ce qu’elle garantit, ce qu’elle valorise. Pour Dakar, cette promesse peut combiner plusieurs dimensions : ville de mémoire, ville de culture, ville de sport, ville océanique, ville d’innovation, ville de diplomatie africaine, ville résiliente et ville de jeunesse.</w:t>
      </w:r>
    </w:p>
    <w:p>
      <w:r>
        <w:t>Le premier public de cette marque doit être les Dakarois eux-mêmes. Le sentiment d’appartenance constitue une condition de crédibilité de l’attractivité externe. Les politiques de patrimoine, d’espaces publics, de propreté, de culture, de participation et de communication citoyenne sont donc directement liées au rayonnement international.</w:t>
      </w:r>
    </w:p>
    <w:p>
      <w:r>
        <w:t>Les réseaux internationaux doivent être mieux exploités. Dakar est présente dans des organisations importantes, mais la participation doit être orientée vers des résultats : projets financés, expertises mobilisées, événements accueillis, positions de leadership obtenues, formations organisées, innovations transférées. Chaque réseau devrait avoir un point focal, un plan d’action, des opportunités identifiées et un bilan annuel.</w:t>
      </w:r>
    </w:p>
    <w:p>
      <w:r>
        <w:t>Les JOJ 2026 constituent un test majeur. Ils peuvent renforcer l’image de Dakar, mais seulement si l’événement produit un héritage. Cet héritage doit être sportif, urbain, culturel, économique et institutionnel. Il peut servir à réhabiliter des équipements, structurer un calendrier d’événements, améliorer la mobilité autour des sites, professionnaliser l’accueil, promouvoir les industries créatives et mettre en valeur la jeunesse dakaroise.</w:t>
      </w:r>
    </w:p>
    <w:p>
      <w:r>
        <w:t>Le tourisme culturel et mémoriel doit être intégré à la stratégie d’attractivité. Gorée, les marchés, les lieux culturels, les espaces de création, la gastronomie, la mode, la musique et les patrimoines immatériels peuvent constituer des circuits cohérents. Mais cela suppose un travail sur l’accessibilité, la signalétique, la propreté, la sécurité, la formation des acteurs et la communication multilingue.</w:t>
      </w:r>
    </w:p>
    <w:p>
      <w:r>
        <w:t>L’attractivité économique doit aussi être pensée à l’échelle municipale. Dakar peut travailler avec les agences nationales, les chambres consulaires, les universités, la diaspora et le secteur privé pour attirer des investissements compatibles avec sa vision. Un guichet municipal d’information pour les investisseurs et porteurs de projets urbains pourrait orienter vers les opportunités, les règles, les partenaires et les projets prioritaires.</w:t>
      </w:r>
    </w:p>
    <w:p>
      <w:r>
        <w:t>Enfin, l’attractivité doit être mesurée. Un observatoire de l’attractivité territoriale permettrait de suivre des indicateurs : événements accueillis, fréquentation touristique, investissements, partenariats actifs, qualité de vie, espaces verts, mobilité, visibilité internationale, satisfaction des visiteurs, perception des habitants. Sans mesure, la marque risque de rester déclarative. Avec des données, elle devient un outil de pilotage.</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IMPLICATION POUR L’ACTION</w:t>
            </w:r>
          </w:p>
          <w:p>
            <w:pPr>
              <w:spacing w:after="40" w:line="252" w:lineRule="auto"/>
            </w:pPr>
            <w:r>
              <w:rPr>
                <w:sz w:val="20"/>
              </w:rPr>
              <w:t>Cet axe doit être converti en décisions administratives, responsables identifiés, calendrier et indicateurs. L’APEC peut jouer un rôle de veille, de capitalisation et de plaidoyer pour maintenir la continuité entre réflexion et mise en œuvre.</w:t>
            </w:r>
          </w:p>
        </w:tc>
      </w:tr>
    </w:tbl>
    <w:p>
      <w:pPr>
        <w:pStyle w:val="Heading1"/>
      </w:pPr>
      <w:r>
        <w:t>Benchmark international ciblé</w:t>
      </w:r>
    </w:p>
    <w:p>
      <w:r>
        <w:t>Le benchmark ci-dessous ne vise pas à copier des modèles étrangers. Il sert à identifier des mécanismes transférables à Dakar : contrats de performance, sociétés de développement local, emprunts municipaux, gouvernance métropolitaine, district autonome et valorisation patrimoniale. Chaque expérience doit être adaptée au cadre juridique sénégalais, au Code général des Collectivités locales, aux finances de Dakar et aux exigences de l’Acte IV.</w:t>
      </w:r>
      <w:r>
        <w:rPr>
          <w:rStyle w:val="FootnoteReference"/>
        </w:rPr>
        <w:footnoteReference w:id="12"/>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300"/>
        <w:gridCol w:w="2750"/>
        <w:gridCol w:w="3150"/>
        <w:gridCol w:w="2160"/>
      </w:tblGrid>
      <w:tr>
        <w:trPr>
          <w:tblHeader w:val="true"/>
        </w:trPr>
        <w:tc>
          <w:tcPr>
            <w:tcW w:type="dxa" w:w="130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Ville</w:t>
            </w:r>
          </w:p>
        </w:tc>
        <w:tc>
          <w:tcPr>
            <w:tcW w:type="dxa" w:w="27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Bonne pratique</w:t>
            </w:r>
          </w:p>
        </w:tc>
        <w:tc>
          <w:tcPr>
            <w:tcW w:type="dxa" w:w="31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Ce que Dakar peut retenir</w:t>
            </w:r>
          </w:p>
        </w:tc>
        <w:tc>
          <w:tcPr>
            <w:tcW w:type="dxa" w:w="216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Condition de transfert</w:t>
            </w:r>
          </w:p>
        </w:tc>
      </w:tr>
      <w:tr>
        <w:tc>
          <w:tcPr>
            <w:tcW w:type="dxa" w:w="1300"/>
            <w:tcMar>
              <w:top w:w="120" w:type="dxa"/>
              <w:start w:w="120" w:type="dxa"/>
              <w:bottom w:w="120" w:type="dxa"/>
              <w:end w:w="120" w:type="dxa"/>
            </w:tcMar>
            <w:vAlign w:val="center"/>
          </w:tcPr>
          <w:p>
            <w:pPr>
              <w:spacing w:after="40" w:line="240" w:lineRule="auto" w:before="0"/>
            </w:pPr>
            <w:r>
              <w:rPr>
                <w:rFonts w:ascii="Calibri" w:hAnsi="Calibri"/>
                <w:color w:val="232323"/>
                <w:sz w:val="20"/>
              </w:rPr>
              <w:t>Kigali</w:t>
            </w:r>
          </w:p>
        </w:tc>
        <w:tc>
          <w:tcPr>
            <w:tcW w:type="dxa" w:w="2750"/>
            <w:tcMar>
              <w:top w:w="120" w:type="dxa"/>
              <w:start w:w="120" w:type="dxa"/>
              <w:bottom w:w="120" w:type="dxa"/>
              <w:end w:w="120" w:type="dxa"/>
            </w:tcMar>
            <w:vAlign w:val="center"/>
          </w:tcPr>
          <w:p>
            <w:pPr>
              <w:spacing w:after="40" w:line="240" w:lineRule="auto" w:before="0"/>
            </w:pPr>
            <w:r>
              <w:rPr>
                <w:rFonts w:ascii="Calibri" w:hAnsi="Calibri"/>
                <w:color w:val="232323"/>
                <w:sz w:val="20"/>
              </w:rPr>
              <w:t>Contrats de performance et suivi régulier des engagements publics, dans la logique Imihigo.</w:t>
            </w:r>
          </w:p>
        </w:tc>
        <w:tc>
          <w:tcPr>
            <w:tcW w:type="dxa" w:w="3150"/>
            <w:tcMar>
              <w:top w:w="120" w:type="dxa"/>
              <w:start w:w="120" w:type="dxa"/>
              <w:bottom w:w="120" w:type="dxa"/>
              <w:end w:w="120" w:type="dxa"/>
            </w:tcMar>
            <w:vAlign w:val="center"/>
          </w:tcPr>
          <w:p>
            <w:pPr>
              <w:spacing w:after="40" w:line="240" w:lineRule="auto" w:before="0"/>
            </w:pPr>
            <w:r>
              <w:rPr>
                <w:rFonts w:ascii="Calibri" w:hAnsi="Calibri"/>
                <w:color w:val="232323"/>
                <w:sz w:val="20"/>
              </w:rPr>
              <w:t>Transformer la GAR en pratique de gestion : objectifs, indicateurs, responsables, revue périodique et publication de résultats.</w:t>
            </w:r>
          </w:p>
        </w:tc>
        <w:tc>
          <w:tcPr>
            <w:tcW w:type="dxa" w:w="2160"/>
            <w:tcMar>
              <w:top w:w="120" w:type="dxa"/>
              <w:start w:w="120" w:type="dxa"/>
              <w:bottom w:w="120" w:type="dxa"/>
              <w:end w:w="120" w:type="dxa"/>
            </w:tcMar>
            <w:vAlign w:val="center"/>
          </w:tcPr>
          <w:p>
            <w:pPr>
              <w:spacing w:after="40" w:line="240" w:lineRule="auto" w:before="0"/>
            </w:pPr>
            <w:r>
              <w:rPr>
                <w:rFonts w:ascii="Calibri" w:hAnsi="Calibri"/>
                <w:color w:val="232323"/>
                <w:sz w:val="20"/>
              </w:rPr>
              <w:t>Limiter le nombre d’indicateurs et les relier aux arbitrages budgétaires.</w:t>
            </w:r>
          </w:p>
        </w:tc>
      </w:tr>
      <w:tr>
        <w:tc>
          <w:tcPr>
            <w:tcW w:type="dxa" w:w="1300"/>
            <w:tcMar>
              <w:top w:w="120" w:type="dxa"/>
              <w:start w:w="120" w:type="dxa"/>
              <w:bottom w:w="120" w:type="dxa"/>
              <w:end w:w="120" w:type="dxa"/>
            </w:tcMar>
            <w:vAlign w:val="center"/>
          </w:tcPr>
          <w:p>
            <w:pPr>
              <w:spacing w:after="40" w:line="240" w:lineRule="auto" w:before="0"/>
            </w:pPr>
            <w:r>
              <w:rPr>
                <w:rFonts w:ascii="Calibri" w:hAnsi="Calibri"/>
                <w:color w:val="232323"/>
                <w:sz w:val="20"/>
              </w:rPr>
              <w:t>Casablanca</w:t>
            </w:r>
          </w:p>
        </w:tc>
        <w:tc>
          <w:tcPr>
            <w:tcW w:type="dxa" w:w="2750"/>
            <w:tcMar>
              <w:top w:w="120" w:type="dxa"/>
              <w:start w:w="120" w:type="dxa"/>
              <w:bottom w:w="120" w:type="dxa"/>
              <w:end w:w="120" w:type="dxa"/>
            </w:tcMar>
            <w:vAlign w:val="center"/>
          </w:tcPr>
          <w:p>
            <w:pPr>
              <w:spacing w:after="40" w:line="240" w:lineRule="auto" w:before="0"/>
            </w:pPr>
            <w:r>
              <w:rPr>
                <w:rFonts w:ascii="Calibri" w:hAnsi="Calibri"/>
                <w:color w:val="232323"/>
                <w:sz w:val="20"/>
              </w:rPr>
              <w:t>Sociétés de développement local pour porter des fonctions urbaines spécialisées : aménagement, mobilité, environnement, patrimoine et services.</w:t>
            </w:r>
          </w:p>
        </w:tc>
        <w:tc>
          <w:tcPr>
            <w:tcW w:type="dxa" w:w="3150"/>
            <w:tcMar>
              <w:top w:w="120" w:type="dxa"/>
              <w:start w:w="120" w:type="dxa"/>
              <w:bottom w:w="120" w:type="dxa"/>
              <w:end w:w="120" w:type="dxa"/>
            </w:tcMar>
            <w:vAlign w:val="center"/>
          </w:tcPr>
          <w:p>
            <w:pPr>
              <w:spacing w:after="40" w:line="240" w:lineRule="auto" w:before="0"/>
            </w:pPr>
            <w:r>
              <w:rPr>
                <w:rFonts w:ascii="Calibri" w:hAnsi="Calibri"/>
                <w:color w:val="232323"/>
                <w:sz w:val="20"/>
              </w:rPr>
              <w:t>Explorer un véhicule municipal ou des sociétés de projet pour la valorisation patrimoniale, les équipements et les projets structurants.</w:t>
            </w:r>
          </w:p>
        </w:tc>
        <w:tc>
          <w:tcPr>
            <w:tcW w:type="dxa" w:w="2160"/>
            <w:tcMar>
              <w:top w:w="120" w:type="dxa"/>
              <w:start w:w="120" w:type="dxa"/>
              <w:bottom w:w="120" w:type="dxa"/>
              <w:end w:w="120" w:type="dxa"/>
            </w:tcMar>
            <w:vAlign w:val="center"/>
          </w:tcPr>
          <w:p>
            <w:pPr>
              <w:spacing w:after="40" w:line="240" w:lineRule="auto" w:before="0"/>
            </w:pPr>
            <w:r>
              <w:rPr>
                <w:rFonts w:ascii="Calibri" w:hAnsi="Calibri"/>
                <w:color w:val="232323"/>
                <w:sz w:val="20"/>
              </w:rPr>
              <w:t>Garantir transparence, contrôle public, modèle économique et séparation claire entre propriété publique et exploitation.</w:t>
            </w:r>
          </w:p>
        </w:tc>
      </w:tr>
      <w:tr>
        <w:tc>
          <w:tcPr>
            <w:tcW w:type="dxa" w:w="1300"/>
            <w:tcMar>
              <w:top w:w="120" w:type="dxa"/>
              <w:start w:w="120" w:type="dxa"/>
              <w:bottom w:w="120" w:type="dxa"/>
              <w:end w:w="120" w:type="dxa"/>
            </w:tcMar>
            <w:vAlign w:val="center"/>
          </w:tcPr>
          <w:p>
            <w:pPr>
              <w:spacing w:after="40" w:line="240" w:lineRule="auto" w:before="0"/>
            </w:pPr>
            <w:r>
              <w:rPr>
                <w:rFonts w:ascii="Calibri" w:hAnsi="Calibri"/>
                <w:color w:val="232323"/>
                <w:sz w:val="20"/>
              </w:rPr>
              <w:t>Johannesburg</w:t>
            </w:r>
          </w:p>
        </w:tc>
        <w:tc>
          <w:tcPr>
            <w:tcW w:type="dxa" w:w="2750"/>
            <w:tcMar>
              <w:top w:w="120" w:type="dxa"/>
              <w:start w:w="120" w:type="dxa"/>
              <w:bottom w:w="120" w:type="dxa"/>
              <w:end w:w="120" w:type="dxa"/>
            </w:tcMar>
            <w:vAlign w:val="center"/>
          </w:tcPr>
          <w:p>
            <w:pPr>
              <w:spacing w:after="40" w:line="240" w:lineRule="auto" w:before="0"/>
            </w:pPr>
            <w:r>
              <w:rPr>
                <w:rFonts w:ascii="Calibri" w:hAnsi="Calibri"/>
                <w:color w:val="232323"/>
                <w:sz w:val="20"/>
              </w:rPr>
              <w:t>Recours aux obligations municipales et aux obligations vertes pour financer des infrastructures et projets climatiques.</w:t>
            </w:r>
          </w:p>
        </w:tc>
        <w:tc>
          <w:tcPr>
            <w:tcW w:type="dxa" w:w="3150"/>
            <w:tcMar>
              <w:top w:w="120" w:type="dxa"/>
              <w:start w:w="120" w:type="dxa"/>
              <w:bottom w:w="120" w:type="dxa"/>
              <w:end w:w="120" w:type="dxa"/>
            </w:tcMar>
            <w:vAlign w:val="center"/>
          </w:tcPr>
          <w:p>
            <w:pPr>
              <w:spacing w:after="40" w:line="240" w:lineRule="auto" w:before="0"/>
            </w:pPr>
            <w:r>
              <w:rPr>
                <w:rFonts w:ascii="Calibri" w:hAnsi="Calibri"/>
                <w:color w:val="232323"/>
                <w:sz w:val="20"/>
              </w:rPr>
              <w:t>Préparer Dakar à l’emprunt et à la finance verte par notation, reporting, audit, portefeuille bancable et discipline financière.</w:t>
            </w:r>
          </w:p>
        </w:tc>
        <w:tc>
          <w:tcPr>
            <w:tcW w:type="dxa" w:w="2160"/>
            <w:tcMar>
              <w:top w:w="120" w:type="dxa"/>
              <w:start w:w="120" w:type="dxa"/>
              <w:bottom w:w="120" w:type="dxa"/>
              <w:end w:w="120" w:type="dxa"/>
            </w:tcMar>
            <w:vAlign w:val="center"/>
          </w:tcPr>
          <w:p>
            <w:pPr>
              <w:spacing w:after="40" w:line="240" w:lineRule="auto" w:before="0"/>
            </w:pPr>
            <w:r>
              <w:rPr>
                <w:rFonts w:ascii="Calibri" w:hAnsi="Calibri"/>
                <w:color w:val="232323"/>
                <w:sz w:val="20"/>
              </w:rPr>
              <w:t>Ne recourir au marché qu’avec comptes fiables, soutenabilité de la dette et projets à impact mesurable.</w:t>
            </w:r>
          </w:p>
        </w:tc>
      </w:tr>
      <w:tr>
        <w:tc>
          <w:tcPr>
            <w:tcW w:type="dxa" w:w="1300"/>
            <w:tcMar>
              <w:top w:w="120" w:type="dxa"/>
              <w:start w:w="120" w:type="dxa"/>
              <w:bottom w:w="120" w:type="dxa"/>
              <w:end w:w="120" w:type="dxa"/>
            </w:tcMar>
            <w:vAlign w:val="center"/>
          </w:tcPr>
          <w:p>
            <w:pPr>
              <w:spacing w:after="40" w:line="240" w:lineRule="auto" w:before="0"/>
            </w:pPr>
            <w:r>
              <w:rPr>
                <w:rFonts w:ascii="Calibri" w:hAnsi="Calibri"/>
                <w:color w:val="232323"/>
                <w:sz w:val="20"/>
              </w:rPr>
              <w:t>Rabat</w:t>
            </w:r>
          </w:p>
        </w:tc>
        <w:tc>
          <w:tcPr>
            <w:tcW w:type="dxa" w:w="2750"/>
            <w:tcMar>
              <w:top w:w="120" w:type="dxa"/>
              <w:start w:w="120" w:type="dxa"/>
              <w:bottom w:w="120" w:type="dxa"/>
              <w:end w:w="120" w:type="dxa"/>
            </w:tcMar>
            <w:vAlign w:val="center"/>
          </w:tcPr>
          <w:p>
            <w:pPr>
              <w:spacing w:after="40" w:line="240" w:lineRule="auto" w:before="0"/>
            </w:pPr>
            <w:r>
              <w:rPr>
                <w:rFonts w:ascii="Calibri" w:hAnsi="Calibri"/>
                <w:color w:val="232323"/>
                <w:sz w:val="20"/>
              </w:rPr>
              <w:t>Gouvernance urbaine et valorisation patrimoniale à travers des structures régionales, agences urbaines et programmes de patrimoine.</w:t>
            </w:r>
          </w:p>
        </w:tc>
        <w:tc>
          <w:tcPr>
            <w:tcW w:type="dxa" w:w="3150"/>
            <w:tcMar>
              <w:top w:w="120" w:type="dxa"/>
              <w:start w:w="120" w:type="dxa"/>
              <w:bottom w:w="120" w:type="dxa"/>
              <w:end w:w="120" w:type="dxa"/>
            </w:tcMar>
            <w:vAlign w:val="center"/>
          </w:tcPr>
          <w:p>
            <w:pPr>
              <w:spacing w:after="40" w:line="240" w:lineRule="auto" w:before="0"/>
            </w:pPr>
            <w:r>
              <w:rPr>
                <w:rFonts w:ascii="Calibri" w:hAnsi="Calibri"/>
                <w:color w:val="232323"/>
                <w:sz w:val="20"/>
              </w:rPr>
              <w:t>Articuler histoire de Dakar, circuits mémoriels, attractivité, patrimoine, urbanisme et qualité de l’espace public.</w:t>
            </w:r>
          </w:p>
        </w:tc>
        <w:tc>
          <w:tcPr>
            <w:tcW w:type="dxa" w:w="2160"/>
            <w:tcMar>
              <w:top w:w="120" w:type="dxa"/>
              <w:start w:w="120" w:type="dxa"/>
              <w:bottom w:w="120" w:type="dxa"/>
              <w:end w:w="120" w:type="dxa"/>
            </w:tcMar>
            <w:vAlign w:val="center"/>
          </w:tcPr>
          <w:p>
            <w:pPr>
              <w:spacing w:after="40" w:line="240" w:lineRule="auto" w:before="0"/>
            </w:pPr>
            <w:r>
              <w:rPr>
                <w:rFonts w:ascii="Calibri" w:hAnsi="Calibri"/>
                <w:color w:val="232323"/>
                <w:sz w:val="20"/>
              </w:rPr>
              <w:t>Coordonner Ville, communes, État, culture, tourisme et acteurs privés.</w:t>
            </w:r>
          </w:p>
        </w:tc>
      </w:tr>
      <w:tr>
        <w:tc>
          <w:tcPr>
            <w:tcW w:type="dxa" w:w="1300"/>
            <w:tcMar>
              <w:top w:w="120" w:type="dxa"/>
              <w:start w:w="120" w:type="dxa"/>
              <w:bottom w:w="120" w:type="dxa"/>
              <w:end w:w="120" w:type="dxa"/>
            </w:tcMar>
            <w:vAlign w:val="center"/>
          </w:tcPr>
          <w:p>
            <w:pPr>
              <w:spacing w:after="40" w:line="240" w:lineRule="auto" w:before="0"/>
            </w:pPr>
            <w:r>
              <w:rPr>
                <w:rFonts w:ascii="Calibri" w:hAnsi="Calibri"/>
                <w:color w:val="232323"/>
                <w:sz w:val="20"/>
              </w:rPr>
              <w:t>Abidjan</w:t>
            </w:r>
          </w:p>
        </w:tc>
        <w:tc>
          <w:tcPr>
            <w:tcW w:type="dxa" w:w="2750"/>
            <w:tcMar>
              <w:top w:w="120" w:type="dxa"/>
              <w:start w:w="120" w:type="dxa"/>
              <w:bottom w:w="120" w:type="dxa"/>
              <w:end w:w="120" w:type="dxa"/>
            </w:tcMar>
            <w:vAlign w:val="center"/>
          </w:tcPr>
          <w:p>
            <w:pPr>
              <w:spacing w:after="40" w:line="240" w:lineRule="auto" w:before="0"/>
            </w:pPr>
            <w:r>
              <w:rPr>
                <w:rFonts w:ascii="Calibri" w:hAnsi="Calibri"/>
                <w:color w:val="232323"/>
                <w:sz w:val="20"/>
              </w:rPr>
              <w:t>District autonome doté de personnalité morale, autonomie financière et organes propres pour traiter des fonctions métropolitaines.</w:t>
            </w:r>
          </w:p>
        </w:tc>
        <w:tc>
          <w:tcPr>
            <w:tcW w:type="dxa" w:w="3150"/>
            <w:tcMar>
              <w:top w:w="120" w:type="dxa"/>
              <w:start w:w="120" w:type="dxa"/>
              <w:bottom w:w="120" w:type="dxa"/>
              <w:end w:w="120" w:type="dxa"/>
            </w:tcMar>
            <w:vAlign w:val="center"/>
          </w:tcPr>
          <w:p>
            <w:pPr>
              <w:spacing w:after="40" w:line="240" w:lineRule="auto" w:before="0"/>
            </w:pPr>
            <w:r>
              <w:rPr>
                <w:rFonts w:ascii="Calibri" w:hAnsi="Calibri"/>
                <w:color w:val="232323"/>
                <w:sz w:val="20"/>
              </w:rPr>
              <w:t>Nourrir le plaidoyer sur le statut de Dakar et les fonctions métropolitaines nécessitant un cadre différencié.</w:t>
            </w:r>
          </w:p>
        </w:tc>
        <w:tc>
          <w:tcPr>
            <w:tcW w:type="dxa" w:w="2160"/>
            <w:tcMar>
              <w:top w:w="120" w:type="dxa"/>
              <w:start w:w="120" w:type="dxa"/>
              <w:bottom w:w="120" w:type="dxa"/>
              <w:end w:w="120" w:type="dxa"/>
            </w:tcMar>
            <w:vAlign w:val="center"/>
          </w:tcPr>
          <w:p>
            <w:pPr>
              <w:spacing w:after="40" w:line="240" w:lineRule="auto" w:before="0"/>
            </w:pPr>
            <w:r>
              <w:rPr>
                <w:rFonts w:ascii="Calibri" w:hAnsi="Calibri"/>
                <w:color w:val="232323"/>
                <w:sz w:val="20"/>
              </w:rPr>
              <w:t>Éviter la transposition mécanique ; préserver la libre administration et clarifier les rapports Ville-communes.</w:t>
            </w:r>
          </w:p>
        </w:tc>
      </w:tr>
      <w:tr>
        <w:tc>
          <w:tcPr>
            <w:tcW w:type="dxa" w:w="1300"/>
            <w:tcMar>
              <w:top w:w="120" w:type="dxa"/>
              <w:start w:w="120" w:type="dxa"/>
              <w:bottom w:w="120" w:type="dxa"/>
              <w:end w:w="120" w:type="dxa"/>
            </w:tcMar>
          </w:tcPr>
          <w:p>
            <w:pPr>
              <w:spacing w:after="40" w:line="240" w:lineRule="auto" w:before="0"/>
            </w:pPr>
            <w:r>
              <w:rPr>
                <w:sz w:val="20"/>
              </w:rPr>
              <w:t>Accra</w:t>
            </w:r>
          </w:p>
        </w:tc>
        <w:tc>
          <w:tcPr>
            <w:tcW w:type="dxa" w:w="2750"/>
            <w:tcMar>
              <w:top w:w="120" w:type="dxa"/>
              <w:start w:w="120" w:type="dxa"/>
              <w:bottom w:w="120" w:type="dxa"/>
              <w:end w:w="120" w:type="dxa"/>
            </w:tcMar>
          </w:tcPr>
          <w:p>
            <w:pPr>
              <w:spacing w:after="40" w:line="240" w:lineRule="auto" w:before="0"/>
            </w:pPr>
            <w:r>
              <w:rPr>
                <w:sz w:val="20"/>
              </w:rPr>
              <w:t>Metropolitan Assembly structurée autour de départements statutaires, dont Budget &amp; Rating, Urban Roads, Transport, Physical Planning et Waste Management.</w:t>
            </w:r>
          </w:p>
        </w:tc>
        <w:tc>
          <w:tcPr>
            <w:tcW w:type="dxa" w:w="3150"/>
            <w:tcMar>
              <w:top w:w="120" w:type="dxa"/>
              <w:start w:w="120" w:type="dxa"/>
              <w:bottom w:w="120" w:type="dxa"/>
              <w:end w:w="120" w:type="dxa"/>
            </w:tcMar>
          </w:tcPr>
          <w:p>
            <w:pPr>
              <w:spacing w:after="40" w:line="240" w:lineRule="auto" w:before="0"/>
            </w:pPr>
            <w:r>
              <w:rPr>
                <w:sz w:val="20"/>
              </w:rPr>
              <w:t>Montrer qu’une capitale peut regrouper planification, budget, routes, transport et services urbains dans une architecture métropolitaine lisible.</w:t>
            </w:r>
          </w:p>
        </w:tc>
        <w:tc>
          <w:tcPr>
            <w:tcW w:type="dxa" w:w="2160"/>
            <w:tcMar>
              <w:top w:w="120" w:type="dxa"/>
              <w:start w:w="120" w:type="dxa"/>
              <w:bottom w:w="120" w:type="dxa"/>
              <w:end w:w="120" w:type="dxa"/>
            </w:tcMar>
          </w:tcPr>
          <w:p>
            <w:pPr>
              <w:spacing w:after="40" w:line="240" w:lineRule="auto" w:before="0"/>
            </w:pPr>
            <w:r>
              <w:rPr>
                <w:sz w:val="20"/>
              </w:rPr>
              <w:t>Adapter sans copier le modèle de nomination ; préserver l’élection locale et clarifier les rapports avec les communes.</w:t>
            </w:r>
          </w:p>
        </w:tc>
      </w:tr>
      <w:tr>
        <w:tc>
          <w:tcPr>
            <w:tcW w:type="dxa" w:w="1300"/>
            <w:tcMar>
              <w:top w:w="120" w:type="dxa"/>
              <w:start w:w="120" w:type="dxa"/>
              <w:bottom w:w="120" w:type="dxa"/>
              <w:end w:w="120" w:type="dxa"/>
            </w:tcMar>
          </w:tcPr>
          <w:p>
            <w:pPr>
              <w:spacing w:after="40" w:line="240" w:lineRule="auto" w:before="0"/>
            </w:pPr>
            <w:r>
              <w:rPr>
                <w:sz w:val="20"/>
              </w:rPr>
              <w:t>Le Cap</w:t>
            </w:r>
          </w:p>
        </w:tc>
        <w:tc>
          <w:tcPr>
            <w:tcW w:type="dxa" w:w="2750"/>
            <w:tcMar>
              <w:top w:w="120" w:type="dxa"/>
              <w:start w:w="120" w:type="dxa"/>
              <w:bottom w:w="120" w:type="dxa"/>
              <w:end w:w="120" w:type="dxa"/>
            </w:tcMar>
          </w:tcPr>
          <w:p>
            <w:pPr>
              <w:spacing w:after="40" w:line="240" w:lineRule="auto" w:before="0"/>
            </w:pPr>
            <w:r>
              <w:rPr>
                <w:sz w:val="20"/>
              </w:rPr>
              <w:t>Métropole sud-africaine de catégorie A, avec budget métropolitain unique, système commun de property rates et tarifs de services, et fonctions urbaines intégrées.</w:t>
            </w:r>
          </w:p>
        </w:tc>
        <w:tc>
          <w:tcPr>
            <w:tcW w:type="dxa" w:w="3150"/>
            <w:tcMar>
              <w:top w:w="120" w:type="dxa"/>
              <w:start w:w="120" w:type="dxa"/>
              <w:bottom w:w="120" w:type="dxa"/>
              <w:end w:w="120" w:type="dxa"/>
            </w:tcMar>
          </w:tcPr>
          <w:p>
            <w:pPr>
              <w:spacing w:after="40" w:line="240" w:lineRule="auto" w:before="0"/>
            </w:pPr>
            <w:r>
              <w:rPr>
                <w:sz w:val="20"/>
              </w:rPr>
              <w:t>Étudier une logique « un espace métropolitain, une assiette consolidée, des services mesurables » pour la mobilité, les services urbains et l’investissement.</w:t>
            </w:r>
          </w:p>
        </w:tc>
        <w:tc>
          <w:tcPr>
            <w:tcW w:type="dxa" w:w="2160"/>
            <w:tcMar>
              <w:top w:w="120" w:type="dxa"/>
              <w:start w:w="120" w:type="dxa"/>
              <w:bottom w:w="120" w:type="dxa"/>
              <w:end w:w="120" w:type="dxa"/>
            </w:tcMar>
          </w:tcPr>
          <w:p>
            <w:pPr>
              <w:spacing w:after="40" w:line="240" w:lineRule="auto" w:before="0"/>
            </w:pPr>
            <w:r>
              <w:rPr>
                <w:sz w:val="20"/>
              </w:rPr>
              <w:t>Exiger comptes fiables, cadastre fiscal, qualité de service et mécanismes sociaux pour éviter une fiscalité ressentie comme punitive.</w:t>
            </w:r>
          </w:p>
        </w:tc>
      </w:tr>
      <w:tr>
        <w:tc>
          <w:tcPr>
            <w:tcW w:type="dxa" w:w="1300"/>
            <w:tcMar>
              <w:top w:w="120" w:type="dxa"/>
              <w:start w:w="120" w:type="dxa"/>
              <w:bottom w:w="120" w:type="dxa"/>
              <w:end w:w="120" w:type="dxa"/>
            </w:tcMar>
          </w:tcPr>
          <w:p>
            <w:pPr>
              <w:spacing w:after="40" w:line="240" w:lineRule="auto" w:before="0"/>
            </w:pPr>
            <w:r>
              <w:rPr>
                <w:sz w:val="20"/>
              </w:rPr>
              <w:t>Le Caire</w:t>
            </w:r>
          </w:p>
        </w:tc>
        <w:tc>
          <w:tcPr>
            <w:tcW w:type="dxa" w:w="2750"/>
            <w:tcMar>
              <w:top w:w="120" w:type="dxa"/>
              <w:start w:w="120" w:type="dxa"/>
              <w:bottom w:w="120" w:type="dxa"/>
              <w:end w:w="120" w:type="dxa"/>
            </w:tcMar>
          </w:tcPr>
          <w:p>
            <w:pPr>
              <w:spacing w:after="40" w:line="240" w:lineRule="auto" w:before="0"/>
            </w:pPr>
            <w:r>
              <w:rPr>
                <w:sz w:val="20"/>
              </w:rPr>
              <w:t>Gouvernorat-capitale organisé avec districts, services locaux, portail de services, transport, tourisme, investissement et entités administratives spécialisées.</w:t>
            </w:r>
          </w:p>
        </w:tc>
        <w:tc>
          <w:tcPr>
            <w:tcW w:type="dxa" w:w="3150"/>
            <w:tcMar>
              <w:top w:w="120" w:type="dxa"/>
              <w:start w:w="120" w:type="dxa"/>
              <w:bottom w:w="120" w:type="dxa"/>
              <w:end w:w="120" w:type="dxa"/>
            </w:tcMar>
          </w:tcPr>
          <w:p>
            <w:pPr>
              <w:spacing w:after="40" w:line="240" w:lineRule="auto" w:before="0"/>
            </w:pPr>
            <w:r>
              <w:rPr>
                <w:sz w:val="20"/>
              </w:rPr>
              <w:t>Retenir l’intérêt d’une coordination capitale-districts et d’un portail de services, sans importer un modèle trop administré.</w:t>
            </w:r>
          </w:p>
        </w:tc>
        <w:tc>
          <w:tcPr>
            <w:tcW w:type="dxa" w:w="2160"/>
            <w:tcMar>
              <w:top w:w="120" w:type="dxa"/>
              <w:start w:w="120" w:type="dxa"/>
              <w:bottom w:w="120" w:type="dxa"/>
              <w:end w:w="120" w:type="dxa"/>
            </w:tcMar>
          </w:tcPr>
          <w:p>
            <w:pPr>
              <w:spacing w:after="40" w:line="240" w:lineRule="auto" w:before="0"/>
            </w:pPr>
            <w:r>
              <w:rPr>
                <w:sz w:val="20"/>
              </w:rPr>
              <w:t>Garantir une gouvernance compatible avec la libre administration, la participation citoyenne et les équilibres État-Ville-communes.</w:t>
            </w:r>
          </w:p>
        </w:tc>
      </w:tr>
    </w:tbl>
    <w:p>
      <w:pPr>
        <w:pStyle w:val="Heading2"/>
      </w:pPr>
      <w:r>
        <w:t>Leçons transversales pour Dakar</w:t>
      </w:r>
    </w:p>
    <w:p>
      <w:pPr>
        <w:pStyle w:val="ListBullet"/>
      </w:pPr>
      <w:r>
        <w:t>Le benchmark confirme qu’une métropole performante dispose d’un dispositif de suivi mesurable, pas seulement d’une vision.</w:t>
      </w:r>
    </w:p>
    <w:p>
      <w:pPr>
        <w:pStyle w:val="ListBullet"/>
      </w:pPr>
      <w:r>
        <w:t>Les véhicules de projet peuvent accélérer l’investissement, mais seulement si leur gouvernance est transparente et leur modèle économique robuste.</w:t>
      </w:r>
    </w:p>
    <w:p>
      <w:pPr>
        <w:pStyle w:val="ListBullet"/>
      </w:pPr>
      <w:r>
        <w:t>L’emprunt municipal exige une discipline forte : comptes fiables, audit, notation, reporting, règles de dette et projets générateurs de valeur publique.</w:t>
      </w:r>
    </w:p>
    <w:p>
      <w:pPr>
        <w:pStyle w:val="ListBullet"/>
      </w:pPr>
      <w:r>
        <w:t>Le statut métropolitain doit clarifier les fonctions d’échelle : mobilité, déchets, espaces publics, attractivité, grands équipements, données et transition écologique.</w:t>
      </w:r>
    </w:p>
    <w:p>
      <w:pPr>
        <w:pStyle w:val="ListBullet"/>
      </w:pPr>
      <w:r>
        <w:t>La valorisation de l’histoire et du patrimoine n’est pas seulement culturelle ; elle peut soutenir tourisme, économie créative, diplomatie territoriale et sentiment d’appartenance.</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900"/>
        <w:gridCol w:w="1750"/>
        <w:gridCol w:w="3650"/>
        <w:gridCol w:w="2060"/>
      </w:tblGrid>
      <w:tr>
        <w:trPr>
          <w:tblHeader w:val="true"/>
        </w:trPr>
        <w:tc>
          <w:tcPr>
            <w:tcW w:type="dxa" w:w="190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Instrument à étudier</w:t>
            </w:r>
          </w:p>
        </w:tc>
        <w:tc>
          <w:tcPr>
            <w:tcW w:type="dxa" w:w="17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Inspiration</w:t>
            </w:r>
          </w:p>
        </w:tc>
        <w:tc>
          <w:tcPr>
            <w:tcW w:type="dxa" w:w="36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Application possible à Dakar</w:t>
            </w:r>
          </w:p>
        </w:tc>
        <w:tc>
          <w:tcPr>
            <w:tcW w:type="dxa" w:w="206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Première étape</w:t>
            </w:r>
          </w:p>
        </w:tc>
      </w:tr>
      <w:tr>
        <w:tc>
          <w:tcPr>
            <w:tcW w:type="dxa" w:w="1900"/>
            <w:tcMar>
              <w:top w:w="120" w:type="dxa"/>
              <w:start w:w="120" w:type="dxa"/>
              <w:bottom w:w="120" w:type="dxa"/>
              <w:end w:w="120" w:type="dxa"/>
            </w:tcMar>
            <w:vAlign w:val="center"/>
          </w:tcPr>
          <w:p>
            <w:pPr>
              <w:spacing w:after="40" w:line="240" w:lineRule="auto" w:before="0"/>
            </w:pPr>
            <w:r>
              <w:rPr>
                <w:rFonts w:ascii="Calibri" w:hAnsi="Calibri"/>
                <w:color w:val="232323"/>
                <w:sz w:val="20"/>
              </w:rPr>
              <w:t>Contrat de performance municipal</w:t>
            </w:r>
          </w:p>
        </w:tc>
        <w:tc>
          <w:tcPr>
            <w:tcW w:type="dxa" w:w="1750"/>
            <w:tcMar>
              <w:top w:w="120" w:type="dxa"/>
              <w:start w:w="120" w:type="dxa"/>
              <w:bottom w:w="120" w:type="dxa"/>
              <w:end w:w="120" w:type="dxa"/>
            </w:tcMar>
            <w:vAlign w:val="center"/>
          </w:tcPr>
          <w:p>
            <w:pPr>
              <w:spacing w:after="40" w:line="240" w:lineRule="auto" w:before="0"/>
            </w:pPr>
            <w:r>
              <w:rPr>
                <w:rFonts w:ascii="Calibri" w:hAnsi="Calibri"/>
                <w:color w:val="232323"/>
                <w:sz w:val="20"/>
              </w:rPr>
              <w:t>Kigali / Imihigo</w:t>
            </w:r>
          </w:p>
        </w:tc>
        <w:tc>
          <w:tcPr>
            <w:tcW w:type="dxa" w:w="3650"/>
            <w:tcMar>
              <w:top w:w="120" w:type="dxa"/>
              <w:start w:w="120" w:type="dxa"/>
              <w:bottom w:w="120" w:type="dxa"/>
              <w:end w:w="120" w:type="dxa"/>
            </w:tcMar>
            <w:vAlign w:val="center"/>
          </w:tcPr>
          <w:p>
            <w:pPr>
              <w:spacing w:after="40" w:line="240" w:lineRule="auto" w:before="0"/>
            </w:pPr>
            <w:r>
              <w:rPr>
                <w:rFonts w:ascii="Calibri" w:hAnsi="Calibri"/>
                <w:color w:val="232323"/>
                <w:sz w:val="20"/>
              </w:rPr>
              <w:t>Contrat annuel entre autorité municipale, directions et programmes prioritaires.</w:t>
            </w:r>
          </w:p>
        </w:tc>
        <w:tc>
          <w:tcPr>
            <w:tcW w:type="dxa" w:w="2060"/>
            <w:tcMar>
              <w:top w:w="120" w:type="dxa"/>
              <w:start w:w="120" w:type="dxa"/>
              <w:bottom w:w="120" w:type="dxa"/>
              <w:end w:w="120" w:type="dxa"/>
            </w:tcMar>
            <w:vAlign w:val="center"/>
          </w:tcPr>
          <w:p>
            <w:pPr>
              <w:spacing w:after="40" w:line="240" w:lineRule="auto" w:before="0"/>
            </w:pPr>
            <w:r>
              <w:rPr>
                <w:rFonts w:ascii="Calibri" w:hAnsi="Calibri"/>
                <w:color w:val="232323"/>
                <w:sz w:val="20"/>
              </w:rPr>
              <w:t>Piloter 7 programmes avec indicateurs SMART.</w:t>
            </w:r>
          </w:p>
        </w:tc>
      </w:tr>
      <w:tr>
        <w:tc>
          <w:tcPr>
            <w:tcW w:type="dxa" w:w="1900"/>
            <w:tcMar>
              <w:top w:w="120" w:type="dxa"/>
              <w:start w:w="120" w:type="dxa"/>
              <w:bottom w:w="120" w:type="dxa"/>
              <w:end w:w="120" w:type="dxa"/>
            </w:tcMar>
            <w:vAlign w:val="center"/>
          </w:tcPr>
          <w:p>
            <w:pPr>
              <w:spacing w:after="40" w:line="240" w:lineRule="auto" w:before="0"/>
            </w:pPr>
            <w:r>
              <w:rPr>
                <w:rFonts w:ascii="Calibri" w:hAnsi="Calibri"/>
                <w:color w:val="232323"/>
                <w:sz w:val="20"/>
              </w:rPr>
              <w:t>Véhicule de développement municipal</w:t>
            </w:r>
          </w:p>
        </w:tc>
        <w:tc>
          <w:tcPr>
            <w:tcW w:type="dxa" w:w="1750"/>
            <w:tcMar>
              <w:top w:w="120" w:type="dxa"/>
              <w:start w:w="120" w:type="dxa"/>
              <w:bottom w:w="120" w:type="dxa"/>
              <w:end w:w="120" w:type="dxa"/>
            </w:tcMar>
            <w:vAlign w:val="center"/>
          </w:tcPr>
          <w:p>
            <w:pPr>
              <w:spacing w:after="40" w:line="240" w:lineRule="auto" w:before="0"/>
            </w:pPr>
            <w:r>
              <w:rPr>
                <w:rFonts w:ascii="Calibri" w:hAnsi="Calibri"/>
                <w:color w:val="232323"/>
                <w:sz w:val="20"/>
              </w:rPr>
              <w:t>Casablanca / SDL</w:t>
            </w:r>
          </w:p>
        </w:tc>
        <w:tc>
          <w:tcPr>
            <w:tcW w:type="dxa" w:w="3650"/>
            <w:tcMar>
              <w:top w:w="120" w:type="dxa"/>
              <w:start w:w="120" w:type="dxa"/>
              <w:bottom w:w="120" w:type="dxa"/>
              <w:end w:w="120" w:type="dxa"/>
            </w:tcMar>
            <w:vAlign w:val="center"/>
          </w:tcPr>
          <w:p>
            <w:pPr>
              <w:spacing w:after="40" w:line="240" w:lineRule="auto" w:before="0"/>
            </w:pPr>
            <w:r>
              <w:rPr>
                <w:rFonts w:ascii="Calibri" w:hAnsi="Calibri"/>
                <w:color w:val="232323"/>
                <w:sz w:val="20"/>
              </w:rPr>
              <w:t>Structure dédiée à certains projets patrimoniaux, équipements, mobilité ou services urbains.</w:t>
            </w:r>
          </w:p>
        </w:tc>
        <w:tc>
          <w:tcPr>
            <w:tcW w:type="dxa" w:w="2060"/>
            <w:tcMar>
              <w:top w:w="120" w:type="dxa"/>
              <w:start w:w="120" w:type="dxa"/>
              <w:bottom w:w="120" w:type="dxa"/>
              <w:end w:w="120" w:type="dxa"/>
            </w:tcMar>
            <w:vAlign w:val="center"/>
          </w:tcPr>
          <w:p>
            <w:pPr>
              <w:spacing w:after="40" w:line="240" w:lineRule="auto" w:before="0"/>
            </w:pPr>
            <w:r>
              <w:rPr>
                <w:rFonts w:ascii="Calibri" w:hAnsi="Calibri"/>
                <w:color w:val="232323"/>
                <w:sz w:val="20"/>
              </w:rPr>
              <w:t>Étude juridique et financière préalable.</w:t>
            </w:r>
          </w:p>
        </w:tc>
      </w:tr>
      <w:tr>
        <w:tc>
          <w:tcPr>
            <w:tcW w:type="dxa" w:w="1900"/>
            <w:tcMar>
              <w:top w:w="120" w:type="dxa"/>
              <w:start w:w="120" w:type="dxa"/>
              <w:bottom w:w="120" w:type="dxa"/>
              <w:end w:w="120" w:type="dxa"/>
            </w:tcMar>
            <w:vAlign w:val="center"/>
          </w:tcPr>
          <w:p>
            <w:pPr>
              <w:spacing w:after="40" w:line="240" w:lineRule="auto" w:before="0"/>
            </w:pPr>
            <w:r>
              <w:rPr>
                <w:rFonts w:ascii="Calibri" w:hAnsi="Calibri"/>
                <w:color w:val="232323"/>
                <w:sz w:val="20"/>
              </w:rPr>
              <w:t>Obligation verte ou emprunt structuré</w:t>
            </w:r>
          </w:p>
        </w:tc>
        <w:tc>
          <w:tcPr>
            <w:tcW w:type="dxa" w:w="1750"/>
            <w:tcMar>
              <w:top w:w="120" w:type="dxa"/>
              <w:start w:w="120" w:type="dxa"/>
              <w:bottom w:w="120" w:type="dxa"/>
              <w:end w:w="120" w:type="dxa"/>
            </w:tcMar>
            <w:vAlign w:val="center"/>
          </w:tcPr>
          <w:p>
            <w:pPr>
              <w:spacing w:after="40" w:line="240" w:lineRule="auto" w:before="0"/>
            </w:pPr>
            <w:r>
              <w:rPr>
                <w:rFonts w:ascii="Calibri" w:hAnsi="Calibri"/>
                <w:color w:val="232323"/>
                <w:sz w:val="20"/>
              </w:rPr>
              <w:t>Johannesburg / Green bond</w:t>
            </w:r>
          </w:p>
        </w:tc>
        <w:tc>
          <w:tcPr>
            <w:tcW w:type="dxa" w:w="3650"/>
            <w:tcMar>
              <w:top w:w="120" w:type="dxa"/>
              <w:start w:w="120" w:type="dxa"/>
              <w:bottom w:w="120" w:type="dxa"/>
              <w:end w:w="120" w:type="dxa"/>
            </w:tcMar>
            <w:vAlign w:val="center"/>
          </w:tcPr>
          <w:p>
            <w:pPr>
              <w:spacing w:after="40" w:line="240" w:lineRule="auto" w:before="0"/>
            </w:pPr>
            <w:r>
              <w:rPr>
                <w:rFonts w:ascii="Calibri" w:hAnsi="Calibri"/>
                <w:color w:val="232323"/>
                <w:sz w:val="20"/>
              </w:rPr>
              <w:t>Financement climat pour drainage, énergie, espaces verts ou mobilité bas carbone.</w:t>
            </w:r>
          </w:p>
        </w:tc>
        <w:tc>
          <w:tcPr>
            <w:tcW w:type="dxa" w:w="2060"/>
            <w:tcMar>
              <w:top w:w="120" w:type="dxa"/>
              <w:start w:w="120" w:type="dxa"/>
              <w:bottom w:w="120" w:type="dxa"/>
              <w:end w:w="120" w:type="dxa"/>
            </w:tcMar>
            <w:vAlign w:val="center"/>
          </w:tcPr>
          <w:p>
            <w:pPr>
              <w:spacing w:after="40" w:line="240" w:lineRule="auto" w:before="0"/>
            </w:pPr>
            <w:r>
              <w:rPr>
                <w:rFonts w:ascii="Calibri" w:hAnsi="Calibri"/>
                <w:color w:val="232323"/>
                <w:sz w:val="20"/>
              </w:rPr>
              <w:t>Audit, notation, portefeuille vert et cadre MRV.</w:t>
            </w:r>
          </w:p>
        </w:tc>
      </w:tr>
      <w:tr>
        <w:tc>
          <w:tcPr>
            <w:tcW w:type="dxa" w:w="1900"/>
            <w:tcMar>
              <w:top w:w="120" w:type="dxa"/>
              <w:start w:w="120" w:type="dxa"/>
              <w:bottom w:w="120" w:type="dxa"/>
              <w:end w:w="120" w:type="dxa"/>
            </w:tcMar>
            <w:vAlign w:val="center"/>
          </w:tcPr>
          <w:p>
            <w:pPr>
              <w:spacing w:after="40" w:line="240" w:lineRule="auto" w:before="0"/>
            </w:pPr>
            <w:r>
              <w:rPr>
                <w:rFonts w:ascii="Calibri" w:hAnsi="Calibri"/>
                <w:color w:val="232323"/>
                <w:sz w:val="20"/>
              </w:rPr>
              <w:t>Autorité ou cadre métropolitain</w:t>
            </w:r>
          </w:p>
        </w:tc>
        <w:tc>
          <w:tcPr>
            <w:tcW w:type="dxa" w:w="1750"/>
            <w:tcMar>
              <w:top w:w="120" w:type="dxa"/>
              <w:start w:w="120" w:type="dxa"/>
              <w:bottom w:w="120" w:type="dxa"/>
              <w:end w:w="120" w:type="dxa"/>
            </w:tcMar>
            <w:vAlign w:val="center"/>
          </w:tcPr>
          <w:p>
            <w:pPr>
              <w:spacing w:after="40" w:line="240" w:lineRule="auto" w:before="0"/>
            </w:pPr>
            <w:r>
              <w:rPr>
                <w:rFonts w:ascii="Calibri" w:hAnsi="Calibri"/>
                <w:color w:val="232323"/>
                <w:sz w:val="20"/>
              </w:rPr>
              <w:t>Abidjan / district autonome</w:t>
            </w:r>
          </w:p>
        </w:tc>
        <w:tc>
          <w:tcPr>
            <w:tcW w:type="dxa" w:w="3650"/>
            <w:tcMar>
              <w:top w:w="120" w:type="dxa"/>
              <w:start w:w="120" w:type="dxa"/>
              <w:bottom w:w="120" w:type="dxa"/>
              <w:end w:w="120" w:type="dxa"/>
            </w:tcMar>
            <w:vAlign w:val="center"/>
          </w:tcPr>
          <w:p>
            <w:pPr>
              <w:spacing w:after="40" w:line="240" w:lineRule="auto" w:before="0"/>
            </w:pPr>
            <w:r>
              <w:rPr>
                <w:rFonts w:ascii="Calibri" w:hAnsi="Calibri"/>
                <w:color w:val="232323"/>
                <w:sz w:val="20"/>
              </w:rPr>
              <w:t>Clarification de certaines fonctions métropolitaines de Dakar dans l’Acte IV.</w:t>
            </w:r>
          </w:p>
        </w:tc>
        <w:tc>
          <w:tcPr>
            <w:tcW w:type="dxa" w:w="2060"/>
            <w:tcMar>
              <w:top w:w="120" w:type="dxa"/>
              <w:start w:w="120" w:type="dxa"/>
              <w:bottom w:w="120" w:type="dxa"/>
              <w:end w:w="120" w:type="dxa"/>
            </w:tcMar>
            <w:vAlign w:val="center"/>
          </w:tcPr>
          <w:p>
            <w:pPr>
              <w:spacing w:after="40" w:line="240" w:lineRule="auto" w:before="0"/>
            </w:pPr>
            <w:r>
              <w:rPr>
                <w:rFonts w:ascii="Calibri" w:hAnsi="Calibri"/>
                <w:color w:val="232323"/>
                <w:sz w:val="20"/>
              </w:rPr>
              <w:t>Note de position sur compétences et ressources.</w:t>
            </w:r>
          </w:p>
        </w:tc>
      </w:tr>
      <w:tr>
        <w:tc>
          <w:tcPr>
            <w:tcW w:type="dxa" w:w="1900"/>
            <w:tcMar>
              <w:top w:w="120" w:type="dxa"/>
              <w:start w:w="120" w:type="dxa"/>
              <w:bottom w:w="120" w:type="dxa"/>
              <w:end w:w="120" w:type="dxa"/>
            </w:tcMar>
            <w:vAlign w:val="center"/>
          </w:tcPr>
          <w:p>
            <w:pPr>
              <w:spacing w:after="40" w:line="240" w:lineRule="auto" w:before="0"/>
            </w:pPr>
            <w:r>
              <w:rPr>
                <w:rFonts w:ascii="Calibri" w:hAnsi="Calibri"/>
                <w:color w:val="232323"/>
                <w:sz w:val="20"/>
              </w:rPr>
              <w:t>Patrimoine et récit urbain</w:t>
            </w:r>
          </w:p>
        </w:tc>
        <w:tc>
          <w:tcPr>
            <w:tcW w:type="dxa" w:w="1750"/>
            <w:tcMar>
              <w:top w:w="120" w:type="dxa"/>
              <w:start w:w="120" w:type="dxa"/>
              <w:bottom w:w="120" w:type="dxa"/>
              <w:end w:w="120" w:type="dxa"/>
            </w:tcMar>
            <w:vAlign w:val="center"/>
          </w:tcPr>
          <w:p>
            <w:pPr>
              <w:spacing w:after="40" w:line="240" w:lineRule="auto" w:before="0"/>
            </w:pPr>
            <w:r>
              <w:rPr>
                <w:rFonts w:ascii="Calibri" w:hAnsi="Calibri"/>
                <w:color w:val="232323"/>
                <w:sz w:val="20"/>
              </w:rPr>
              <w:t>Rabat / patrimoine historique</w:t>
            </w:r>
          </w:p>
        </w:tc>
        <w:tc>
          <w:tcPr>
            <w:tcW w:type="dxa" w:w="3650"/>
            <w:tcMar>
              <w:top w:w="120" w:type="dxa"/>
              <w:start w:w="120" w:type="dxa"/>
              <w:bottom w:w="120" w:type="dxa"/>
              <w:end w:w="120" w:type="dxa"/>
            </w:tcMar>
            <w:vAlign w:val="center"/>
          </w:tcPr>
          <w:p>
            <w:pPr>
              <w:spacing w:after="40" w:line="240" w:lineRule="auto" w:before="0"/>
            </w:pPr>
            <w:r>
              <w:rPr>
                <w:rFonts w:ascii="Calibri" w:hAnsi="Calibri"/>
                <w:color w:val="232323"/>
                <w:sz w:val="20"/>
              </w:rPr>
              <w:t>Circuits historiques, signalétique, événements, Dakar Brand et tourisme culturel.</w:t>
            </w:r>
          </w:p>
        </w:tc>
        <w:tc>
          <w:tcPr>
            <w:tcW w:type="dxa" w:w="2060"/>
            <w:tcMar>
              <w:top w:w="120" w:type="dxa"/>
              <w:start w:w="120" w:type="dxa"/>
              <w:bottom w:w="120" w:type="dxa"/>
              <w:end w:w="120" w:type="dxa"/>
            </w:tcMar>
            <w:vAlign w:val="center"/>
          </w:tcPr>
          <w:p>
            <w:pPr>
              <w:spacing w:after="40" w:line="240" w:lineRule="auto" w:before="0"/>
            </w:pPr>
            <w:r>
              <w:rPr>
                <w:rFonts w:ascii="Calibri" w:hAnsi="Calibri"/>
                <w:color w:val="232323"/>
                <w:sz w:val="20"/>
              </w:rPr>
              <w:t>Récit institutionnel et trois circuits pilotes.</w:t>
            </w:r>
          </w:p>
        </w:tc>
      </w:tr>
      <w:tr>
        <w:tc>
          <w:tcPr>
            <w:tcW w:type="dxa" w:w="1900"/>
            <w:tcMar>
              <w:top w:w="120" w:type="dxa"/>
              <w:start w:w="120" w:type="dxa"/>
              <w:bottom w:w="120" w:type="dxa"/>
              <w:end w:w="120" w:type="dxa"/>
            </w:tcMar>
          </w:tcPr>
          <w:p>
            <w:pPr>
              <w:spacing w:after="40" w:line="240" w:lineRule="auto" w:before="0"/>
            </w:pPr>
            <w:r>
              <w:rPr>
                <w:sz w:val="20"/>
              </w:rPr>
              <w:t>District spécial / pôle urbain métropolitain</w:t>
            </w:r>
          </w:p>
        </w:tc>
        <w:tc>
          <w:tcPr>
            <w:tcW w:type="dxa" w:w="1750"/>
            <w:tcMar>
              <w:top w:w="120" w:type="dxa"/>
              <w:start w:w="120" w:type="dxa"/>
              <w:bottom w:w="120" w:type="dxa"/>
              <w:end w:w="120" w:type="dxa"/>
            </w:tcMar>
          </w:tcPr>
          <w:p>
            <w:pPr>
              <w:spacing w:after="40" w:line="240" w:lineRule="auto" w:before="0"/>
            </w:pPr>
            <w:r>
              <w:rPr>
                <w:sz w:val="20"/>
              </w:rPr>
              <w:t>Abidjan / Accra / Le Cap / Le Caire</w:t>
            </w:r>
          </w:p>
        </w:tc>
        <w:tc>
          <w:tcPr>
            <w:tcW w:type="dxa" w:w="3650"/>
            <w:tcMar>
              <w:top w:w="120" w:type="dxa"/>
              <w:start w:w="120" w:type="dxa"/>
              <w:bottom w:w="120" w:type="dxa"/>
              <w:end w:w="120" w:type="dxa"/>
            </w:tcMar>
          </w:tcPr>
          <w:p>
            <w:pPr>
              <w:spacing w:after="40" w:line="240" w:lineRule="auto" w:before="0"/>
            </w:pPr>
            <w:r>
              <w:rPr>
                <w:sz w:val="20"/>
              </w:rPr>
              <w:t>Statut différencié pour Dakar avec blocs de compétences, ressources dédiées et coordination Ville-communes-pôle-État.</w:t>
            </w:r>
          </w:p>
        </w:tc>
        <w:tc>
          <w:tcPr>
            <w:tcW w:type="dxa" w:w="2060"/>
            <w:tcMar>
              <w:top w:w="120" w:type="dxa"/>
              <w:start w:w="120" w:type="dxa"/>
              <w:bottom w:w="120" w:type="dxa"/>
              <w:end w:w="120" w:type="dxa"/>
            </w:tcMar>
          </w:tcPr>
          <w:p>
            <w:pPr>
              <w:spacing w:after="40" w:line="240" w:lineRule="auto" w:before="0"/>
            </w:pPr>
            <w:r>
              <w:rPr>
                <w:sz w:val="20"/>
              </w:rPr>
              <w:t>Préparer une note Acte IV comparant trois scénarios et leurs impacts juridiques, fiscaux et démocratiques.</w:t>
            </w:r>
          </w:p>
        </w:tc>
      </w:tr>
    </w:tbl>
    <w:p>
      <w:pPr>
        <w:pStyle w:val="Heading1"/>
      </w:pPr>
      <w:r>
        <w:t>Programme de transformation proposé</w:t>
      </w:r>
    </w:p>
    <w:p>
      <w:r>
        <w:t>Les recommandations des Journées scientifiques gagnent à être regroupées en programmes de transformation. Cette présentation facilite le passage de la réflexion à l’action, car elle relie chaque enjeu à un objectif, à des actions, à des livrables et à des indicateurs. Elle permet aussi d’éviter la dispersion : au lieu de traiter les propositions comme une longue liste, la Ville peut les organiser en chantiers cohérents, pilotables et évaluables.</w:t>
      </w:r>
    </w:p>
    <w:p>
      <w:r>
        <w:t>Les huit programmes proposés ci-dessous reprennent la logique des panels et des documents de soutien. La cohérence générale repose sur un principe : la GAR et la gouvernance des données sont intégrées dans un même programme de pilotage ; le numérique et la transition écologique sont séparés afin d’éviter les répétitions et de donner à chaque chantier ses livrables propres. Ces programmes ne constituent pas un plan d’action administratif définitif ; ils forment une base de travail pour l’autorité municipale, le Conseil municipal, le Secrétariat général, les directions techniques, l’APEC, les communes et les partenaires.</w:t>
      </w:r>
    </w:p>
    <w:p>
      <w:pPr>
        <w:pStyle w:val="Heading2"/>
      </w:pPr>
      <w:r>
        <w:t>Programme 1 – Statut, gouvernance territoriale et leadership métropolitain</w:t>
      </w:r>
    </w:p>
    <w:p>
      <w:r>
        <w:rPr>
          <w:rFonts w:ascii="Calibri" w:hAnsi="Calibri"/>
          <w:b/>
          <w:color w:val="0B2545"/>
        </w:rPr>
        <w:t>Objectif :</w:t>
      </w:r>
      <w:r>
        <w:t xml:space="preserve"> Clarifier la place de Dakar dans l’Acte IV et organiser sa fonction de capitale, de ville-centre et de locomotive du pôle territorial ouest.</w:t>
      </w:r>
    </w:p>
    <w:p>
      <w:r>
        <w:t>Ce programme répond à la préoccupation la plus structurante des travaux : l’écart entre la vocation réelle de Dakar et les instruments institutionnels dont elle dispose. Les échanges ont montré que beaucoup de difficultés financières et opérationnelles découlent d’une architecture territoriale insuffisamment claire. Lorsque les responsabilités sont dispersées, les recettes deviennent difficiles à capter, les projets sont ralentis et la redevabilité se dilue.</w:t>
      </w:r>
    </w:p>
    <w:p>
      <w:r>
        <w:t>L’objectif n’est pas de créer une opposition entre la Ville et les communes. Il s’agit plutôt de définir une gouvernance à plusieurs échelles : la proximité pour les services qui doivent rester proches des populations ; l’échelle municipale et métropolitaine pour les fonctions qui exigent cohérence, mutualisation et capacité d’investissement ; l’État pour les fonctions régaliennes, les normes nationales et les arbitrages stratégiques.</w:t>
      </w:r>
    </w:p>
    <w:p>
      <w:pPr>
        <w:pStyle w:val="Heading3"/>
      </w:pPr>
      <w:r>
        <w:t>Actions prioritaires</w:t>
      </w:r>
    </w:p>
    <w:p>
      <w:pPr>
        <w:pStyle w:val="ListBullet"/>
      </w:pPr>
      <w:r>
        <w:t>Préparer un mémorandum institutionnel sur le statut de Dakar dans l’Acte IV.</w:t>
      </w:r>
    </w:p>
    <w:p>
      <w:pPr>
        <w:pStyle w:val="ListBullet"/>
      </w:pPr>
      <w:r>
        <w:t>Cartographier les compétences problématiques entre État, Ville, communes et agences.</w:t>
      </w:r>
    </w:p>
    <w:p>
      <w:pPr>
        <w:pStyle w:val="ListBullet"/>
      </w:pPr>
      <w:r>
        <w:t>Proposer un mécanisme permanent de coordination Ville-communes.</w:t>
      </w:r>
    </w:p>
    <w:p>
      <w:pPr>
        <w:pStyle w:val="ListBullet"/>
      </w:pPr>
      <w:r>
        <w:t>Formaliser les fonctions métropolitaines à exercer à l’échelle de Dakar.</w:t>
      </w:r>
    </w:p>
    <w:p>
      <w:pPr>
        <w:pStyle w:val="ListBullet"/>
      </w:pPr>
      <w:r>
        <w:t>Produire une note comparative sur les modèles de gouvernance des capitales africaines.</w:t>
      </w:r>
    </w:p>
    <w:p>
      <w:pPr>
        <w:pStyle w:val="ListBullet"/>
      </w:pPr>
      <w:r>
        <w:t>Soumettre trois scénarios au débat : District spécial de Dakar, pôle urbain métropolitain ou ville-capitale renforcée.</w:t>
      </w:r>
    </w:p>
    <w:p>
      <w:pPr>
        <w:pStyle w:val="ListBullet"/>
      </w:pPr>
      <w:r>
        <w:t>Négocier un pacte de compétences nouvelles : fiscalité urbaine, transport, levée de fonds, données, PPP, climat et valorisation patrimoniale.</w:t>
      </w:r>
    </w:p>
    <w:p>
      <w:pPr>
        <w:pStyle w:val="ListBullet"/>
      </w:pPr>
      <w:r>
        <w:t>Prévoir une clause de redevabilité : indicateurs, rapports publics, audits et revues périodiques avec les communes.</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3000"/>
        <w:gridCol w:w="3000"/>
        <w:gridCol w:w="3360"/>
      </w:tblGrid>
      <w:tr>
        <w:trPr>
          <w:tblHeader w:val="true"/>
        </w:trPr>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Livrables</w:t>
            </w:r>
          </w:p>
        </w:tc>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Indicateurs</w:t>
            </w:r>
          </w:p>
        </w:tc>
        <w:tc>
          <w:tcPr>
            <w:tcW w:type="dxa" w:w="33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Risque à maîtriser</w:t>
            </w:r>
          </w:p>
        </w:tc>
      </w:tr>
      <w:tr>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Mémorandum Acte IV ; cartographie des compétences ; proposition de cadre de coordination ; note comparative ; feuille de plaidoyer.</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Nombre de compétences clarifiées ; nombre de réunions Ville-communes ; existence d’un document de position validé ; intégration des propositions dans les discussions nationales.</w:t>
            </w:r>
          </w:p>
        </w:tc>
        <w:tc>
          <w:tcPr>
            <w:tcW w:type="dxa" w:w="3360"/>
            <w:tcMar>
              <w:top w:w="80" w:type="dxa"/>
              <w:start w:w="120" w:type="dxa"/>
              <w:bottom w:w="80" w:type="dxa"/>
              <w:end w:w="120" w:type="dxa"/>
            </w:tcMar>
            <w:vAlign w:val="center"/>
          </w:tcPr>
          <w:p>
            <w:pPr>
              <w:spacing w:after="40" w:line="240" w:lineRule="auto" w:before="0"/>
            </w:pPr>
            <w:r>
              <w:rPr>
                <w:rFonts w:ascii="Calibri" w:hAnsi="Calibri"/>
                <w:color w:val="232323"/>
                <w:sz w:val="20"/>
              </w:rPr>
              <w:t>Le principal risque est de limiter le débat au statut juridique sans traiter les ressources, les responsabilités et les mécanismes de redevabilité. Le plaidoyer doit donc toujours relier compétence, financement et performance.</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POINT DE VIGILANCE</w:t>
            </w:r>
          </w:p>
          <w:p>
            <w:pPr>
              <w:spacing w:after="40" w:line="252" w:lineRule="auto"/>
            </w:pPr>
            <w:r>
              <w:rPr>
                <w:sz w:val="20"/>
              </w:rPr>
              <w:t>Le programme doit être placé sous une responsabilité clairement identifiée, avec un calendrier court de lancement et une revue périodique. Sans portage et sans indicateurs, il restera une recommandation générale.</w:t>
            </w:r>
          </w:p>
        </w:tc>
      </w:tr>
    </w:tbl>
    <w:p>
      <w:pPr>
        <w:pStyle w:val="Heading2"/>
      </w:pPr>
      <w:r>
        <w:t>Programme 2 – GAR, gouvernance des données et budget-programme</w:t>
      </w:r>
    </w:p>
    <w:p>
      <w:r>
        <w:rPr>
          <w:rFonts w:ascii="Calibri" w:hAnsi="Calibri"/>
          <w:b/>
          <w:color w:val="0B2545"/>
        </w:rPr>
        <w:t>Objectif :</w:t>
      </w:r>
      <w:r>
        <w:t xml:space="preserve"> Faire de la GAR et de la donnée municipale un même système de pilotage, depuis la planification jusqu’au rapport de performance.</w:t>
      </w:r>
    </w:p>
    <w:p>
      <w:r>
        <w:t>La GAR constitue une réponse à la demande de transparence et d’efficacité. Elle permet de passer d’une administration qui rend compte principalement des dépenses à une administration qui rend compte des résultats. Mais elle ne peut fonctionner sans données fiables : indicateurs, projets, recettes, dépenses, RH, climat, patrimoine et services urbains doivent alimenter un même tableau de bord.</w:t>
      </w:r>
    </w:p>
    <w:p>
      <w:r>
        <w:t>Ce programme doit donc porter à la fois le budget-programme, le suivi-évaluation, la gouvernance des données municipales et le rapport de performance. Il évite de créer un programme ’données’ séparé qui répéterait les mêmes objectifs ailleurs dans le rapport. Le numérique, lui, relève d’un programme distinct de services, d’interopérabilité et de systèmes.</w:t>
      </w:r>
    </w:p>
    <w:p>
      <w:pPr>
        <w:pStyle w:val="Heading3"/>
      </w:pPr>
      <w:r>
        <w:t>Actions prioritaires</w:t>
      </w:r>
    </w:p>
    <w:p>
      <w:pPr>
        <w:pStyle w:val="ListBullet"/>
      </w:pPr>
      <w:r>
        <w:t>Installer une cellule GAR, données municipales, grands projets et suivi-évaluation.</w:t>
      </w:r>
    </w:p>
    <w:p>
      <w:pPr>
        <w:pStyle w:val="ListBullet"/>
      </w:pPr>
      <w:r>
        <w:t>Définir cinq à sept programmes municipaux pilotes.</w:t>
      </w:r>
    </w:p>
    <w:p>
      <w:pPr>
        <w:pStyle w:val="ListBullet"/>
      </w:pPr>
      <w:r>
        <w:t>Construire une chaîne objectifs-activités-indicateurs-responsables.</w:t>
      </w:r>
    </w:p>
    <w:p>
      <w:pPr>
        <w:pStyle w:val="ListBullet"/>
      </w:pPr>
      <w:r>
        <w:t>Préparer un premier tableau de bord de performance.</w:t>
      </w:r>
    </w:p>
    <w:p>
      <w:pPr>
        <w:pStyle w:val="ListBullet"/>
      </w:pPr>
      <w:r>
        <w:t>Définir le référentiel des données municipales : fiscalité, foncier, budget, RH, climat, patrimoine, projets et attractivité.</w:t>
      </w:r>
    </w:p>
    <w:p>
      <w:pPr>
        <w:pStyle w:val="ListBullet"/>
      </w:pPr>
      <w:r>
        <w:t>Former les cadres aux budgets-programmes, cadres logiques et indicateurs.</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3000"/>
        <w:gridCol w:w="3000"/>
        <w:gridCol w:w="3360"/>
      </w:tblGrid>
      <w:tr>
        <w:trPr>
          <w:tblHeader w:val="true"/>
        </w:trPr>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Livrables</w:t>
            </w:r>
          </w:p>
        </w:tc>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Indicateurs</w:t>
            </w:r>
          </w:p>
        </w:tc>
        <w:tc>
          <w:tcPr>
            <w:tcW w:type="dxa" w:w="33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Risque à maîtriser</w:t>
            </w:r>
          </w:p>
        </w:tc>
      </w:tr>
      <w:tr>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Décision de création de la cellule ; manuel GAR-données ; référentiel de données ; tableau de bord pilote ; rapport semestriel de performance ; plan de formation.</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Nombre de programmes pilotes ; taux de renseignement des indicateurs ; nombre de jeux de données fiabilisés ; fréquence des revues ; proportion du budget analysée par programme.</w:t>
            </w:r>
          </w:p>
        </w:tc>
        <w:tc>
          <w:tcPr>
            <w:tcW w:type="dxa" w:w="3360"/>
            <w:tcMar>
              <w:top w:w="80" w:type="dxa"/>
              <w:start w:w="120" w:type="dxa"/>
              <w:bottom w:w="80" w:type="dxa"/>
              <w:end w:w="120" w:type="dxa"/>
            </w:tcMar>
            <w:vAlign w:val="center"/>
          </w:tcPr>
          <w:p>
            <w:pPr>
              <w:spacing w:after="40" w:line="240" w:lineRule="auto" w:before="0"/>
            </w:pPr>
            <w:r>
              <w:rPr>
                <w:rFonts w:ascii="Calibri" w:hAnsi="Calibri"/>
                <w:color w:val="232323"/>
                <w:sz w:val="20"/>
              </w:rPr>
              <w:t>Le risque est de multiplier les indicateurs ou les bases de données sans usage décisionnel. Le dispositif doit rester sélectif, lisible et directement relié aux arbitrages budgétaires.</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POINT DE VIGILANCE</w:t>
            </w:r>
          </w:p>
          <w:p>
            <w:pPr>
              <w:spacing w:after="40" w:line="252" w:lineRule="auto"/>
            </w:pPr>
            <w:r>
              <w:rPr>
                <w:sz w:val="20"/>
              </w:rPr>
              <w:t>Le programme doit être placé sous une responsabilité clairement identifiée, avec un calendrier court de lancement et une revue périodique. Sans portage et sans indicateurs, il restera une recommandation générale.</w:t>
            </w:r>
          </w:p>
        </w:tc>
      </w:tr>
    </w:tbl>
    <w:p>
      <w:pPr>
        <w:pStyle w:val="Heading2"/>
      </w:pPr>
      <w:r>
        <w:t>Programme 3 – Autonomie financière, assiette fiscale et ressources propres</w:t>
      </w:r>
    </w:p>
    <w:p>
      <w:r>
        <w:rPr>
          <w:rFonts w:ascii="Calibri" w:hAnsi="Calibri"/>
          <w:b/>
          <w:color w:val="0B2545"/>
        </w:rPr>
        <w:t>Objectif :</w:t>
      </w:r>
      <w:r>
        <w:t xml:space="preserve"> Accroître la capacité financière de Dakar en améliorant la connaissance de l’assiette, le recouvrement, la valorisation du patrimoine et l’utilisation des ressources.</w:t>
      </w:r>
    </w:p>
    <w:p>
      <w:r>
        <w:t>Les travaux ont montré que Dakar n’est pas seulement confrontée à un manque de ressources ; elle est confrontée à un problème de maîtrise de ses ressources potentielles. La fiscalité foncière, les activités économiques, le stationnement, les autorisations, les services urbains, la publicité et les actifs municipaux constituent des leviers importants, mais ils exigent des données fiables et une coordination institutionnelle.</w:t>
      </w:r>
    </w:p>
    <w:p>
      <w:r>
        <w:t>L’autonomie financière doit être pensée avec équité. Une stratégie de recettes qui pèse uniquement sur les contribuables les plus visibles risque de créer une injustice et de renforcer la défiance. La modernisation doit donc combiner élargissement de l’assiette, simplification, digitalisation, pédagogie fiscale et démonstration de l’usage des recettes.</w:t>
      </w:r>
    </w:p>
    <w:p>
      <w:pPr>
        <w:pStyle w:val="Heading3"/>
      </w:pPr>
      <w:r>
        <w:t>Actions prioritaires</w:t>
      </w:r>
    </w:p>
    <w:p>
      <w:pPr>
        <w:pStyle w:val="ListBullet"/>
      </w:pPr>
      <w:r>
        <w:t>Lancer un diagnostic de l’assiette fiscale et du recouvrement.</w:t>
      </w:r>
    </w:p>
    <w:p>
      <w:pPr>
        <w:pStyle w:val="ListBullet"/>
      </w:pPr>
      <w:r>
        <w:t>Construire un cadastre fiscal municipal ou métropolitain avec données géolocalisées.</w:t>
      </w:r>
    </w:p>
    <w:p>
      <w:pPr>
        <w:pStyle w:val="ListBullet"/>
      </w:pPr>
      <w:r>
        <w:t>Développer des procédures de paiement mobile et de notification numérique.</w:t>
      </w:r>
    </w:p>
    <w:p>
      <w:pPr>
        <w:pStyle w:val="ListBullet"/>
      </w:pPr>
      <w:r>
        <w:t>Identifier les actifs municipaux valorisables sans perte de maîtrise publique.</w:t>
      </w:r>
    </w:p>
    <w:p>
      <w:pPr>
        <w:pStyle w:val="ListBullet"/>
      </w:pPr>
      <w:r>
        <w:t>Produire une stratégie de recettes à moyen terme adaptée à Dakar.</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3000"/>
        <w:gridCol w:w="3000"/>
        <w:gridCol w:w="3360"/>
      </w:tblGrid>
      <w:tr>
        <w:trPr>
          <w:tblHeader w:val="true"/>
        </w:trPr>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Livrables</w:t>
            </w:r>
          </w:p>
        </w:tc>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Indicateurs</w:t>
            </w:r>
          </w:p>
        </w:tc>
        <w:tc>
          <w:tcPr>
            <w:tcW w:type="dxa" w:w="33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Risque à maîtriser</w:t>
            </w:r>
          </w:p>
        </w:tc>
      </w:tr>
      <w:tr>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Diagnostic fiscal ; base initiale d’assiette ; plan de digitalisation du recouvrement ; inventaire patrimonial ; stratégie de recettes à moyen terme.</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Taux d’identification des contribuables ; évolution du recouvrement ; part des paiements digitaux ; rendement des taxes ciblées ; nombre d’actifs documentés.</w:t>
            </w:r>
          </w:p>
        </w:tc>
        <w:tc>
          <w:tcPr>
            <w:tcW w:type="dxa" w:w="3360"/>
            <w:tcMar>
              <w:top w:w="80" w:type="dxa"/>
              <w:start w:w="120" w:type="dxa"/>
              <w:bottom w:w="80" w:type="dxa"/>
              <w:end w:w="120" w:type="dxa"/>
            </w:tcMar>
            <w:vAlign w:val="center"/>
          </w:tcPr>
          <w:p>
            <w:pPr>
              <w:spacing w:after="40" w:line="240" w:lineRule="auto" w:before="0"/>
            </w:pPr>
            <w:r>
              <w:rPr>
                <w:rFonts w:ascii="Calibri" w:hAnsi="Calibri"/>
                <w:color w:val="232323"/>
                <w:sz w:val="20"/>
              </w:rPr>
              <w:t>Le risque est de rechercher des recettes nouvelles sans améliorer la confiance. La stratégie doit rendre visibles les services financés par l’effort fiscal.</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POINT DE VIGILANCE</w:t>
            </w:r>
          </w:p>
          <w:p>
            <w:pPr>
              <w:spacing w:after="40" w:line="252" w:lineRule="auto"/>
            </w:pPr>
            <w:r>
              <w:rPr>
                <w:sz w:val="20"/>
              </w:rPr>
              <w:t>Le programme doit être placé sous une responsabilité clairement identifiée, avec un calendrier court de lancement et une revue périodique. Sans portage et sans indicateurs, il restera une recommandation générale.</w:t>
            </w:r>
          </w:p>
        </w:tc>
      </w:tr>
    </w:tbl>
    <w:p>
      <w:pPr>
        <w:pStyle w:val="Heading2"/>
      </w:pPr>
      <w:r>
        <w:t>Programme 4 – Ingénierie de projets, PPP et finance climat</w:t>
      </w:r>
    </w:p>
    <w:p>
      <w:r>
        <w:rPr>
          <w:rFonts w:ascii="Calibri" w:hAnsi="Calibri"/>
          <w:b/>
          <w:color w:val="0B2545"/>
        </w:rPr>
        <w:t>Objectif :</w:t>
      </w:r>
      <w:r>
        <w:t xml:space="preserve"> Transformer les besoins urbains de Dakar en projets structurés, bancables et finançables par des instruments diversifiés.</w:t>
      </w:r>
    </w:p>
    <w:p>
      <w:r>
        <w:t>Une distinction importante doit être retenue : un besoin n’est pas encore un projet. Pour intéresser un partenaire privé, un fonds climat ou un bailleur, la Ville doit présenter des projets documentés : objectifs, coût, modèle économique, risques, impacts, gouvernance, foncier, calendrier, autorisations, indicateurs et modalités contractuelles.</w:t>
      </w:r>
    </w:p>
    <w:p>
      <w:r>
        <w:t>Ce programme vise à créer une capacité municipale d’ingénierie. Il doit protéger la Ville dans ses négociations, éviter les partenariats déséquilibrés, préparer les projets prioritaires et mobiliser les financements adaptés. Il peut aussi organiser le dialogue avec l’UNAPPP, les banques, les investisseurs, les fonds climat, les universités et les cabinets spécialisés.</w:t>
      </w:r>
    </w:p>
    <w:p>
      <w:pPr>
        <w:pStyle w:val="Heading3"/>
      </w:pPr>
      <w:r>
        <w:t>Actions prioritaires</w:t>
      </w:r>
    </w:p>
    <w:p>
      <w:pPr>
        <w:pStyle w:val="ListBullet"/>
      </w:pPr>
      <w:r>
        <w:t>Mettre en place une fonction d’ingénierie financière et contractuelle.</w:t>
      </w:r>
    </w:p>
    <w:p>
      <w:pPr>
        <w:pStyle w:val="ListBullet"/>
      </w:pPr>
      <w:r>
        <w:t>Constituer un portefeuille de dix projets structurants priorisés.</w:t>
      </w:r>
    </w:p>
    <w:p>
      <w:pPr>
        <w:pStyle w:val="ListBullet"/>
      </w:pPr>
      <w:r>
        <w:t>Préparer des fiches projets complètes pour au moins trois projets bancables.</w:t>
      </w:r>
    </w:p>
    <w:p>
      <w:pPr>
        <w:pStyle w:val="ListBullet"/>
      </w:pPr>
      <w:r>
        <w:t>Identifier les projets éligibles à la finance climat.</w:t>
      </w:r>
    </w:p>
    <w:p>
      <w:pPr>
        <w:pStyle w:val="ListBullet"/>
      </w:pPr>
      <w:r>
        <w:t>Organiser une plateforme de dialogue public-privé transparente.</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3000"/>
        <w:gridCol w:w="3000"/>
        <w:gridCol w:w="3360"/>
      </w:tblGrid>
      <w:tr>
        <w:trPr>
          <w:tblHeader w:val="true"/>
        </w:trPr>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Livrables</w:t>
            </w:r>
          </w:p>
        </w:tc>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Indicateurs</w:t>
            </w:r>
          </w:p>
        </w:tc>
        <w:tc>
          <w:tcPr>
            <w:tcW w:type="dxa" w:w="33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Risque à maîtriser</w:t>
            </w:r>
          </w:p>
        </w:tc>
      </w:tr>
      <w:tr>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Portefeuille de projets ; fiches bancables ; matrice des risques ; note d’éligibilité climat ; calendrier de concertation public-privé.</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Nombre de projets documentés ; nombre de projets soumis à financement ; volume de financements mobilisés ; nombre de contrats suivis par indicateurs ; délais de préparation des projets.</w:t>
            </w:r>
          </w:p>
        </w:tc>
        <w:tc>
          <w:tcPr>
            <w:tcW w:type="dxa" w:w="3360"/>
            <w:tcMar>
              <w:top w:w="80" w:type="dxa"/>
              <w:start w:w="120" w:type="dxa"/>
              <w:bottom w:w="80" w:type="dxa"/>
              <w:end w:w="120" w:type="dxa"/>
            </w:tcMar>
            <w:vAlign w:val="center"/>
          </w:tcPr>
          <w:p>
            <w:pPr>
              <w:spacing w:after="40" w:line="240" w:lineRule="auto" w:before="0"/>
            </w:pPr>
            <w:r>
              <w:rPr>
                <w:rFonts w:ascii="Calibri" w:hAnsi="Calibri"/>
                <w:color w:val="232323"/>
                <w:sz w:val="20"/>
              </w:rPr>
              <w:t>Le risque est de considérer le PPP comme une solution automatique. Chaque montage doit être justifié par la valeur publique créée, la soutenabilité budgétaire et la protection des intérêts de la Ville.</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POINT DE VIGILANCE</w:t>
            </w:r>
          </w:p>
          <w:p>
            <w:pPr>
              <w:spacing w:after="40" w:line="252" w:lineRule="auto"/>
            </w:pPr>
            <w:r>
              <w:rPr>
                <w:sz w:val="20"/>
              </w:rPr>
              <w:t>Le programme doit être placé sous une responsabilité clairement identifiée, avec un calendrier court de lancement et une revue périodique. Sans portage et sans indicateurs, il restera une recommandation générale.</w:t>
            </w:r>
          </w:p>
        </w:tc>
      </w:tr>
    </w:tbl>
    <w:p>
      <w:pPr>
        <w:pStyle w:val="Heading2"/>
      </w:pPr>
      <w:r>
        <w:t>Programme 5 – Capital humain, GPEC et administration apprenante</w:t>
      </w:r>
    </w:p>
    <w:p>
      <w:r>
        <w:rPr>
          <w:rFonts w:ascii="Calibri" w:hAnsi="Calibri"/>
          <w:b/>
          <w:color w:val="0B2545"/>
        </w:rPr>
        <w:t>Objectif :</w:t>
      </w:r>
      <w:r>
        <w:t xml:space="preserve"> Aligner les compétences, les parcours, les formations et la motivation des agents sur la transformation de Dakar.</w:t>
      </w:r>
    </w:p>
    <w:p>
      <w:r>
        <w:t>Le capital humain est apparu comme le levier transversal par excellence. Aucune réforme ne sera durable si les agents ne disposent pas des compétences, des outils, de la reconnaissance et des perspectives nécessaires. Le rapport recommande de traiter la fonction RH comme une fonction stratégique, et non comme une simple administration du personnel.</w:t>
      </w:r>
    </w:p>
    <w:p>
      <w:r>
        <w:t>Ce programme doit articuler audit RH, GPEC, formation continue, digitalisation, mobilité interne, valorisation des acquis et amélioration des conditions de travail. Il doit aussi reconnaître la capacité des cadres municipaux à produire de la pensée publique, à documenter les expériences et à contribuer à la décision.</w:t>
      </w:r>
    </w:p>
    <w:p>
      <w:pPr>
        <w:pStyle w:val="Heading3"/>
      </w:pPr>
      <w:r>
        <w:t>Actions prioritaires</w:t>
      </w:r>
    </w:p>
    <w:p>
      <w:pPr>
        <w:pStyle w:val="ListBullet"/>
      </w:pPr>
      <w:r>
        <w:t>Finaliser l’audit du personnel et des compétences.</w:t>
      </w:r>
    </w:p>
    <w:p>
      <w:pPr>
        <w:pStyle w:val="ListBullet"/>
      </w:pPr>
      <w:r>
        <w:t>Élaborer une cartographie des métiers actuels et émergents.</w:t>
      </w:r>
    </w:p>
    <w:p>
      <w:pPr>
        <w:pStyle w:val="ListBullet"/>
      </w:pPr>
      <w:r>
        <w:t>Construire un plan de formation lié aux programmes prioritaires.</w:t>
      </w:r>
    </w:p>
    <w:p>
      <w:pPr>
        <w:pStyle w:val="ListBullet"/>
      </w:pPr>
      <w:r>
        <w:t>Déployer un système d’information RH fiable.</w:t>
      </w:r>
    </w:p>
    <w:p>
      <w:pPr>
        <w:pStyle w:val="ListBullet"/>
      </w:pPr>
      <w:r>
        <w:t>Mettre en place des mécanismes de mobilité, mentorat et valorisation des acquis.</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3000"/>
        <w:gridCol w:w="3000"/>
        <w:gridCol w:w="3360"/>
      </w:tblGrid>
      <w:tr>
        <w:trPr>
          <w:tblHeader w:val="true"/>
        </w:trPr>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Livrables</w:t>
            </w:r>
          </w:p>
        </w:tc>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Indicateurs</w:t>
            </w:r>
          </w:p>
        </w:tc>
        <w:tc>
          <w:tcPr>
            <w:tcW w:type="dxa" w:w="33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Risque à maîtriser</w:t>
            </w:r>
          </w:p>
        </w:tc>
      </w:tr>
      <w:tr>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Audit RH ; référentiel métiers-compétences ; plan de formation triennal ; SIRH ; dispositif de mobilité et de reconnaissance.</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Taux de couverture de l’audit ; nombre d’agents formés ; taux d’utilisation du SIRH ; nombre de mobilités internes ; satisfaction des agents.</w:t>
            </w:r>
          </w:p>
        </w:tc>
        <w:tc>
          <w:tcPr>
            <w:tcW w:type="dxa" w:w="3360"/>
            <w:tcMar>
              <w:top w:w="80" w:type="dxa"/>
              <w:start w:w="120" w:type="dxa"/>
              <w:bottom w:w="80" w:type="dxa"/>
              <w:end w:w="120" w:type="dxa"/>
            </w:tcMar>
            <w:vAlign w:val="center"/>
          </w:tcPr>
          <w:p>
            <w:pPr>
              <w:spacing w:after="40" w:line="240" w:lineRule="auto" w:before="0"/>
            </w:pPr>
            <w:r>
              <w:rPr>
                <w:rFonts w:ascii="Calibri" w:hAnsi="Calibri"/>
                <w:color w:val="232323"/>
                <w:sz w:val="20"/>
              </w:rPr>
              <w:t>Le risque est de réduire la réforme RH à des outils numériques. La transformation doit rester humaine, transparente et portée par un dialogue social régulier.</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POINT DE VIGILANCE</w:t>
            </w:r>
          </w:p>
          <w:p>
            <w:pPr>
              <w:spacing w:after="40" w:line="252" w:lineRule="auto"/>
            </w:pPr>
            <w:r>
              <w:rPr>
                <w:sz w:val="20"/>
              </w:rPr>
              <w:t>Le programme doit être placé sous une responsabilité clairement identifiée, avec un calendrier court de lancement et une revue périodique. Sans portage et sans indicateurs, il restera une recommandation générale.</w:t>
            </w:r>
          </w:p>
        </w:tc>
      </w:tr>
    </w:tbl>
    <w:p>
      <w:pPr>
        <w:pStyle w:val="Heading2"/>
      </w:pPr>
      <w:r>
        <w:t>Programme 6 – Rayonnement international, Dakar Brand et attractivité</w:t>
      </w:r>
    </w:p>
    <w:p>
      <w:r>
        <w:rPr>
          <w:rFonts w:ascii="Calibri" w:hAnsi="Calibri"/>
          <w:b/>
          <w:color w:val="0B2545"/>
        </w:rPr>
        <w:t>Objectif :</w:t>
      </w:r>
      <w:r>
        <w:t xml:space="preserve"> Faire du rayonnement de Dakar une politique publique mesurable, articulant marque territoriale, partenariats, événements, culture, tourisme et qualité urbaine.</w:t>
      </w:r>
    </w:p>
    <w:p>
      <w:r>
        <w:t>Dakar dispose d’un capital symbolique exceptionnel, mais les panels ont montré que ce capital doit être mieux organisé. L’attractivité ne se décrète pas ; elle se construit par la qualité des services, la cohérence de l’image, la force des événements, la sécurité, la propreté, la mobilité, l’ouverture culturelle et la capacité à transformer les réseaux internationaux en projets concrets.</w:t>
      </w:r>
    </w:p>
    <w:p>
      <w:r>
        <w:t>L’histoire de Dakar doit être intégrée comme actif stratégique d’attractivité. Ancienne commune de plein exercice, ville portuaire, capitale politique, espace de mémoire atlantique, héritière de fonctions administratives et diplomatiques majeures, Dakar possède un récit urbain qui peut soutenir le tourisme culturel, la diplomatie territoriale, les industries créatives et le sentiment d’appartenance.</w:t>
      </w:r>
    </w:p>
    <w:p>
      <w:r>
        <w:t>Ce programme doit éviter une approche uniquement communicationnelle. La marque territoriale ne doit pas être un slogan décoratif ; elle doit exprimer une promesse fondée sur des transformations réelles. Elle doit parler aux visiteurs, aux investisseurs et aux partenaires, mais d’abord aux Dakarois eux-mêmes.</w:t>
      </w:r>
    </w:p>
    <w:p>
      <w:pPr>
        <w:pStyle w:val="Heading3"/>
      </w:pPr>
      <w:r>
        <w:t>Actions prioritaires</w:t>
      </w:r>
    </w:p>
    <w:p>
      <w:pPr>
        <w:pStyle w:val="ListBullet"/>
      </w:pPr>
      <w:r>
        <w:t>Élaborer une stratégie Dakar Brand associant habitants, créateurs, institutions et secteur privé.</w:t>
      </w:r>
    </w:p>
    <w:p>
      <w:pPr>
        <w:pStyle w:val="ListBullet"/>
      </w:pPr>
      <w:r>
        <w:t>Structurer un observatoire de l’attractivité territoriale.</w:t>
      </w:r>
    </w:p>
    <w:p>
      <w:pPr>
        <w:pStyle w:val="ListBullet"/>
      </w:pPr>
      <w:r>
        <w:t>Prioriser les réseaux internationaux selon les opportunités réelles de projets.</w:t>
      </w:r>
    </w:p>
    <w:p>
      <w:pPr>
        <w:pStyle w:val="ListBullet"/>
      </w:pPr>
      <w:r>
        <w:t>Préparer un plan d’héritage des JOJ 2026.</w:t>
      </w:r>
    </w:p>
    <w:p>
      <w:pPr>
        <w:pStyle w:val="ListBullet"/>
      </w:pPr>
      <w:r>
        <w:t>Construire des circuits culturels, mémoriels, historiques, sportifs et économiques valorisant les atouts de Dakar.</w:t>
      </w:r>
    </w:p>
    <w:p>
      <w:pPr>
        <w:pStyle w:val="ListBullet"/>
      </w:pPr>
      <w:r>
        <w:t>Produire un récit institutionnel de l’histoire de Dakar : ville-capitale, ville-port, ville de mémoire, ville culturelle, ville sportive et ville de diplomatie africaine.</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3000"/>
        <w:gridCol w:w="3000"/>
        <w:gridCol w:w="3360"/>
      </w:tblGrid>
      <w:tr>
        <w:trPr>
          <w:tblHeader w:val="true"/>
        </w:trPr>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Livrables</w:t>
            </w:r>
          </w:p>
        </w:tc>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Indicateurs</w:t>
            </w:r>
          </w:p>
        </w:tc>
        <w:tc>
          <w:tcPr>
            <w:tcW w:type="dxa" w:w="33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Risque à maîtriser</w:t>
            </w:r>
          </w:p>
        </w:tc>
      </w:tr>
      <w:tr>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Stratégie de marque ; récit historique institutionnel ; tableau de bord attractivité ; cartographie des réseaux ; plan héritage JOJ ; calendrier d’événements et circuits territoriaux.</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Nombre de partenariats actifs ; événements accueillis ; fréquentation des sites historiques et culturels ; circuits mémoriels structurés ; projets issus des réseaux ; indicateurs de perception et de satisfaction.</w:t>
            </w:r>
          </w:p>
        </w:tc>
        <w:tc>
          <w:tcPr>
            <w:tcW w:type="dxa" w:w="3360"/>
            <w:tcMar>
              <w:top w:w="80" w:type="dxa"/>
              <w:start w:w="120" w:type="dxa"/>
              <w:bottom w:w="80" w:type="dxa"/>
              <w:end w:w="120" w:type="dxa"/>
            </w:tcMar>
            <w:vAlign w:val="center"/>
          </w:tcPr>
          <w:p>
            <w:pPr>
              <w:spacing w:after="40" w:line="240" w:lineRule="auto" w:before="0"/>
            </w:pPr>
            <w:r>
              <w:rPr>
                <w:rFonts w:ascii="Calibri" w:hAnsi="Calibri"/>
                <w:color w:val="232323"/>
                <w:sz w:val="20"/>
              </w:rPr>
              <w:t>Le risque est de communiquer plus vite que la ville ne se transforme. La marque doit rester connectée à la qualité urbaine et au vécu des habitants.</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POINT DE VIGILANCE</w:t>
            </w:r>
          </w:p>
          <w:p>
            <w:pPr>
              <w:spacing w:after="40" w:line="252" w:lineRule="auto"/>
            </w:pPr>
            <w:r>
              <w:rPr>
                <w:sz w:val="20"/>
              </w:rPr>
              <w:t>Le programme doit être placé sous une responsabilité clairement identifiée, avec un calendrier court de lancement et une revue périodique. Sans portage et sans indicateurs, il restera une recommandation générale.</w:t>
            </w:r>
          </w:p>
        </w:tc>
      </w:tr>
    </w:tbl>
    <w:p>
      <w:pPr>
        <w:pStyle w:val="Heading2"/>
      </w:pPr>
      <w:r>
        <w:t>Programme 7 – Transformation numérique et services municipaux</w:t>
      </w:r>
    </w:p>
    <w:p>
      <w:r>
        <w:rPr>
          <w:rFonts w:ascii="Calibri" w:hAnsi="Calibri"/>
          <w:b/>
          <w:color w:val="0B2545"/>
        </w:rPr>
        <w:t>Objectif :</w:t>
      </w:r>
      <w:r>
        <w:t xml:space="preserve"> Accélérer la modernisation numérique de Dakar par des services en ligne, l’interopérabilité, l’e-taxe, le SIG, l’archivage électronique et les tableaux de bord.</w:t>
      </w:r>
    </w:p>
    <w:p>
      <w:r>
        <w:t>Le numérique doit être traité comme un programme opérationnel propre, distinct de la transition écologique. Il ne doit pas absorber la gouvernance des données, déjà rattachée au programme GAR-données, mais il doit fournir les systèmes, services et standards qui permettent de produire, sécuriser et partager l’information.</w:t>
      </w:r>
    </w:p>
    <w:p>
      <w:r>
        <w:t>Le programme numérique doit prioriser les services à fort impact : e-taxe, occupation du domaine public, autorisations événementielles, suivi des projets, gestion RH, courrier, archivage, SIG, portail usager et tableaux de bord. Sa réussite dépend de l’interopérabilité et de l’appropriation par les services.</w:t>
      </w:r>
    </w:p>
    <w:p>
      <w:pPr>
        <w:pStyle w:val="Heading3"/>
      </w:pPr>
      <w:r>
        <w:t>Actions prioritaires</w:t>
      </w:r>
    </w:p>
    <w:p>
      <w:pPr>
        <w:pStyle w:val="ListBullet"/>
      </w:pPr>
      <w:r>
        <w:t>Élaborer une feuille de route numérique municipale alignée sur le Plan stratégique Dakar 2035-2050.</w:t>
      </w:r>
    </w:p>
    <w:p>
      <w:pPr>
        <w:pStyle w:val="ListBullet"/>
      </w:pPr>
      <w:r>
        <w:t>Déployer les services numériques prioritaires : e-taxe, occupation du domaine public, événements, RH, projets et courrier.</w:t>
      </w:r>
    </w:p>
    <w:p>
      <w:pPr>
        <w:pStyle w:val="ListBullet"/>
      </w:pPr>
      <w:r>
        <w:t>Définir des standards d’interopérabilité entre Ville, communes, État, DGID, Trésor et prestataires.</w:t>
      </w:r>
    </w:p>
    <w:p>
      <w:pPr>
        <w:pStyle w:val="ListBullet"/>
      </w:pPr>
      <w:r>
        <w:t>Mettre en place un SIG municipal relié aux données fiscales, foncières, patrimoniales et de projets.</w:t>
      </w:r>
    </w:p>
    <w:p>
      <w:pPr>
        <w:pStyle w:val="ListBullet"/>
      </w:pPr>
      <w:r>
        <w:t>Organiser la formation des agents et l’assistance aux usagers pour éviter une digitalisation excluante.</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3000"/>
        <w:gridCol w:w="3000"/>
        <w:gridCol w:w="3360"/>
      </w:tblGrid>
      <w:tr>
        <w:trPr>
          <w:tblHeader w:val="true"/>
        </w:trPr>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Livrables</w:t>
            </w:r>
          </w:p>
        </w:tc>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Indicateurs</w:t>
            </w:r>
          </w:p>
        </w:tc>
        <w:tc>
          <w:tcPr>
            <w:tcW w:type="dxa" w:w="33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Risque à maîtriser</w:t>
            </w:r>
          </w:p>
        </w:tc>
      </w:tr>
      <w:tr>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Feuille de route numérique ; cartographie des systèmes ; protocole d’interopérabilité ; services prioritaires cadrés ; SIG pilote ; plan de formation.</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Nombre de services en ligne ; délais réduits ; taux d’utilisation ; données échangées ; agents formés ; incidents traités.</w:t>
            </w:r>
          </w:p>
        </w:tc>
        <w:tc>
          <w:tcPr>
            <w:tcW w:type="dxa" w:w="3360"/>
            <w:tcMar>
              <w:top w:w="80" w:type="dxa"/>
              <w:start w:w="120" w:type="dxa"/>
              <w:bottom w:w="80" w:type="dxa"/>
              <w:end w:w="120" w:type="dxa"/>
            </w:tcMar>
            <w:vAlign w:val="center"/>
          </w:tcPr>
          <w:p>
            <w:pPr>
              <w:spacing w:after="40" w:line="240" w:lineRule="auto" w:before="0"/>
            </w:pPr>
            <w:r>
              <w:rPr>
                <w:rFonts w:ascii="Calibri" w:hAnsi="Calibri"/>
                <w:color w:val="232323"/>
                <w:sz w:val="20"/>
              </w:rPr>
              <w:t>Le risque est de multiplier des applications isolées. La transformation numérique doit être pilotée par des standards, une architecture et un support aux usagers.</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POINT DE VIGILANCE</w:t>
            </w:r>
          </w:p>
          <w:p>
            <w:pPr>
              <w:spacing w:after="40" w:line="252" w:lineRule="auto"/>
            </w:pPr>
            <w:r>
              <w:rPr>
                <w:sz w:val="20"/>
              </w:rPr>
              <w:t>Le programme doit être placé sous une responsabilité clairement identifiée, avec un calendrier court de lancement et une revue périodique. Sans portage et sans indicateurs, il restera une recommandation générale.</w:t>
            </w:r>
          </w:p>
        </w:tc>
      </w:tr>
    </w:tbl>
    <w:p>
      <w:pPr>
        <w:pStyle w:val="Heading2"/>
      </w:pPr>
      <w:r>
        <w:t>Programme 8 – Transition écologique, PCET et résilience climatique</w:t>
      </w:r>
    </w:p>
    <w:p>
      <w:r>
        <w:rPr>
          <w:rFonts w:ascii="Calibri" w:hAnsi="Calibri"/>
          <w:b/>
          <w:color w:val="0B2545"/>
        </w:rPr>
        <w:t>Objectif :</w:t>
      </w:r>
      <w:r>
        <w:t xml:space="preserve"> Transformer le PCET en portefeuille de projets verts, financés et suivis par des indicateurs MRV.</w:t>
      </w:r>
      <w:r>
        <w:rPr>
          <w:rStyle w:val="FootnoteReference"/>
        </w:rPr>
        <w:footnoteReference w:id="13"/>
      </w:r>
    </w:p>
    <w:p>
      <w:r>
        <w:t>La transition écologique doit être séparée du numérique afin de conserver sa logique propre : adaptation climatique, atténuation, cadre de vie, déchets, énergie, mobilité bas carbone, espaces verts, littoral, inondations et finance climat.</w:t>
      </w:r>
    </w:p>
    <w:p>
      <w:r>
        <w:t>Le PCET fournit déjà un socle : vision Dakar 2050, 7 axes, 22 actions, gouvernance climatique, dispositif MRV et stratégie de finance verte. Le programme doit convertir ce socle en projets bancables et en résultats mesurables pour les habitants.</w:t>
      </w:r>
    </w:p>
    <w:p>
      <w:pPr>
        <w:pStyle w:val="Heading3"/>
      </w:pPr>
      <w:r>
        <w:t>Actions prioritaires</w:t>
      </w:r>
    </w:p>
    <w:p>
      <w:pPr>
        <w:pStyle w:val="ListBullet"/>
      </w:pPr>
      <w:r>
        <w:t>Structurer un portefeuille prioritaire de projets verts : drainage, littoral, espaces verts, solaire, efficacité énergétique, déchets et mobilité bas carbone.</w:t>
      </w:r>
    </w:p>
    <w:p>
      <w:pPr>
        <w:pStyle w:val="ListBullet"/>
      </w:pPr>
      <w:r>
        <w:t>Déployer un tableau de bord PCET avec indicateurs MRV, bénéficiaires, coûts, risques et impacts.</w:t>
      </w:r>
    </w:p>
    <w:p>
      <w:pPr>
        <w:pStyle w:val="ListBullet"/>
      </w:pPr>
      <w:r>
        <w:t>Préparer des dossiers de financement vert fondés sur les vulnérabilités, les pertes évitées et les bénéfices sociaux.</w:t>
      </w:r>
    </w:p>
    <w:p>
      <w:pPr>
        <w:pStyle w:val="ListBullet"/>
      </w:pPr>
      <w:r>
        <w:t>Relier fiscalité environnementale, redevances déchets et valorisation énergétique au financement du PCET.</w:t>
      </w:r>
    </w:p>
    <w:p>
      <w:pPr>
        <w:pStyle w:val="ListBullet"/>
      </w:pPr>
      <w:r>
        <w:t>Organiser une revue semestrielle des projets climat avec les partenaires et communes concernées.</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3000"/>
        <w:gridCol w:w="3000"/>
        <w:gridCol w:w="3360"/>
      </w:tblGrid>
      <w:tr>
        <w:trPr>
          <w:tblHeader w:val="true"/>
        </w:trPr>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Livrables</w:t>
            </w:r>
          </w:p>
        </w:tc>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Indicateurs</w:t>
            </w:r>
          </w:p>
        </w:tc>
        <w:tc>
          <w:tcPr>
            <w:tcW w:type="dxa" w:w="33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Risque à maîtriser</w:t>
            </w:r>
          </w:p>
        </w:tc>
      </w:tr>
      <w:tr>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Portefeuille PCET priorisé ; tableau de bord MRV ; fiches projets climat ; stratégie de finance verte ; calendrier de revue ; dossier fiscalité environnementale.</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Projets climat documentés ; indicateurs MRV renseignés ; financements verts soumis ou obtenus ; zones vulnérables traitées ; espaces verts créés ou réhabilités.</w:t>
            </w:r>
          </w:p>
        </w:tc>
        <w:tc>
          <w:tcPr>
            <w:tcW w:type="dxa" w:w="3360"/>
            <w:tcMar>
              <w:top w:w="80" w:type="dxa"/>
              <w:start w:w="120" w:type="dxa"/>
              <w:bottom w:w="80" w:type="dxa"/>
              <w:end w:w="120" w:type="dxa"/>
            </w:tcMar>
            <w:vAlign w:val="center"/>
          </w:tcPr>
          <w:p>
            <w:pPr>
              <w:spacing w:after="40" w:line="240" w:lineRule="auto" w:before="0"/>
            </w:pPr>
            <w:r>
              <w:rPr>
                <w:rFonts w:ascii="Calibri" w:hAnsi="Calibri"/>
                <w:color w:val="232323"/>
                <w:sz w:val="20"/>
              </w:rPr>
              <w:t>Le risque est de garder le PCET comme document stratégique sans portefeuille financé. Chaque action doit être reliée à un coût, un indicateur, un responsable et un financement potentiel.</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POINT DE VIGILANCE</w:t>
            </w:r>
          </w:p>
          <w:p>
            <w:pPr>
              <w:spacing w:after="40" w:line="252" w:lineRule="auto"/>
            </w:pPr>
            <w:r>
              <w:rPr>
                <w:sz w:val="20"/>
              </w:rPr>
              <w:t>Le programme doit être placé sous une responsabilité clairement identifiée, avec un calendrier court de lancement et une revue périodique. Sans portage et sans indicateurs, il restera une recommandation générale.</w:t>
            </w:r>
          </w:p>
        </w:tc>
      </w:tr>
    </w:tbl>
    <w:p>
      <w:pPr>
        <w:pStyle w:val="Heading1"/>
      </w:pPr>
      <w:r>
        <w:t>Chantiers critiques à intégrer</w:t>
      </w:r>
    </w:p>
    <w:p>
      <w:r>
        <w:t>Les échanges et les compléments demandés conduisent à formuler des recommandations plus fortes sur six chantiers transversaux. Ces chantiers doivent être intégrés à la fois dans le plaidoyer sur l’Acte IV, dans la stratégie municipale de Dakar et dans la feuille de route de suivi de l’APEC. Leur point commun est simple : ils transforment les recommandations générales en instruments de gestion, de financement et de performance.</w:t>
      </w:r>
    </w:p>
    <w:p>
      <w:pPr>
        <w:pStyle w:val="Heading2"/>
      </w:pPr>
      <w:r>
        <w:t>1. Faire de la donnée une priorité de financement</w:t>
      </w:r>
    </w:p>
    <w:p>
      <w:r>
        <w:t>La donnée doit être considérée comme une infrastructure municipale au même titre que la voirie, les équipements ou les réseaux. Sans données fiables, Dakar ne peut ni élargir son assiette fiscale, ni structurer des projets bancables, ni accéder aux financements climat, ni piloter la GAR, ni rendre compte aux citoyens. Les données foncières, fiscales, budgétaires, RH, climatiques, patrimoniales, événementielles et de projets doivent être organisées dans un référentiel commun.</w:t>
      </w:r>
    </w:p>
    <w:p>
      <w:r>
        <w:t>La priorité est de créer une gouvernance de la donnée : règles de production, de qualité, de mise à jour, de partage, de sécurisation et d’usage. La Ville doit disposer d’un registre de données stratégiques, d’un SIG territorial, d’un cadastre fiscal géolocalisé, d’une base des actifs municipaux, d’un système d’information RH et d’un tableau de bord des projets. Ces outils ne doivent pas rester dispersés dans les directions ; ils doivent alimenter une même chaîne de décision.</w:t>
      </w:r>
    </w:p>
    <w:p>
      <w:r>
        <w:t>Cette approche a une dimension financière directe. Les bailleurs, fonds climat, banques et partenaires privés financent plus facilement une collectivité qui documente ses besoins, chiffre ses impacts, mesure ses risques et démontre sa capacité de suivi. La donnée devient donc un préalable à la mobilisation des ressources. Le rapport recommande de financer en priorité la donnée municipale avant même certains projets physiques, car elle conditionne la qualité de tous les projets ultérieurs.</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200"/>
        <w:gridCol w:w="3500"/>
        <w:gridCol w:w="3660"/>
      </w:tblGrid>
      <w:tr>
        <w:trPr>
          <w:tblHeader w:val="true"/>
        </w:trPr>
        <w:tc>
          <w:tcPr>
            <w:tcW w:type="dxa" w:w="22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Bloc de données</w:t>
            </w:r>
          </w:p>
        </w:tc>
        <w:tc>
          <w:tcPr>
            <w:tcW w:type="dxa" w:w="35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Usage prioritaire</w:t>
            </w:r>
          </w:p>
        </w:tc>
        <w:tc>
          <w:tcPr>
            <w:tcW w:type="dxa" w:w="36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Lien avec le financement</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Fiscal et foncier</w:t>
            </w:r>
          </w:p>
        </w:tc>
        <w:tc>
          <w:tcPr>
            <w:tcW w:type="dxa" w:w="3500"/>
            <w:tcMar>
              <w:top w:w="80" w:type="dxa"/>
              <w:start w:w="120" w:type="dxa"/>
              <w:bottom w:w="80" w:type="dxa"/>
              <w:end w:w="120" w:type="dxa"/>
            </w:tcMar>
            <w:vAlign w:val="center"/>
          </w:tcPr>
          <w:p>
            <w:pPr>
              <w:spacing w:after="40" w:line="240" w:lineRule="auto" w:before="0"/>
            </w:pPr>
            <w:r>
              <w:rPr>
                <w:rFonts w:ascii="Calibri" w:hAnsi="Calibri"/>
                <w:color w:val="232323"/>
                <w:sz w:val="20"/>
              </w:rPr>
              <w:t>Identifier les contribuables, les propriétés, les activités et les bases imposables.</w:t>
            </w:r>
          </w:p>
        </w:tc>
        <w:tc>
          <w:tcPr>
            <w:tcW w:type="dxa" w:w="3660"/>
            <w:tcMar>
              <w:top w:w="80" w:type="dxa"/>
              <w:start w:w="120" w:type="dxa"/>
              <w:bottom w:w="80" w:type="dxa"/>
              <w:end w:w="120" w:type="dxa"/>
            </w:tcMar>
            <w:vAlign w:val="center"/>
          </w:tcPr>
          <w:p>
            <w:pPr>
              <w:spacing w:after="40" w:line="240" w:lineRule="auto" w:before="0"/>
            </w:pPr>
            <w:r>
              <w:rPr>
                <w:rFonts w:ascii="Calibri" w:hAnsi="Calibri"/>
                <w:color w:val="232323"/>
                <w:sz w:val="20"/>
              </w:rPr>
              <w:t>Elargissement de l’assiette, e-taxe, recouvrement et crédibilité des projections de recettes.</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Projets</w:t>
            </w:r>
          </w:p>
        </w:tc>
        <w:tc>
          <w:tcPr>
            <w:tcW w:type="dxa" w:w="3500"/>
            <w:tcMar>
              <w:top w:w="80" w:type="dxa"/>
              <w:start w:w="120" w:type="dxa"/>
              <w:bottom w:w="80" w:type="dxa"/>
              <w:end w:w="120" w:type="dxa"/>
            </w:tcMar>
            <w:vAlign w:val="center"/>
          </w:tcPr>
          <w:p>
            <w:pPr>
              <w:spacing w:after="40" w:line="240" w:lineRule="auto" w:before="0"/>
            </w:pPr>
            <w:r>
              <w:rPr>
                <w:rFonts w:ascii="Calibri" w:hAnsi="Calibri"/>
                <w:color w:val="232323"/>
                <w:sz w:val="20"/>
              </w:rPr>
              <w:t>Suivre les idées, études, coûts, risques, autorisations, impacts et financements.</w:t>
            </w:r>
          </w:p>
        </w:tc>
        <w:tc>
          <w:tcPr>
            <w:tcW w:type="dxa" w:w="3660"/>
            <w:tcMar>
              <w:top w:w="80" w:type="dxa"/>
              <w:start w:w="120" w:type="dxa"/>
              <w:bottom w:w="80" w:type="dxa"/>
              <w:end w:w="120" w:type="dxa"/>
            </w:tcMar>
            <w:vAlign w:val="center"/>
          </w:tcPr>
          <w:p>
            <w:pPr>
              <w:spacing w:after="40" w:line="240" w:lineRule="auto" w:before="0"/>
            </w:pPr>
            <w:r>
              <w:rPr>
                <w:rFonts w:ascii="Calibri" w:hAnsi="Calibri"/>
                <w:color w:val="232323"/>
                <w:sz w:val="20"/>
              </w:rPr>
              <w:t>Constitution d’un portefeuille bancable et négociation avec bailleurs, banques et PPP.</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Climat et environnement</w:t>
            </w:r>
          </w:p>
        </w:tc>
        <w:tc>
          <w:tcPr>
            <w:tcW w:type="dxa" w:w="3500"/>
            <w:tcMar>
              <w:top w:w="80" w:type="dxa"/>
              <w:start w:w="120" w:type="dxa"/>
              <w:bottom w:w="80" w:type="dxa"/>
              <w:end w:w="120" w:type="dxa"/>
            </w:tcMar>
            <w:vAlign w:val="center"/>
          </w:tcPr>
          <w:p>
            <w:pPr>
              <w:spacing w:after="40" w:line="240" w:lineRule="auto" w:before="0"/>
            </w:pPr>
            <w:r>
              <w:rPr>
                <w:rFonts w:ascii="Calibri" w:hAnsi="Calibri"/>
                <w:color w:val="232323"/>
                <w:sz w:val="20"/>
              </w:rPr>
              <w:t>Documenter inondations, littoral, espaces verts, îlots de chaleur, émissions et vulnérabilités.</w:t>
            </w:r>
          </w:p>
        </w:tc>
        <w:tc>
          <w:tcPr>
            <w:tcW w:type="dxa" w:w="3660"/>
            <w:tcMar>
              <w:top w:w="80" w:type="dxa"/>
              <w:start w:w="120" w:type="dxa"/>
              <w:bottom w:w="80" w:type="dxa"/>
              <w:end w:w="120" w:type="dxa"/>
            </w:tcMar>
            <w:vAlign w:val="center"/>
          </w:tcPr>
          <w:p>
            <w:pPr>
              <w:spacing w:after="40" w:line="240" w:lineRule="auto" w:before="0"/>
            </w:pPr>
            <w:r>
              <w:rPr>
                <w:rFonts w:ascii="Calibri" w:hAnsi="Calibri"/>
                <w:color w:val="232323"/>
                <w:sz w:val="20"/>
              </w:rPr>
              <w:t>Eligibilité aux fonds climat, financements verts et projets de résilience.</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Patrimoine municipal</w:t>
            </w:r>
          </w:p>
        </w:tc>
        <w:tc>
          <w:tcPr>
            <w:tcW w:type="dxa" w:w="3500"/>
            <w:tcMar>
              <w:top w:w="80" w:type="dxa"/>
              <w:start w:w="120" w:type="dxa"/>
              <w:bottom w:w="80" w:type="dxa"/>
              <w:end w:w="120" w:type="dxa"/>
            </w:tcMar>
            <w:vAlign w:val="center"/>
          </w:tcPr>
          <w:p>
            <w:pPr>
              <w:spacing w:after="40" w:line="240" w:lineRule="auto" w:before="0"/>
            </w:pPr>
            <w:r>
              <w:rPr>
                <w:rFonts w:ascii="Calibri" w:hAnsi="Calibri"/>
                <w:color w:val="232323"/>
                <w:sz w:val="20"/>
              </w:rPr>
              <w:t>Inventorier foncier, bâtiments, équipements, contrats et revenus associés.</w:t>
            </w:r>
          </w:p>
        </w:tc>
        <w:tc>
          <w:tcPr>
            <w:tcW w:type="dxa" w:w="3660"/>
            <w:tcMar>
              <w:top w:w="80" w:type="dxa"/>
              <w:start w:w="120" w:type="dxa"/>
              <w:bottom w:w="80" w:type="dxa"/>
              <w:end w:w="120" w:type="dxa"/>
            </w:tcMar>
            <w:vAlign w:val="center"/>
          </w:tcPr>
          <w:p>
            <w:pPr>
              <w:spacing w:after="40" w:line="240" w:lineRule="auto" w:before="0"/>
            </w:pPr>
            <w:r>
              <w:rPr>
                <w:rFonts w:ascii="Calibri" w:hAnsi="Calibri"/>
                <w:color w:val="232323"/>
                <w:sz w:val="20"/>
              </w:rPr>
              <w:t>Valorisation sans aliénation, montage de sociétés de projet et recettes patrimoniales.</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RH et performance</w:t>
            </w:r>
          </w:p>
        </w:tc>
        <w:tc>
          <w:tcPr>
            <w:tcW w:type="dxa" w:w="3500"/>
            <w:tcMar>
              <w:top w:w="80" w:type="dxa"/>
              <w:start w:w="120" w:type="dxa"/>
              <w:bottom w:w="80" w:type="dxa"/>
              <w:end w:w="120" w:type="dxa"/>
            </w:tcMar>
            <w:vAlign w:val="center"/>
          </w:tcPr>
          <w:p>
            <w:pPr>
              <w:spacing w:after="40" w:line="240" w:lineRule="auto" w:before="0"/>
            </w:pPr>
            <w:r>
              <w:rPr>
                <w:rFonts w:ascii="Calibri" w:hAnsi="Calibri"/>
                <w:color w:val="232323"/>
                <w:sz w:val="20"/>
              </w:rPr>
              <w:t>Cartographier effectifs, compétences, formations, mobilités et productivité des services.</w:t>
            </w:r>
          </w:p>
        </w:tc>
        <w:tc>
          <w:tcPr>
            <w:tcW w:type="dxa" w:w="3660"/>
            <w:tcMar>
              <w:top w:w="80" w:type="dxa"/>
              <w:start w:w="120" w:type="dxa"/>
              <w:bottom w:w="80" w:type="dxa"/>
              <w:end w:w="120" w:type="dxa"/>
            </w:tcMar>
            <w:vAlign w:val="center"/>
          </w:tcPr>
          <w:p>
            <w:pPr>
              <w:spacing w:after="40" w:line="240" w:lineRule="auto" w:before="0"/>
            </w:pPr>
            <w:r>
              <w:rPr>
                <w:rFonts w:ascii="Calibri" w:hAnsi="Calibri"/>
                <w:color w:val="232323"/>
                <w:sz w:val="20"/>
              </w:rPr>
              <w:t>Alignement du capital humain sur les programmes et justification des investissements de formation.</w:t>
            </w:r>
          </w:p>
        </w:tc>
      </w:tr>
      <w:tr>
        <w:tc>
          <w:tcPr>
            <w:tcW w:type="dxa" w:w="2200"/>
            <w:tcMar>
              <w:top w:w="80" w:type="dxa"/>
              <w:start w:w="120" w:type="dxa"/>
              <w:bottom w:w="80" w:type="dxa"/>
              <w:end w:w="120" w:type="dxa"/>
            </w:tcMar>
            <w:vAlign w:val="center"/>
          </w:tcPr>
          <w:p>
            <w:pPr>
              <w:spacing w:after="40" w:line="240" w:lineRule="auto" w:before="0"/>
            </w:pPr>
            <w:r>
              <w:rPr>
                <w:rFonts w:ascii="Calibri" w:hAnsi="Calibri"/>
                <w:color w:val="232323"/>
                <w:sz w:val="20"/>
              </w:rPr>
              <w:t>Événementiel et attractivité</w:t>
            </w:r>
          </w:p>
        </w:tc>
        <w:tc>
          <w:tcPr>
            <w:tcW w:type="dxa" w:w="3500"/>
            <w:tcMar>
              <w:top w:w="80" w:type="dxa"/>
              <w:start w:w="120" w:type="dxa"/>
              <w:bottom w:w="80" w:type="dxa"/>
              <w:end w:w="120" w:type="dxa"/>
            </w:tcMar>
            <w:vAlign w:val="center"/>
          </w:tcPr>
          <w:p>
            <w:pPr>
              <w:spacing w:after="40" w:line="240" w:lineRule="auto" w:before="0"/>
            </w:pPr>
            <w:r>
              <w:rPr>
                <w:rFonts w:ascii="Calibri" w:hAnsi="Calibri"/>
                <w:color w:val="232323"/>
                <w:sz w:val="20"/>
              </w:rPr>
              <w:t>Suivre événements, fréquentation, occupation du domaine public, sécurité, propreté et retombées économiques.</w:t>
            </w:r>
          </w:p>
        </w:tc>
        <w:tc>
          <w:tcPr>
            <w:tcW w:type="dxa" w:w="3660"/>
            <w:tcMar>
              <w:top w:w="80" w:type="dxa"/>
              <w:start w:w="120" w:type="dxa"/>
              <w:bottom w:w="80" w:type="dxa"/>
              <w:end w:w="120" w:type="dxa"/>
            </w:tcMar>
            <w:vAlign w:val="center"/>
          </w:tcPr>
          <w:p>
            <w:pPr>
              <w:spacing w:after="40" w:line="240" w:lineRule="auto" w:before="0"/>
            </w:pPr>
            <w:r>
              <w:rPr>
                <w:rFonts w:ascii="Calibri" w:hAnsi="Calibri"/>
                <w:color w:val="232323"/>
                <w:sz w:val="20"/>
              </w:rPr>
              <w:t>Fiscalité événementielle, redevances, partenariats et stratégie Dakar Brand.</w:t>
            </w:r>
          </w:p>
        </w:tc>
      </w:tr>
    </w:tbl>
    <w:p>
      <w:pPr>
        <w:pStyle w:val="Heading2"/>
      </w:pPr>
      <w:r>
        <w:t>2. Normaliser et généraliser la GAR dans l’Acte IV</w:t>
      </w:r>
    </w:p>
    <w:p>
      <w:r>
        <w:t>La GAR doit être élevée au rang de recommandation forte. Il ne suffit pas de conseiller aux collectivités de mieux suivre leurs projets ; l’Acte IV doit poser la GAR comme une norme de gestion de la performance territoriale, particulièrement pour les grandes villes, les pôles territoriaux et les collectivités disposant de budgets significatifs. Cette norme doit relier planification, budget-programme, indicateurs, rapports de performance et redevabilité citoyenne.</w:t>
      </w:r>
    </w:p>
    <w:p>
      <w:r>
        <w:t>La généralisation de la GAR doit être progressive mais obligatoire. Elle peut commencer par Dakar et les grandes collectivités, avec un noyau minimal d’exigences : programmes budgétaires, responsables de programme, indicateurs de résultat, revue trimestrielle, rapport annuel de performance et publication d’un tableau de bord. La GAR doit aussi devenir un critère d’accès aux appuis de l’État et aux financements structurants.</w:t>
      </w:r>
    </w:p>
    <w:p>
      <w:r>
        <w:t>Cette recommandation est cohérente avec les données du panel : les collectivités territoriales mobilisent environ 200 à 220 milliards FCFA par an, soit près de 1,1% du PIB et moins de 4% des dépenses publiques. Dans un contexte de ressources limitées, la question n’est pas seulement de dépenser plus ; elle est de prouver que chaque franc public produit un résultat observable.</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RECOMMANDATION FORTE</w:t>
            </w:r>
          </w:p>
          <w:p>
            <w:pPr>
              <w:spacing w:after="40" w:line="252" w:lineRule="auto"/>
            </w:pPr>
            <w:r>
              <w:rPr>
                <w:sz w:val="20"/>
              </w:rPr>
              <w:t>Inscrire dans l’Acte IV l’obligation progressive d’une gestion axée sur les résultats pour les grandes collectivités : budget-programme, indicateurs, responsable de programme, revue de performance et publication annuelle des résultats.</w:t>
            </w:r>
          </w:p>
        </w:tc>
      </w:tr>
    </w:tbl>
    <w:p>
      <w:pPr>
        <w:pStyle w:val="Heading2"/>
      </w:pPr>
      <w:r>
        <w:t>3. Déployer l’e-taxe pour élargir l’assiette fiscale</w:t>
      </w:r>
    </w:p>
    <w:p>
      <w:r>
        <w:t>L’e-taxe doit devenir un chantier prioritaire d’autonomie financière. Elle ne doit pas être comprise comme un simple mode de paiement numérique, mais comme une chaîne intégrée : identification du contribuable, cadastre fiscal, déclaration, liquidation, paiement, relance, contentieux, reporting et partage de données entre la Ville, les communes, la DGID et le Trésor.</w:t>
      </w:r>
    </w:p>
    <w:p>
      <w:r>
        <w:t>Les échanges sur le foncier montrent l’ampleur du potentiel. Une expérimentation citée dans les débats indiquait que 20% des propriétés auraient été recensées et 12% auraient effectivement payé. Même si ces chiffres doivent être actualisés, ils confirment que l’enjeu principal est l’assiette réelle. Un système e-taxe permettrait de transformer une assiette potentielle en assiette suivie, notifiée et recouvrée.</w:t>
      </w:r>
    </w:p>
    <w:p>
      <w:r>
        <w:t>Le rapport recommande une stratégie fiscale numérique en trois temps : d’abord nettoyer les données et géolocaliser l’assiette ; ensuite offrir des canaux de paiement simples, notamment mobile money, banque, guichet et portail ; enfin publier des tableaux de bord de recouvrement par catégorie fiscale et zone territoriale. La digitalisation doit être accompagnée d’une pédagogie citoyenne sur l’usage des recettes.</w:t>
      </w:r>
    </w:p>
    <w:p>
      <w:pPr>
        <w:pStyle w:val="Heading2"/>
      </w:pPr>
      <w:r>
        <w:t>4. Structurer la fiscalité événementielle</w:t>
      </w:r>
    </w:p>
    <w:p>
      <w:r>
        <w:t>Dakar dispose d’un potentiel événementiel important : JOJ 2026, culture, sport, conférences, salons, festivals, cérémonies, tourisme d’affaires, patrimoine, gastronomie, mode et industries créatives. Ce potentiel doit être organisé comme une base économique et fiscale. La question n’est pas de taxer brutalement l’événementiel, mais de créer un cadre clair, prévisible et équitable qui permette à la Ville de capter une partie de la valeur générée.</w:t>
      </w:r>
    </w:p>
    <w:p>
      <w:r>
        <w:t>La fiscalité événementielle peut couvrir plusieurs objets : occupation temporaire du domaine public, publicité et affichage, billetterie lorsque le cadre juridique le permet, redevances de propreté et sécurité, droits liés aux marchés temporaires, espaces sponsorisés, stationnement, concessions, licences commerciales temporaires et partenariats de marque. L’objectif est d’élargir les recettes tout en améliorant la qualité d’accueil, la sécurité et la propreté des événements.</w:t>
      </w:r>
    </w:p>
    <w:p>
      <w:r>
        <w:t>La condition de réussite est la donnée. La Ville doit disposer d’un calendrier événementiel consolidé, d’une procédure d’autorisation numérique, d’un barème public, d’une traçabilité des paiements et d’une évaluation des retombées économiques. Les JOJ 2026 peuvent servir de laboratoire pour tester un dispositif d’événementiel fiscalement organisé, puis l’étendre aux grands rendez-vous culturels, sportifs et économiques.</w:t>
      </w:r>
    </w:p>
    <w:p>
      <w:pPr>
        <w:pStyle w:val="Heading2"/>
      </w:pPr>
      <w:r>
        <w:t>5. Intégrer le numérique comme norme de l’Acte IV</w:t>
      </w:r>
    </w:p>
    <w:p>
      <w:r>
        <w:t>Le numérique doit être reconnu dans l’Acte IV comme une norme de gouvernance territoriale et non comme un projet facultatif. Une réforme territoriale moderne doit prévoir l’interopérabilité des systèmes, l’identifiant territorial, les services en ligne, l’archivage électronique, les tableaux de bord, les données ouvertes utiles et les obligations minimales de reporting numérique.</w:t>
      </w:r>
    </w:p>
    <w:p>
      <w:r>
        <w:t>Pour Dakar, cela signifie connecter les chantiers déjà identifiés : e-taxe, SIRH, SIG, tableau de bord GAR, gestion des projets, autorisations d’occupation du domaine public, gestion de l’événementiel, coopération internationale et observatoire de l’attractivité. La digitalisation doit réduire les délais, limiter les pertes d’information, améliorer la transparence et produire des données de pilotage.</w:t>
      </w:r>
    </w:p>
    <w:p>
      <w:r>
        <w:t>L’intégration du numérique dans l’Acte IV permettrait aussi d’éviter des systèmes isolés. Chaque niveau territorial doit pouvoir échanger des données selon des règles communes. L’État, la Ville, les communes et les pôles doivent partager les référentiels indispensables à la fiscalité, à l’urbanisme, au foncier, à l’état civil, à la planification et à l’évaluation.</w:t>
      </w:r>
    </w:p>
    <w:p>
      <w:pPr>
        <w:pStyle w:val="Heading2"/>
      </w:pPr>
      <w:r>
        <w:t>6. Faire de la transition écologique un portefeuille de projets finançables</w:t>
      </w:r>
    </w:p>
    <w:p>
      <w:r>
        <w:t>La transition écologique doit être présentée comme une politique de résilience, mais aussi comme un champ de financement. Dakar est exposée aux inondations, à l’érosion côtière, aux vagues de chaleur, à la pression foncière, à la congestion et au déficit d’espaces verts. Ces vulnérabilités peuvent être transformées en projets éligibles aux financements climat si elles sont documentées, chiffrées et structurées.</w:t>
      </w:r>
    </w:p>
    <w:p>
      <w:r>
        <w:t>Les priorités peuvent inclure la récupération des eaux pluviales, le drainage, la protection du littoral, la végétalisation des espaces publics, les îlots de fraîcheur, la mobilité décarbonée, l’efficacité énergétique des bâtiments municipaux, la gestion des déchets, les écoquartiers et la résilience des équipements publics. Chaque projet doit préciser les bénéficiaires, les impacts attendus, les données de référence, les coûts, les risques et les cofinancements possibles.</w:t>
      </w:r>
    </w:p>
    <w:p>
      <w:r>
        <w:t>La transition écologique doit donc être liée à la gestion du portefeuille de projets. Un projet climat sans données de vulnérabilité et sans indicateurs d’impact restera difficile à financer. À l’inverse, un portefeuille climat bien documenté peut mobiliser fonds verts, coopération décentralisée, banques de développement, PPP et financements mixtes.</w:t>
      </w:r>
    </w:p>
    <w:p>
      <w:pPr>
        <w:pStyle w:val="Heading2"/>
      </w:pPr>
      <w:r>
        <w:t>Gestion du portefeuille de projets : principe de maturité</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900"/>
        <w:gridCol w:w="4300"/>
        <w:gridCol w:w="4160"/>
      </w:tblGrid>
      <w:tr>
        <w:trPr>
          <w:tblHeader w:val="true"/>
        </w:trPr>
        <w:tc>
          <w:tcPr>
            <w:tcW w:type="dxa" w:w="9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Niveau</w:t>
            </w:r>
          </w:p>
        </w:tc>
        <w:tc>
          <w:tcPr>
            <w:tcW w:type="dxa" w:w="43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Statut du projet</w:t>
            </w:r>
          </w:p>
        </w:tc>
        <w:tc>
          <w:tcPr>
            <w:tcW w:type="dxa" w:w="41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Décision de gestion</w:t>
            </w:r>
          </w:p>
        </w:tc>
      </w:tr>
      <w:tr>
        <w:tc>
          <w:tcPr>
            <w:tcW w:type="dxa" w:w="900"/>
            <w:tcMar>
              <w:top w:w="80" w:type="dxa"/>
              <w:start w:w="120" w:type="dxa"/>
              <w:bottom w:w="80" w:type="dxa"/>
              <w:end w:w="120" w:type="dxa"/>
            </w:tcMar>
            <w:vAlign w:val="center"/>
          </w:tcPr>
          <w:p>
            <w:pPr>
              <w:spacing w:after="40" w:line="240" w:lineRule="auto" w:before="0"/>
            </w:pPr>
            <w:r>
              <w:rPr>
                <w:rFonts w:ascii="Calibri" w:hAnsi="Calibri"/>
                <w:color w:val="232323"/>
                <w:sz w:val="20"/>
              </w:rPr>
              <w:t>0</w:t>
            </w:r>
          </w:p>
        </w:tc>
        <w:tc>
          <w:tcPr>
            <w:tcW w:type="dxa" w:w="4300"/>
            <w:tcMar>
              <w:top w:w="80" w:type="dxa"/>
              <w:start w:w="120" w:type="dxa"/>
              <w:bottom w:w="80" w:type="dxa"/>
              <w:end w:w="120" w:type="dxa"/>
            </w:tcMar>
            <w:vAlign w:val="center"/>
          </w:tcPr>
          <w:p>
            <w:pPr>
              <w:spacing w:after="40" w:line="240" w:lineRule="auto" w:before="0"/>
            </w:pPr>
            <w:r>
              <w:rPr>
                <w:rFonts w:ascii="Calibri" w:hAnsi="Calibri"/>
                <w:color w:val="232323"/>
                <w:sz w:val="20"/>
              </w:rPr>
              <w:t>Idée ou besoin non documenté.</w:t>
            </w:r>
          </w:p>
        </w:tc>
        <w:tc>
          <w:tcPr>
            <w:tcW w:type="dxa" w:w="4160"/>
            <w:tcMar>
              <w:top w:w="80" w:type="dxa"/>
              <w:start w:w="120" w:type="dxa"/>
              <w:bottom w:w="80" w:type="dxa"/>
              <w:end w:w="120" w:type="dxa"/>
            </w:tcMar>
            <w:vAlign w:val="center"/>
          </w:tcPr>
          <w:p>
            <w:pPr>
              <w:spacing w:after="40" w:line="240" w:lineRule="auto" w:before="0"/>
            </w:pPr>
            <w:r>
              <w:rPr>
                <w:rFonts w:ascii="Calibri" w:hAnsi="Calibri"/>
                <w:color w:val="232323"/>
                <w:sz w:val="20"/>
              </w:rPr>
              <w:t>Ne pas présenter au financement ; demander une fiche problème et une première estimation.</w:t>
            </w:r>
          </w:p>
        </w:tc>
      </w:tr>
      <w:tr>
        <w:tc>
          <w:tcPr>
            <w:tcW w:type="dxa" w:w="900"/>
            <w:tcMar>
              <w:top w:w="80" w:type="dxa"/>
              <w:start w:w="120" w:type="dxa"/>
              <w:bottom w:w="80" w:type="dxa"/>
              <w:end w:w="120" w:type="dxa"/>
            </w:tcMar>
            <w:vAlign w:val="center"/>
          </w:tcPr>
          <w:p>
            <w:pPr>
              <w:spacing w:after="40" w:line="240" w:lineRule="auto" w:before="0"/>
            </w:pPr>
            <w:r>
              <w:rPr>
                <w:rFonts w:ascii="Calibri" w:hAnsi="Calibri"/>
                <w:color w:val="232323"/>
                <w:sz w:val="20"/>
              </w:rPr>
              <w:t>1</w:t>
            </w:r>
          </w:p>
        </w:tc>
        <w:tc>
          <w:tcPr>
            <w:tcW w:type="dxa" w:w="4300"/>
            <w:tcMar>
              <w:top w:w="80" w:type="dxa"/>
              <w:start w:w="120" w:type="dxa"/>
              <w:bottom w:w="80" w:type="dxa"/>
              <w:end w:w="120" w:type="dxa"/>
            </w:tcMar>
            <w:vAlign w:val="center"/>
          </w:tcPr>
          <w:p>
            <w:pPr>
              <w:spacing w:after="40" w:line="240" w:lineRule="auto" w:before="0"/>
            </w:pPr>
            <w:r>
              <w:rPr>
                <w:rFonts w:ascii="Calibri" w:hAnsi="Calibri"/>
                <w:color w:val="232323"/>
                <w:sz w:val="20"/>
              </w:rPr>
              <w:t>Fiche projet courte avec objectif, localisation, bénéficiaires et ordre de coût.</w:t>
            </w:r>
          </w:p>
        </w:tc>
        <w:tc>
          <w:tcPr>
            <w:tcW w:type="dxa" w:w="4160"/>
            <w:tcMar>
              <w:top w:w="80" w:type="dxa"/>
              <w:start w:w="120" w:type="dxa"/>
              <w:bottom w:w="80" w:type="dxa"/>
              <w:end w:w="120" w:type="dxa"/>
            </w:tcMar>
            <w:vAlign w:val="center"/>
          </w:tcPr>
          <w:p>
            <w:pPr>
              <w:spacing w:after="40" w:line="240" w:lineRule="auto" w:before="0"/>
            </w:pPr>
            <w:r>
              <w:rPr>
                <w:rFonts w:ascii="Calibri" w:hAnsi="Calibri"/>
                <w:color w:val="232323"/>
                <w:sz w:val="20"/>
              </w:rPr>
              <w:t>Classer dans le portefeuille et demander les données de base.</w:t>
            </w:r>
          </w:p>
        </w:tc>
      </w:tr>
      <w:tr>
        <w:tc>
          <w:tcPr>
            <w:tcW w:type="dxa" w:w="900"/>
            <w:tcMar>
              <w:top w:w="80" w:type="dxa"/>
              <w:start w:w="120" w:type="dxa"/>
              <w:bottom w:w="80" w:type="dxa"/>
              <w:end w:w="120" w:type="dxa"/>
            </w:tcMar>
            <w:vAlign w:val="center"/>
          </w:tcPr>
          <w:p>
            <w:pPr>
              <w:spacing w:after="40" w:line="240" w:lineRule="auto" w:before="0"/>
            </w:pPr>
            <w:r>
              <w:rPr>
                <w:rFonts w:ascii="Calibri" w:hAnsi="Calibri"/>
                <w:color w:val="232323"/>
                <w:sz w:val="20"/>
              </w:rPr>
              <w:t>2</w:t>
            </w:r>
          </w:p>
        </w:tc>
        <w:tc>
          <w:tcPr>
            <w:tcW w:type="dxa" w:w="4300"/>
            <w:tcMar>
              <w:top w:w="80" w:type="dxa"/>
              <w:start w:w="120" w:type="dxa"/>
              <w:bottom w:w="80" w:type="dxa"/>
              <w:end w:w="120" w:type="dxa"/>
            </w:tcMar>
            <w:vAlign w:val="center"/>
          </w:tcPr>
          <w:p>
            <w:pPr>
              <w:spacing w:after="40" w:line="240" w:lineRule="auto" w:before="0"/>
            </w:pPr>
            <w:r>
              <w:rPr>
                <w:rFonts w:ascii="Calibri" w:hAnsi="Calibri"/>
                <w:color w:val="232323"/>
                <w:sz w:val="20"/>
              </w:rPr>
              <w:t>Pré-faisabilité disponible : coûts, risques, impacts, parties prenantes et options de financement.</w:t>
            </w:r>
          </w:p>
        </w:tc>
        <w:tc>
          <w:tcPr>
            <w:tcW w:type="dxa" w:w="4160"/>
            <w:tcMar>
              <w:top w:w="80" w:type="dxa"/>
              <w:start w:w="120" w:type="dxa"/>
              <w:bottom w:w="80" w:type="dxa"/>
              <w:end w:w="120" w:type="dxa"/>
            </w:tcMar>
            <w:vAlign w:val="center"/>
          </w:tcPr>
          <w:p>
            <w:pPr>
              <w:spacing w:after="40" w:line="240" w:lineRule="auto" w:before="0"/>
            </w:pPr>
            <w:r>
              <w:rPr>
                <w:rFonts w:ascii="Calibri" w:hAnsi="Calibri"/>
                <w:color w:val="232323"/>
                <w:sz w:val="20"/>
              </w:rPr>
              <w:t>Prioriser ou écarter selon alignement stratégique et capacité municipale.</w:t>
            </w:r>
          </w:p>
        </w:tc>
      </w:tr>
      <w:tr>
        <w:tc>
          <w:tcPr>
            <w:tcW w:type="dxa" w:w="900"/>
            <w:tcMar>
              <w:top w:w="80" w:type="dxa"/>
              <w:start w:w="120" w:type="dxa"/>
              <w:bottom w:w="80" w:type="dxa"/>
              <w:end w:w="120" w:type="dxa"/>
            </w:tcMar>
            <w:vAlign w:val="center"/>
          </w:tcPr>
          <w:p>
            <w:pPr>
              <w:spacing w:after="40" w:line="240" w:lineRule="auto" w:before="0"/>
            </w:pPr>
            <w:r>
              <w:rPr>
                <w:rFonts w:ascii="Calibri" w:hAnsi="Calibri"/>
                <w:color w:val="232323"/>
                <w:sz w:val="20"/>
              </w:rPr>
              <w:t>3</w:t>
            </w:r>
          </w:p>
        </w:tc>
        <w:tc>
          <w:tcPr>
            <w:tcW w:type="dxa" w:w="4300"/>
            <w:tcMar>
              <w:top w:w="80" w:type="dxa"/>
              <w:start w:w="120" w:type="dxa"/>
              <w:bottom w:w="80" w:type="dxa"/>
              <w:end w:w="120" w:type="dxa"/>
            </w:tcMar>
            <w:vAlign w:val="center"/>
          </w:tcPr>
          <w:p>
            <w:pPr>
              <w:spacing w:after="40" w:line="240" w:lineRule="auto" w:before="0"/>
            </w:pPr>
            <w:r>
              <w:rPr>
                <w:rFonts w:ascii="Calibri" w:hAnsi="Calibri"/>
                <w:color w:val="232323"/>
                <w:sz w:val="20"/>
              </w:rPr>
              <w:t>Faisabilité technique, économique, environnementale et sociale engagée ou disponible.</w:t>
            </w:r>
          </w:p>
        </w:tc>
        <w:tc>
          <w:tcPr>
            <w:tcW w:type="dxa" w:w="4160"/>
            <w:tcMar>
              <w:top w:w="80" w:type="dxa"/>
              <w:start w:w="120" w:type="dxa"/>
              <w:bottom w:w="80" w:type="dxa"/>
              <w:end w:w="120" w:type="dxa"/>
            </w:tcMar>
            <w:vAlign w:val="center"/>
          </w:tcPr>
          <w:p>
            <w:pPr>
              <w:spacing w:after="40" w:line="240" w:lineRule="auto" w:before="0"/>
            </w:pPr>
            <w:r>
              <w:rPr>
                <w:rFonts w:ascii="Calibri" w:hAnsi="Calibri"/>
                <w:color w:val="232323"/>
                <w:sz w:val="20"/>
              </w:rPr>
              <w:t>Préparer la structuration financière et le dialogue avec partenaires.</w:t>
            </w:r>
          </w:p>
        </w:tc>
      </w:tr>
      <w:tr>
        <w:tc>
          <w:tcPr>
            <w:tcW w:type="dxa" w:w="900"/>
            <w:tcMar>
              <w:top w:w="80" w:type="dxa"/>
              <w:start w:w="120" w:type="dxa"/>
              <w:bottom w:w="80" w:type="dxa"/>
              <w:end w:w="120" w:type="dxa"/>
            </w:tcMar>
            <w:vAlign w:val="center"/>
          </w:tcPr>
          <w:p>
            <w:pPr>
              <w:spacing w:after="40" w:line="240" w:lineRule="auto" w:before="0"/>
            </w:pPr>
            <w:r>
              <w:rPr>
                <w:rFonts w:ascii="Calibri" w:hAnsi="Calibri"/>
                <w:color w:val="232323"/>
                <w:sz w:val="20"/>
              </w:rPr>
              <w:t>4</w:t>
            </w:r>
          </w:p>
        </w:tc>
        <w:tc>
          <w:tcPr>
            <w:tcW w:type="dxa" w:w="4300"/>
            <w:tcMar>
              <w:top w:w="80" w:type="dxa"/>
              <w:start w:w="120" w:type="dxa"/>
              <w:bottom w:w="80" w:type="dxa"/>
              <w:end w:w="120" w:type="dxa"/>
            </w:tcMar>
            <w:vAlign w:val="center"/>
          </w:tcPr>
          <w:p>
            <w:pPr>
              <w:spacing w:after="40" w:line="240" w:lineRule="auto" w:before="0"/>
            </w:pPr>
            <w:r>
              <w:rPr>
                <w:rFonts w:ascii="Calibri" w:hAnsi="Calibri"/>
                <w:color w:val="232323"/>
                <w:sz w:val="20"/>
              </w:rPr>
              <w:t>Projet bancable : modèle économique, gouvernance, risques, indicateurs, calendrier et autorisations.</w:t>
            </w:r>
          </w:p>
        </w:tc>
        <w:tc>
          <w:tcPr>
            <w:tcW w:type="dxa" w:w="4160"/>
            <w:tcMar>
              <w:top w:w="80" w:type="dxa"/>
              <w:start w:w="120" w:type="dxa"/>
              <w:bottom w:w="80" w:type="dxa"/>
              <w:end w:w="120" w:type="dxa"/>
            </w:tcMar>
            <w:vAlign w:val="center"/>
          </w:tcPr>
          <w:p>
            <w:pPr>
              <w:spacing w:after="40" w:line="240" w:lineRule="auto" w:before="0"/>
            </w:pPr>
            <w:r>
              <w:rPr>
                <w:rFonts w:ascii="Calibri" w:hAnsi="Calibri"/>
                <w:color w:val="232323"/>
                <w:sz w:val="20"/>
              </w:rPr>
              <w:t>Soumettre aux bailleurs, fonds climat, banques ou partenaires privés.</w:t>
            </w:r>
          </w:p>
        </w:tc>
      </w:tr>
      <w:tr>
        <w:tc>
          <w:tcPr>
            <w:tcW w:type="dxa" w:w="900"/>
            <w:tcMar>
              <w:top w:w="80" w:type="dxa"/>
              <w:start w:w="120" w:type="dxa"/>
              <w:bottom w:w="80" w:type="dxa"/>
              <w:end w:w="120" w:type="dxa"/>
            </w:tcMar>
            <w:vAlign w:val="center"/>
          </w:tcPr>
          <w:p>
            <w:pPr>
              <w:spacing w:after="40" w:line="240" w:lineRule="auto" w:before="0"/>
            </w:pPr>
            <w:r>
              <w:rPr>
                <w:rFonts w:ascii="Calibri" w:hAnsi="Calibri"/>
                <w:color w:val="232323"/>
                <w:sz w:val="20"/>
              </w:rPr>
              <w:t>5</w:t>
            </w:r>
          </w:p>
        </w:tc>
        <w:tc>
          <w:tcPr>
            <w:tcW w:type="dxa" w:w="4300"/>
            <w:tcMar>
              <w:top w:w="80" w:type="dxa"/>
              <w:start w:w="120" w:type="dxa"/>
              <w:bottom w:w="80" w:type="dxa"/>
              <w:end w:w="120" w:type="dxa"/>
            </w:tcMar>
            <w:vAlign w:val="center"/>
          </w:tcPr>
          <w:p>
            <w:pPr>
              <w:spacing w:after="40" w:line="240" w:lineRule="auto" w:before="0"/>
            </w:pPr>
            <w:r>
              <w:rPr>
                <w:rFonts w:ascii="Calibri" w:hAnsi="Calibri"/>
                <w:color w:val="232323"/>
                <w:sz w:val="20"/>
              </w:rPr>
              <w:t>Projet financé et contractualisé.</w:t>
            </w:r>
          </w:p>
        </w:tc>
        <w:tc>
          <w:tcPr>
            <w:tcW w:type="dxa" w:w="4160"/>
            <w:tcMar>
              <w:top w:w="80" w:type="dxa"/>
              <w:start w:w="120" w:type="dxa"/>
              <w:bottom w:w="80" w:type="dxa"/>
              <w:end w:w="120" w:type="dxa"/>
            </w:tcMar>
            <w:vAlign w:val="center"/>
          </w:tcPr>
          <w:p>
            <w:pPr>
              <w:spacing w:after="40" w:line="240" w:lineRule="auto" w:before="0"/>
            </w:pPr>
            <w:r>
              <w:rPr>
                <w:rFonts w:ascii="Calibri" w:hAnsi="Calibri"/>
                <w:color w:val="232323"/>
                <w:sz w:val="20"/>
              </w:rPr>
              <w:t>Suivre l’exécution, les indicateurs, les risques, les décaissements et l’impact citoyen.</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PRINCIPE DE DISCIPLINE</w:t>
            </w:r>
          </w:p>
          <w:p>
            <w:pPr>
              <w:spacing w:after="40" w:line="252" w:lineRule="auto"/>
            </w:pPr>
            <w:r>
              <w:rPr>
                <w:sz w:val="20"/>
              </w:rPr>
              <w:t>Aucun projet ne devrait être présenté comme priorité de financement sans niveau de maturité connu. La Ville doit gérer un portefeuille, pas seulement une liste d’idées.</w:t>
            </w:r>
          </w:p>
        </w:tc>
      </w:tr>
    </w:tbl>
    <w:p>
      <w:pPr>
        <w:pStyle w:val="Heading1"/>
      </w:pPr>
      <w:r>
        <w:t>Réformes fiscales territoriales pour financer Dakar à long terme</w:t>
      </w:r>
    </w:p>
    <w:p>
      <w:r>
        <w:t>La réforme fiscale territoriale doit être traitée comme l’un des leviers centraux de financement de Dakar. Le problème principal n’est pas uniquement le niveau des impôts ; il réside surtout dans l’assiette incomplète, le recensement insuffisant des contribuables, la faible exploitation de la fiscalité foncière, la digitalisation inachevée, le partage limité de données avec la DGID, le rendement faible de certaines taxes locales et la dépendance aux transferts et ressources traditionnelles.</w:t>
      </w:r>
      <w:r>
        <w:rPr>
          <w:rStyle w:val="FootnoteReference"/>
        </w:rPr>
        <w:footnoteReference w:id="14"/>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MESSAGE STRATÉGIQUE</w:t>
            </w:r>
          </w:p>
          <w:p>
            <w:pPr>
              <w:spacing w:after="40" w:line="252" w:lineRule="auto"/>
            </w:pPr>
            <w:r>
              <w:rPr>
                <w:sz w:val="20"/>
              </w:rPr>
              <w:t>Les expériences de Lagos, Johannesburg, Casablanca, Rabat et Kigali montrent que la prospérité financière des métropoles repose moins sur l’augmentation des taux d’imposition que sur la maîtrise de l’assiette, la qualité des données, la digitalisation du recouvrement et la diversification des sources de revenus.</w:t>
            </w:r>
          </w:p>
        </w:tc>
      </w:tr>
    </w:tbl>
    <w:p>
      <w:pPr>
        <w:pStyle w:val="Heading2"/>
      </w:pPr>
      <w:r>
        <w:t>Les sept réformes fiscales prioritaires</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100"/>
        <w:gridCol w:w="3500"/>
        <w:gridCol w:w="2700"/>
        <w:gridCol w:w="1060"/>
      </w:tblGrid>
      <w:tr>
        <w:trPr>
          <w:tblHeader w:val="true"/>
        </w:trPr>
        <w:tc>
          <w:tcPr>
            <w:tcW w:type="dxa" w:w="21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Réforme</w:t>
            </w:r>
          </w:p>
        </w:tc>
        <w:tc>
          <w:tcPr>
            <w:tcW w:type="dxa" w:w="35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Objectif</w:t>
            </w:r>
          </w:p>
        </w:tc>
        <w:tc>
          <w:tcPr>
            <w:tcW w:type="dxa" w:w="27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Impact attendu</w:t>
            </w:r>
          </w:p>
        </w:tc>
        <w:tc>
          <w:tcPr>
            <w:tcW w:type="dxa" w:w="10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Horizon</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Cadastre fiscal numérique</w:t>
            </w:r>
          </w:p>
        </w:tc>
        <w:tc>
          <w:tcPr>
            <w:tcW w:type="dxa" w:w="3500"/>
            <w:tcMar>
              <w:top w:w="80" w:type="dxa"/>
              <w:start w:w="120" w:type="dxa"/>
              <w:bottom w:w="80" w:type="dxa"/>
              <w:end w:w="120" w:type="dxa"/>
            </w:tcMar>
            <w:vAlign w:val="center"/>
          </w:tcPr>
          <w:p>
            <w:pPr>
              <w:spacing w:after="40" w:line="240" w:lineRule="auto" w:before="0"/>
            </w:pPr>
            <w:r>
              <w:rPr>
                <w:rFonts w:ascii="Calibri" w:hAnsi="Calibri"/>
                <w:color w:val="232323"/>
                <w:sz w:val="20"/>
              </w:rPr>
              <w:t>Recenser 100 % des parcelles, géolocaliser les propriétés et mettre à jour les bases foncières.</w:t>
            </w:r>
          </w:p>
        </w:tc>
        <w:tc>
          <w:tcPr>
            <w:tcW w:type="dxa" w:w="2700"/>
            <w:tcMar>
              <w:top w:w="80" w:type="dxa"/>
              <w:start w:w="120" w:type="dxa"/>
              <w:bottom w:w="80" w:type="dxa"/>
              <w:end w:w="120" w:type="dxa"/>
            </w:tcMar>
            <w:vAlign w:val="center"/>
          </w:tcPr>
          <w:p>
            <w:pPr>
              <w:spacing w:after="40" w:line="240" w:lineRule="auto" w:before="0"/>
            </w:pPr>
            <w:r>
              <w:rPr>
                <w:rFonts w:ascii="Calibri" w:hAnsi="Calibri"/>
                <w:color w:val="232323"/>
                <w:sz w:val="20"/>
              </w:rPr>
              <w:t>Hausse du rendement foncier et meilleure équité fiscale.</w:t>
            </w:r>
          </w:p>
        </w:tc>
        <w:tc>
          <w:tcPr>
            <w:tcW w:type="dxa" w:w="1060"/>
            <w:tcMar>
              <w:top w:w="80" w:type="dxa"/>
              <w:start w:w="120" w:type="dxa"/>
              <w:bottom w:w="80" w:type="dxa"/>
              <w:end w:w="120" w:type="dxa"/>
            </w:tcMar>
            <w:vAlign w:val="center"/>
          </w:tcPr>
          <w:p>
            <w:pPr>
              <w:spacing w:after="40" w:line="240" w:lineRule="auto" w:before="0"/>
            </w:pPr>
            <w:r>
              <w:rPr>
                <w:rFonts w:ascii="Calibri" w:hAnsi="Calibri"/>
                <w:color w:val="232323"/>
                <w:sz w:val="20"/>
              </w:rPr>
              <w:t>Court terme</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Échange de données Ville-DGID</w:t>
            </w:r>
          </w:p>
        </w:tc>
        <w:tc>
          <w:tcPr>
            <w:tcW w:type="dxa" w:w="3500"/>
            <w:tcMar>
              <w:top w:w="80" w:type="dxa"/>
              <w:start w:w="120" w:type="dxa"/>
              <w:bottom w:w="80" w:type="dxa"/>
              <w:end w:w="120" w:type="dxa"/>
            </w:tcMar>
            <w:vAlign w:val="center"/>
          </w:tcPr>
          <w:p>
            <w:pPr>
              <w:spacing w:after="40" w:line="240" w:lineRule="auto" w:before="0"/>
            </w:pPr>
            <w:r>
              <w:rPr>
                <w:rFonts w:ascii="Calibri" w:hAnsi="Calibri"/>
                <w:color w:val="232323"/>
                <w:sz w:val="20"/>
              </w:rPr>
              <w:t>Mettre en place un protocole permanent et une plateforme commune sur contribuables, parcelles, activités et recettes.</w:t>
            </w:r>
          </w:p>
        </w:tc>
        <w:tc>
          <w:tcPr>
            <w:tcW w:type="dxa" w:w="2700"/>
            <w:tcMar>
              <w:top w:w="80" w:type="dxa"/>
              <w:start w:w="120" w:type="dxa"/>
              <w:bottom w:w="80" w:type="dxa"/>
              <w:end w:w="120" w:type="dxa"/>
            </w:tcMar>
            <w:vAlign w:val="center"/>
          </w:tcPr>
          <w:p>
            <w:pPr>
              <w:spacing w:after="40" w:line="240" w:lineRule="auto" w:before="0"/>
            </w:pPr>
            <w:r>
              <w:rPr>
                <w:rFonts w:ascii="Calibri" w:hAnsi="Calibri"/>
                <w:color w:val="232323"/>
                <w:sz w:val="20"/>
              </w:rPr>
              <w:t>Assiette mieux connue, recouvrement mieux suivi et décisions fiscales fondées sur des données.</w:t>
            </w:r>
          </w:p>
        </w:tc>
        <w:tc>
          <w:tcPr>
            <w:tcW w:type="dxa" w:w="1060"/>
            <w:tcMar>
              <w:top w:w="80" w:type="dxa"/>
              <w:start w:w="120" w:type="dxa"/>
              <w:bottom w:w="80" w:type="dxa"/>
              <w:end w:w="120" w:type="dxa"/>
            </w:tcMar>
            <w:vAlign w:val="center"/>
          </w:tcPr>
          <w:p>
            <w:pPr>
              <w:spacing w:after="40" w:line="240" w:lineRule="auto" w:before="0"/>
            </w:pPr>
            <w:r>
              <w:rPr>
                <w:rFonts w:ascii="Calibri" w:hAnsi="Calibri"/>
                <w:color w:val="232323"/>
                <w:sz w:val="20"/>
              </w:rPr>
              <w:t>Court terme</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Généralisation de l’e-Taxe</w:t>
            </w:r>
          </w:p>
        </w:tc>
        <w:tc>
          <w:tcPr>
            <w:tcW w:type="dxa" w:w="3500"/>
            <w:tcMar>
              <w:top w:w="80" w:type="dxa"/>
              <w:start w:w="120" w:type="dxa"/>
              <w:bottom w:w="80" w:type="dxa"/>
              <w:end w:w="120" w:type="dxa"/>
            </w:tcMar>
            <w:vAlign w:val="center"/>
          </w:tcPr>
          <w:p>
            <w:pPr>
              <w:spacing w:after="40" w:line="240" w:lineRule="auto" w:before="0"/>
            </w:pPr>
            <w:r>
              <w:rPr>
                <w:rFonts w:ascii="Calibri" w:hAnsi="Calibri"/>
                <w:color w:val="232323"/>
                <w:sz w:val="20"/>
              </w:rPr>
              <w:t>Digitaliser paiement mobile, paiement web, notifications automatiques et relances électroniques.</w:t>
            </w:r>
          </w:p>
        </w:tc>
        <w:tc>
          <w:tcPr>
            <w:tcW w:type="dxa" w:w="2700"/>
            <w:tcMar>
              <w:top w:w="80" w:type="dxa"/>
              <w:start w:w="120" w:type="dxa"/>
              <w:bottom w:w="80" w:type="dxa"/>
              <w:end w:w="120" w:type="dxa"/>
            </w:tcMar>
            <w:vAlign w:val="center"/>
          </w:tcPr>
          <w:p>
            <w:pPr>
              <w:spacing w:after="40" w:line="240" w:lineRule="auto" w:before="0"/>
            </w:pPr>
            <w:r>
              <w:rPr>
                <w:rFonts w:ascii="Calibri" w:hAnsi="Calibri"/>
                <w:color w:val="232323"/>
                <w:sz w:val="20"/>
              </w:rPr>
              <w:t>Recouvrement plus rapide, coûts de collecte réduits, traçabilité renforcée.</w:t>
            </w:r>
          </w:p>
        </w:tc>
        <w:tc>
          <w:tcPr>
            <w:tcW w:type="dxa" w:w="1060"/>
            <w:tcMar>
              <w:top w:w="80" w:type="dxa"/>
              <w:start w:w="120" w:type="dxa"/>
              <w:bottom w:w="80" w:type="dxa"/>
              <w:end w:w="120" w:type="dxa"/>
            </w:tcMar>
            <w:vAlign w:val="center"/>
          </w:tcPr>
          <w:p>
            <w:pPr>
              <w:spacing w:after="40" w:line="240" w:lineRule="auto" w:before="0"/>
            </w:pPr>
            <w:r>
              <w:rPr>
                <w:rFonts w:ascii="Calibri" w:hAnsi="Calibri"/>
                <w:color w:val="232323"/>
                <w:sz w:val="20"/>
              </w:rPr>
              <w:t>Court terme</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Réforme de la fiscalité foncière</w:t>
            </w:r>
          </w:p>
        </w:tc>
        <w:tc>
          <w:tcPr>
            <w:tcW w:type="dxa" w:w="3500"/>
            <w:tcMar>
              <w:top w:w="80" w:type="dxa"/>
              <w:start w:w="120" w:type="dxa"/>
              <w:bottom w:w="80" w:type="dxa"/>
              <w:end w:w="120" w:type="dxa"/>
            </w:tcMar>
            <w:vAlign w:val="center"/>
          </w:tcPr>
          <w:p>
            <w:pPr>
              <w:spacing w:after="40" w:line="240" w:lineRule="auto" w:before="0"/>
            </w:pPr>
            <w:r>
              <w:rPr>
                <w:rFonts w:ascii="Calibri" w:hAnsi="Calibri"/>
                <w:color w:val="232323"/>
                <w:sz w:val="20"/>
              </w:rPr>
              <w:t>Elargir l’assiette plutôt qu’augmenter les taux ; actualiser les bases ; intégrer les nouvelles constructions.</w:t>
            </w:r>
          </w:p>
        </w:tc>
        <w:tc>
          <w:tcPr>
            <w:tcW w:type="dxa" w:w="2700"/>
            <w:tcMar>
              <w:top w:w="80" w:type="dxa"/>
              <w:start w:w="120" w:type="dxa"/>
              <w:bottom w:w="80" w:type="dxa"/>
              <w:end w:w="120" w:type="dxa"/>
            </w:tcMar>
            <w:vAlign w:val="center"/>
          </w:tcPr>
          <w:p>
            <w:pPr>
              <w:spacing w:after="40" w:line="240" w:lineRule="auto" w:before="0"/>
            </w:pPr>
            <w:r>
              <w:rPr>
                <w:rFonts w:ascii="Calibri" w:hAnsi="Calibri"/>
                <w:color w:val="232323"/>
                <w:sz w:val="20"/>
              </w:rPr>
              <w:t>Ressource structurante pour les investissements métropolitains.</w:t>
            </w:r>
          </w:p>
        </w:tc>
        <w:tc>
          <w:tcPr>
            <w:tcW w:type="dxa" w:w="1060"/>
            <w:tcMar>
              <w:top w:w="80" w:type="dxa"/>
              <w:start w:w="120" w:type="dxa"/>
              <w:bottom w:w="80" w:type="dxa"/>
              <w:end w:w="120" w:type="dxa"/>
            </w:tcMar>
            <w:vAlign w:val="center"/>
          </w:tcPr>
          <w:p>
            <w:pPr>
              <w:spacing w:after="40" w:line="240" w:lineRule="auto" w:before="0"/>
            </w:pPr>
            <w:r>
              <w:rPr>
                <w:rFonts w:ascii="Calibri" w:hAnsi="Calibri"/>
                <w:color w:val="232323"/>
                <w:sz w:val="20"/>
              </w:rPr>
              <w:t>Moyen terme</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Fiscalité de l’économie urbaine moderne</w:t>
            </w:r>
          </w:p>
        </w:tc>
        <w:tc>
          <w:tcPr>
            <w:tcW w:type="dxa" w:w="3500"/>
            <w:tcMar>
              <w:top w:w="80" w:type="dxa"/>
              <w:start w:w="120" w:type="dxa"/>
              <w:bottom w:w="80" w:type="dxa"/>
              <w:end w:w="120" w:type="dxa"/>
            </w:tcMar>
            <w:vAlign w:val="center"/>
          </w:tcPr>
          <w:p>
            <w:pPr>
              <w:spacing w:after="40" w:line="240" w:lineRule="auto" w:before="0"/>
            </w:pPr>
            <w:r>
              <w:rPr>
                <w:rFonts w:ascii="Calibri" w:hAnsi="Calibri"/>
                <w:color w:val="232323"/>
                <w:sz w:val="20"/>
              </w:rPr>
              <w:t>Renforcer stationnement, publicité urbaine, occupation du domaine public, activités événementielles et plateformes numériques locales.</w:t>
            </w:r>
          </w:p>
        </w:tc>
        <w:tc>
          <w:tcPr>
            <w:tcW w:type="dxa" w:w="2700"/>
            <w:tcMar>
              <w:top w:w="80" w:type="dxa"/>
              <w:start w:w="120" w:type="dxa"/>
              <w:bottom w:w="80" w:type="dxa"/>
              <w:end w:w="120" w:type="dxa"/>
            </w:tcMar>
            <w:vAlign w:val="center"/>
          </w:tcPr>
          <w:p>
            <w:pPr>
              <w:spacing w:after="40" w:line="240" w:lineRule="auto" w:before="0"/>
            </w:pPr>
            <w:r>
              <w:rPr>
                <w:rFonts w:ascii="Calibri" w:hAnsi="Calibri"/>
                <w:color w:val="232323"/>
                <w:sz w:val="20"/>
              </w:rPr>
              <w:t>Diversification des recettes et captation d’une partie de la valeur urbaine.</w:t>
            </w:r>
          </w:p>
        </w:tc>
        <w:tc>
          <w:tcPr>
            <w:tcW w:type="dxa" w:w="1060"/>
            <w:tcMar>
              <w:top w:w="80" w:type="dxa"/>
              <w:start w:w="120" w:type="dxa"/>
              <w:bottom w:w="80" w:type="dxa"/>
              <w:end w:w="120" w:type="dxa"/>
            </w:tcMar>
            <w:vAlign w:val="center"/>
          </w:tcPr>
          <w:p>
            <w:pPr>
              <w:spacing w:after="40" w:line="240" w:lineRule="auto" w:before="0"/>
            </w:pPr>
            <w:r>
              <w:rPr>
                <w:rFonts w:ascii="Calibri" w:hAnsi="Calibri"/>
                <w:color w:val="232323"/>
                <w:sz w:val="20"/>
              </w:rPr>
              <w:t>Moyen terme</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Fiscalité environnementale</w:t>
            </w:r>
          </w:p>
        </w:tc>
        <w:tc>
          <w:tcPr>
            <w:tcW w:type="dxa" w:w="3500"/>
            <w:tcMar>
              <w:top w:w="80" w:type="dxa"/>
              <w:start w:w="120" w:type="dxa"/>
              <w:bottom w:w="80" w:type="dxa"/>
              <w:end w:w="120" w:type="dxa"/>
            </w:tcMar>
            <w:vAlign w:val="center"/>
          </w:tcPr>
          <w:p>
            <w:pPr>
              <w:spacing w:after="40" w:line="240" w:lineRule="auto" w:before="0"/>
            </w:pPr>
            <w:r>
              <w:rPr>
                <w:rFonts w:ascii="Calibri" w:hAnsi="Calibri"/>
                <w:color w:val="232323"/>
                <w:sz w:val="20"/>
              </w:rPr>
              <w:t>Développer redevances déchets, fiscalité verte, mécanismes carbone locaux et valorisation énergétique.</w:t>
            </w:r>
          </w:p>
        </w:tc>
        <w:tc>
          <w:tcPr>
            <w:tcW w:type="dxa" w:w="2700"/>
            <w:tcMar>
              <w:top w:w="80" w:type="dxa"/>
              <w:start w:w="120" w:type="dxa"/>
              <w:bottom w:w="80" w:type="dxa"/>
              <w:end w:w="120" w:type="dxa"/>
            </w:tcMar>
            <w:vAlign w:val="center"/>
          </w:tcPr>
          <w:p>
            <w:pPr>
              <w:spacing w:after="40" w:line="240" w:lineRule="auto" w:before="0"/>
            </w:pPr>
            <w:r>
              <w:rPr>
                <w:rFonts w:ascii="Calibri" w:hAnsi="Calibri"/>
                <w:color w:val="232323"/>
                <w:sz w:val="20"/>
              </w:rPr>
              <w:t>Lien direct avec le PCET, la propreté, la résilience et les financements climat.</w:t>
            </w:r>
          </w:p>
        </w:tc>
        <w:tc>
          <w:tcPr>
            <w:tcW w:type="dxa" w:w="1060"/>
            <w:tcMar>
              <w:top w:w="80" w:type="dxa"/>
              <w:start w:w="120" w:type="dxa"/>
              <w:bottom w:w="80" w:type="dxa"/>
              <w:end w:w="120" w:type="dxa"/>
            </w:tcMar>
            <w:vAlign w:val="center"/>
          </w:tcPr>
          <w:p>
            <w:pPr>
              <w:spacing w:after="40" w:line="240" w:lineRule="auto" w:before="0"/>
            </w:pPr>
            <w:r>
              <w:rPr>
                <w:rFonts w:ascii="Calibri" w:hAnsi="Calibri"/>
                <w:color w:val="232323"/>
                <w:sz w:val="20"/>
              </w:rPr>
              <w:t>Moyen terme</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Ingénierie financière territoriale</w:t>
            </w:r>
          </w:p>
        </w:tc>
        <w:tc>
          <w:tcPr>
            <w:tcW w:type="dxa" w:w="3500"/>
            <w:tcMar>
              <w:top w:w="80" w:type="dxa"/>
              <w:start w:w="120" w:type="dxa"/>
              <w:bottom w:w="80" w:type="dxa"/>
              <w:end w:w="120" w:type="dxa"/>
            </w:tcMar>
            <w:vAlign w:val="center"/>
          </w:tcPr>
          <w:p>
            <w:pPr>
              <w:spacing w:after="40" w:line="240" w:lineRule="auto" w:before="0"/>
            </w:pPr>
            <w:r>
              <w:rPr>
                <w:rFonts w:ascii="Calibri" w:hAnsi="Calibri"/>
                <w:color w:val="232323"/>
                <w:sz w:val="20"/>
              </w:rPr>
              <w:t>Passer du recouvrement à la création de valeur : portefeuille bancable, fonds de développement, société de développement local, véhicule financier.</w:t>
            </w:r>
          </w:p>
        </w:tc>
        <w:tc>
          <w:tcPr>
            <w:tcW w:type="dxa" w:w="2700"/>
            <w:tcMar>
              <w:top w:w="80" w:type="dxa"/>
              <w:start w:w="120" w:type="dxa"/>
              <w:bottom w:w="80" w:type="dxa"/>
              <w:end w:w="120" w:type="dxa"/>
            </w:tcMar>
            <w:vAlign w:val="center"/>
          </w:tcPr>
          <w:p>
            <w:pPr>
              <w:spacing w:after="40" w:line="240" w:lineRule="auto" w:before="0"/>
            </w:pPr>
            <w:r>
              <w:rPr>
                <w:rFonts w:ascii="Calibri" w:hAnsi="Calibri"/>
                <w:color w:val="232323"/>
                <w:sz w:val="20"/>
              </w:rPr>
              <w:t>Capacité à mobiliser financements externes, PPP, emprunt et valorisation patrimoniale.</w:t>
            </w:r>
          </w:p>
        </w:tc>
        <w:tc>
          <w:tcPr>
            <w:tcW w:type="dxa" w:w="1060"/>
            <w:tcMar>
              <w:top w:w="80" w:type="dxa"/>
              <w:start w:w="120" w:type="dxa"/>
              <w:bottom w:w="80" w:type="dxa"/>
              <w:end w:w="120" w:type="dxa"/>
            </w:tcMar>
            <w:vAlign w:val="center"/>
          </w:tcPr>
          <w:p>
            <w:pPr>
              <w:spacing w:after="40" w:line="240" w:lineRule="auto" w:before="0"/>
            </w:pPr>
            <w:r>
              <w:rPr>
                <w:rFonts w:ascii="Calibri" w:hAnsi="Calibri"/>
                <w:color w:val="232323"/>
                <w:sz w:val="20"/>
              </w:rPr>
              <w:t>Long terme</w:t>
            </w:r>
          </w:p>
        </w:tc>
      </w:tr>
    </w:tbl>
    <w:p>
      <w:pPr>
        <w:pStyle w:val="Heading2"/>
      </w:pPr>
      <w:r>
        <w:t>Encadré de priorisation fiscale à l’horizon 2035</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600"/>
        <w:gridCol w:w="1350"/>
        <w:gridCol w:w="1500"/>
        <w:gridCol w:w="3910"/>
      </w:tblGrid>
      <w:tr>
        <w:trPr>
          <w:tblHeader w:val="true"/>
        </w:trPr>
        <w:tc>
          <w:tcPr>
            <w:tcW w:type="dxa" w:w="26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Réforme structurante</w:t>
            </w:r>
          </w:p>
        </w:tc>
        <w:tc>
          <w:tcPr>
            <w:tcW w:type="dxa" w:w="135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Horizon</w:t>
            </w:r>
          </w:p>
        </w:tc>
        <w:tc>
          <w:tcPr>
            <w:tcW w:type="dxa" w:w="15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Impact attendu</w:t>
            </w:r>
          </w:p>
        </w:tc>
        <w:tc>
          <w:tcPr>
            <w:tcW w:type="dxa" w:w="391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Condition de réussite</w:t>
            </w:r>
          </w:p>
        </w:tc>
      </w:tr>
      <w:tr>
        <w:tc>
          <w:tcPr>
            <w:tcW w:type="dxa" w:w="2600"/>
            <w:tcMar>
              <w:top w:w="80" w:type="dxa"/>
              <w:start w:w="120" w:type="dxa"/>
              <w:bottom w:w="80" w:type="dxa"/>
              <w:end w:w="120" w:type="dxa"/>
            </w:tcMar>
            <w:vAlign w:val="center"/>
          </w:tcPr>
          <w:p>
            <w:pPr>
              <w:spacing w:after="40" w:line="240" w:lineRule="auto" w:before="0"/>
            </w:pPr>
            <w:r>
              <w:rPr>
                <w:rFonts w:ascii="Calibri" w:hAnsi="Calibri"/>
                <w:color w:val="232323"/>
                <w:sz w:val="20"/>
              </w:rPr>
              <w:t>Cadastre fiscal numérique</w:t>
            </w:r>
          </w:p>
        </w:tc>
        <w:tc>
          <w:tcPr>
            <w:tcW w:type="dxa" w:w="1350"/>
            <w:tcMar>
              <w:top w:w="80" w:type="dxa"/>
              <w:start w:w="120" w:type="dxa"/>
              <w:bottom w:w="80" w:type="dxa"/>
              <w:end w:w="120" w:type="dxa"/>
            </w:tcMar>
            <w:vAlign w:val="center"/>
          </w:tcPr>
          <w:p>
            <w:pPr>
              <w:spacing w:after="40" w:line="240" w:lineRule="auto" w:before="0"/>
            </w:pPr>
            <w:r>
              <w:rPr>
                <w:rFonts w:ascii="Calibri" w:hAnsi="Calibri"/>
                <w:color w:val="232323"/>
                <w:sz w:val="20"/>
              </w:rPr>
              <w:t>Court terme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Très élevé</w:t>
            </w:r>
          </w:p>
        </w:tc>
        <w:tc>
          <w:tcPr>
            <w:tcW w:type="dxa" w:w="3910"/>
            <w:tcMar>
              <w:top w:w="80" w:type="dxa"/>
              <w:start w:w="120" w:type="dxa"/>
              <w:bottom w:w="80" w:type="dxa"/>
              <w:end w:w="120" w:type="dxa"/>
            </w:tcMar>
            <w:vAlign w:val="center"/>
          </w:tcPr>
          <w:p>
            <w:pPr>
              <w:spacing w:after="40" w:line="240" w:lineRule="auto" w:before="0"/>
            </w:pPr>
            <w:r>
              <w:rPr>
                <w:rFonts w:ascii="Calibri" w:hAnsi="Calibri"/>
                <w:color w:val="232323"/>
                <w:sz w:val="20"/>
              </w:rPr>
              <w:t>Base géolocalisée, coopération DGID, données communales.</w:t>
            </w:r>
          </w:p>
        </w:tc>
      </w:tr>
      <w:tr>
        <w:tc>
          <w:tcPr>
            <w:tcW w:type="dxa" w:w="2600"/>
            <w:tcMar>
              <w:top w:w="80" w:type="dxa"/>
              <w:start w:w="120" w:type="dxa"/>
              <w:bottom w:w="80" w:type="dxa"/>
              <w:end w:w="120" w:type="dxa"/>
            </w:tcMar>
            <w:vAlign w:val="center"/>
          </w:tcPr>
          <w:p>
            <w:pPr>
              <w:spacing w:after="40" w:line="240" w:lineRule="auto" w:before="0"/>
            </w:pPr>
            <w:r>
              <w:rPr>
                <w:rFonts w:ascii="Calibri" w:hAnsi="Calibri"/>
                <w:color w:val="232323"/>
                <w:sz w:val="20"/>
              </w:rPr>
              <w:t>Partage de données DGID-Ville</w:t>
            </w:r>
          </w:p>
        </w:tc>
        <w:tc>
          <w:tcPr>
            <w:tcW w:type="dxa" w:w="1350"/>
            <w:tcMar>
              <w:top w:w="80" w:type="dxa"/>
              <w:start w:w="120" w:type="dxa"/>
              <w:bottom w:w="80" w:type="dxa"/>
              <w:end w:w="120" w:type="dxa"/>
            </w:tcMar>
            <w:vAlign w:val="center"/>
          </w:tcPr>
          <w:p>
            <w:pPr>
              <w:spacing w:after="40" w:line="240" w:lineRule="auto" w:before="0"/>
            </w:pPr>
            <w:r>
              <w:rPr>
                <w:rFonts w:ascii="Calibri" w:hAnsi="Calibri"/>
                <w:color w:val="232323"/>
                <w:sz w:val="20"/>
              </w:rPr>
              <w:t>Court terme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Très élevé</w:t>
            </w:r>
          </w:p>
        </w:tc>
        <w:tc>
          <w:tcPr>
            <w:tcW w:type="dxa" w:w="3910"/>
            <w:tcMar>
              <w:top w:w="80" w:type="dxa"/>
              <w:start w:w="120" w:type="dxa"/>
              <w:bottom w:w="80" w:type="dxa"/>
              <w:end w:w="120" w:type="dxa"/>
            </w:tcMar>
            <w:vAlign w:val="center"/>
          </w:tcPr>
          <w:p>
            <w:pPr>
              <w:spacing w:after="40" w:line="240" w:lineRule="auto" w:before="0"/>
            </w:pPr>
            <w:r>
              <w:rPr>
                <w:rFonts w:ascii="Calibri" w:hAnsi="Calibri"/>
                <w:color w:val="232323"/>
                <w:sz w:val="20"/>
              </w:rPr>
              <w:t>Protocole permanent, plateforme commune, règles de mise à jour.</w:t>
            </w:r>
          </w:p>
        </w:tc>
      </w:tr>
      <w:tr>
        <w:tc>
          <w:tcPr>
            <w:tcW w:type="dxa" w:w="2600"/>
            <w:tcMar>
              <w:top w:w="80" w:type="dxa"/>
              <w:start w:w="120" w:type="dxa"/>
              <w:bottom w:w="80" w:type="dxa"/>
              <w:end w:w="120" w:type="dxa"/>
            </w:tcMar>
            <w:vAlign w:val="center"/>
          </w:tcPr>
          <w:p>
            <w:pPr>
              <w:spacing w:after="40" w:line="240" w:lineRule="auto" w:before="0"/>
            </w:pPr>
            <w:r>
              <w:rPr>
                <w:rFonts w:ascii="Calibri" w:hAnsi="Calibri"/>
                <w:color w:val="232323"/>
                <w:sz w:val="20"/>
              </w:rPr>
              <w:t>E-Taxe</w:t>
            </w:r>
          </w:p>
        </w:tc>
        <w:tc>
          <w:tcPr>
            <w:tcW w:type="dxa" w:w="1350"/>
            <w:tcMar>
              <w:top w:w="80" w:type="dxa"/>
              <w:start w:w="120" w:type="dxa"/>
              <w:bottom w:w="80" w:type="dxa"/>
              <w:end w:w="120" w:type="dxa"/>
            </w:tcMar>
            <w:vAlign w:val="center"/>
          </w:tcPr>
          <w:p>
            <w:pPr>
              <w:spacing w:after="40" w:line="240" w:lineRule="auto" w:before="0"/>
            </w:pPr>
            <w:r>
              <w:rPr>
                <w:rFonts w:ascii="Calibri" w:hAnsi="Calibri"/>
                <w:color w:val="232323"/>
                <w:sz w:val="20"/>
              </w:rPr>
              <w:t>Court terme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Élevé</w:t>
            </w:r>
          </w:p>
        </w:tc>
        <w:tc>
          <w:tcPr>
            <w:tcW w:type="dxa" w:w="3910"/>
            <w:tcMar>
              <w:top w:w="80" w:type="dxa"/>
              <w:start w:w="120" w:type="dxa"/>
              <w:bottom w:w="80" w:type="dxa"/>
              <w:end w:w="120" w:type="dxa"/>
            </w:tcMar>
            <w:vAlign w:val="center"/>
          </w:tcPr>
          <w:p>
            <w:pPr>
              <w:spacing w:after="40" w:line="240" w:lineRule="auto" w:before="0"/>
            </w:pPr>
            <w:r>
              <w:rPr>
                <w:rFonts w:ascii="Calibri" w:hAnsi="Calibri"/>
                <w:color w:val="232323"/>
                <w:sz w:val="20"/>
              </w:rPr>
              <w:t>Canaux simples, mobile money, relances, pédagogie citoyenne.</w:t>
            </w:r>
          </w:p>
        </w:tc>
      </w:tr>
      <w:tr>
        <w:tc>
          <w:tcPr>
            <w:tcW w:type="dxa" w:w="2600"/>
            <w:tcMar>
              <w:top w:w="80" w:type="dxa"/>
              <w:start w:w="120" w:type="dxa"/>
              <w:bottom w:w="80" w:type="dxa"/>
              <w:end w:w="120" w:type="dxa"/>
            </w:tcMar>
            <w:vAlign w:val="center"/>
          </w:tcPr>
          <w:p>
            <w:pPr>
              <w:spacing w:after="40" w:line="240" w:lineRule="auto" w:before="0"/>
            </w:pPr>
            <w:r>
              <w:rPr>
                <w:rFonts w:ascii="Calibri" w:hAnsi="Calibri"/>
                <w:color w:val="232323"/>
                <w:sz w:val="20"/>
              </w:rPr>
              <w:t>Réforme foncière</w:t>
            </w:r>
          </w:p>
        </w:tc>
        <w:tc>
          <w:tcPr>
            <w:tcW w:type="dxa" w:w="1350"/>
            <w:tcMar>
              <w:top w:w="80" w:type="dxa"/>
              <w:start w:w="120" w:type="dxa"/>
              <w:bottom w:w="80" w:type="dxa"/>
              <w:end w:w="120" w:type="dxa"/>
            </w:tcMar>
            <w:vAlign w:val="center"/>
          </w:tcPr>
          <w:p>
            <w:pPr>
              <w:spacing w:after="40" w:line="240" w:lineRule="auto" w:before="0"/>
            </w:pPr>
            <w:r>
              <w:rPr>
                <w:rFonts w:ascii="Calibri" w:hAnsi="Calibri"/>
                <w:color w:val="232323"/>
                <w:sz w:val="20"/>
              </w:rPr>
              <w:t>Moyen terme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Très élevé</w:t>
            </w:r>
          </w:p>
        </w:tc>
        <w:tc>
          <w:tcPr>
            <w:tcW w:type="dxa" w:w="3910"/>
            <w:tcMar>
              <w:top w:w="80" w:type="dxa"/>
              <w:start w:w="120" w:type="dxa"/>
              <w:bottom w:w="80" w:type="dxa"/>
              <w:end w:w="120" w:type="dxa"/>
            </w:tcMar>
            <w:vAlign w:val="center"/>
          </w:tcPr>
          <w:p>
            <w:pPr>
              <w:spacing w:after="40" w:line="240" w:lineRule="auto" w:before="0"/>
            </w:pPr>
            <w:r>
              <w:rPr>
                <w:rFonts w:ascii="Calibri" w:hAnsi="Calibri"/>
                <w:color w:val="232323"/>
                <w:sz w:val="20"/>
              </w:rPr>
              <w:t>Actualisation des bases et intégration des nouvelles constructions.</w:t>
            </w:r>
          </w:p>
        </w:tc>
      </w:tr>
      <w:tr>
        <w:tc>
          <w:tcPr>
            <w:tcW w:type="dxa" w:w="2600"/>
            <w:tcMar>
              <w:top w:w="80" w:type="dxa"/>
              <w:start w:w="120" w:type="dxa"/>
              <w:bottom w:w="80" w:type="dxa"/>
              <w:end w:w="120" w:type="dxa"/>
            </w:tcMar>
            <w:vAlign w:val="center"/>
          </w:tcPr>
          <w:p>
            <w:pPr>
              <w:spacing w:after="40" w:line="240" w:lineRule="auto" w:before="0"/>
            </w:pPr>
            <w:r>
              <w:rPr>
                <w:rFonts w:ascii="Calibri" w:hAnsi="Calibri"/>
                <w:color w:val="232323"/>
                <w:sz w:val="20"/>
              </w:rPr>
              <w:t>Fiscalité urbaine moderne</w:t>
            </w:r>
          </w:p>
        </w:tc>
        <w:tc>
          <w:tcPr>
            <w:tcW w:type="dxa" w:w="1350"/>
            <w:tcMar>
              <w:top w:w="80" w:type="dxa"/>
              <w:start w:w="120" w:type="dxa"/>
              <w:bottom w:w="80" w:type="dxa"/>
              <w:end w:w="120" w:type="dxa"/>
            </w:tcMar>
            <w:vAlign w:val="center"/>
          </w:tcPr>
          <w:p>
            <w:pPr>
              <w:spacing w:after="40" w:line="240" w:lineRule="auto" w:before="0"/>
            </w:pPr>
            <w:r>
              <w:rPr>
                <w:rFonts w:ascii="Calibri" w:hAnsi="Calibri"/>
                <w:color w:val="232323"/>
                <w:sz w:val="20"/>
              </w:rPr>
              <w:t>Moyen terme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Élevé</w:t>
            </w:r>
          </w:p>
        </w:tc>
        <w:tc>
          <w:tcPr>
            <w:tcW w:type="dxa" w:w="3910"/>
            <w:tcMar>
              <w:top w:w="80" w:type="dxa"/>
              <w:start w:w="120" w:type="dxa"/>
              <w:bottom w:w="80" w:type="dxa"/>
              <w:end w:w="120" w:type="dxa"/>
            </w:tcMar>
            <w:vAlign w:val="center"/>
          </w:tcPr>
          <w:p>
            <w:pPr>
              <w:spacing w:after="40" w:line="240" w:lineRule="auto" w:before="0"/>
            </w:pPr>
            <w:r>
              <w:rPr>
                <w:rFonts w:ascii="Calibri" w:hAnsi="Calibri"/>
                <w:color w:val="232323"/>
                <w:sz w:val="20"/>
              </w:rPr>
              <w:t>Barèmes clairs, traçabilité, équité et services visibles.</w:t>
            </w:r>
          </w:p>
        </w:tc>
      </w:tr>
      <w:tr>
        <w:tc>
          <w:tcPr>
            <w:tcW w:type="dxa" w:w="2600"/>
            <w:tcMar>
              <w:top w:w="80" w:type="dxa"/>
              <w:start w:w="120" w:type="dxa"/>
              <w:bottom w:w="80" w:type="dxa"/>
              <w:end w:w="120" w:type="dxa"/>
            </w:tcMar>
            <w:vAlign w:val="center"/>
          </w:tcPr>
          <w:p>
            <w:pPr>
              <w:spacing w:after="40" w:line="240" w:lineRule="auto" w:before="0"/>
            </w:pPr>
            <w:r>
              <w:rPr>
                <w:rFonts w:ascii="Calibri" w:hAnsi="Calibri"/>
                <w:color w:val="232323"/>
                <w:sz w:val="20"/>
              </w:rPr>
              <w:t>Fiscalité verte</w:t>
            </w:r>
          </w:p>
        </w:tc>
        <w:tc>
          <w:tcPr>
            <w:tcW w:type="dxa" w:w="1350"/>
            <w:tcMar>
              <w:top w:w="80" w:type="dxa"/>
              <w:start w:w="120" w:type="dxa"/>
              <w:bottom w:w="80" w:type="dxa"/>
              <w:end w:w="120" w:type="dxa"/>
            </w:tcMar>
            <w:vAlign w:val="center"/>
          </w:tcPr>
          <w:p>
            <w:pPr>
              <w:spacing w:after="40" w:line="240" w:lineRule="auto" w:before="0"/>
            </w:pPr>
            <w:r>
              <w:rPr>
                <w:rFonts w:ascii="Calibri" w:hAnsi="Calibri"/>
                <w:color w:val="232323"/>
                <w:sz w:val="20"/>
              </w:rPr>
              <w:t>Moyen terme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Moyen à élevé</w:t>
            </w:r>
          </w:p>
        </w:tc>
        <w:tc>
          <w:tcPr>
            <w:tcW w:type="dxa" w:w="3910"/>
            <w:tcMar>
              <w:top w:w="80" w:type="dxa"/>
              <w:start w:w="120" w:type="dxa"/>
              <w:bottom w:w="80" w:type="dxa"/>
              <w:end w:w="120" w:type="dxa"/>
            </w:tcMar>
            <w:vAlign w:val="center"/>
          </w:tcPr>
          <w:p>
            <w:pPr>
              <w:spacing w:after="40" w:line="240" w:lineRule="auto" w:before="0"/>
            </w:pPr>
            <w:r>
              <w:rPr>
                <w:rFonts w:ascii="Calibri" w:hAnsi="Calibri"/>
                <w:color w:val="232323"/>
                <w:sz w:val="20"/>
              </w:rPr>
              <w:t>Lien avec PCET, déchets, énergie, carbone et finance climat.</w:t>
            </w:r>
          </w:p>
        </w:tc>
      </w:tr>
      <w:tr>
        <w:tc>
          <w:tcPr>
            <w:tcW w:type="dxa" w:w="2600"/>
            <w:tcMar>
              <w:top w:w="80" w:type="dxa"/>
              <w:start w:w="120" w:type="dxa"/>
              <w:bottom w:w="80" w:type="dxa"/>
              <w:end w:w="120" w:type="dxa"/>
            </w:tcMar>
            <w:vAlign w:val="center"/>
          </w:tcPr>
          <w:p>
            <w:pPr>
              <w:spacing w:after="40" w:line="240" w:lineRule="auto" w:before="0"/>
            </w:pPr>
            <w:r>
              <w:rPr>
                <w:rFonts w:ascii="Calibri" w:hAnsi="Calibri"/>
                <w:color w:val="232323"/>
                <w:sz w:val="20"/>
              </w:rPr>
              <w:t>Accès aux marchés financiers</w:t>
            </w:r>
          </w:p>
        </w:tc>
        <w:tc>
          <w:tcPr>
            <w:tcW w:type="dxa" w:w="1350"/>
            <w:tcMar>
              <w:top w:w="80" w:type="dxa"/>
              <w:start w:w="120" w:type="dxa"/>
              <w:bottom w:w="80" w:type="dxa"/>
              <w:end w:w="120" w:type="dxa"/>
            </w:tcMar>
            <w:vAlign w:val="center"/>
          </w:tcPr>
          <w:p>
            <w:pPr>
              <w:spacing w:after="40" w:line="240" w:lineRule="auto" w:before="0"/>
            </w:pPr>
            <w:r>
              <w:rPr>
                <w:rFonts w:ascii="Calibri" w:hAnsi="Calibri"/>
                <w:color w:val="232323"/>
                <w:sz w:val="20"/>
              </w:rPr>
              <w:t>Long terme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Transformateur</w:t>
            </w:r>
          </w:p>
        </w:tc>
        <w:tc>
          <w:tcPr>
            <w:tcW w:type="dxa" w:w="3910"/>
            <w:tcMar>
              <w:top w:w="80" w:type="dxa"/>
              <w:start w:w="120" w:type="dxa"/>
              <w:bottom w:w="80" w:type="dxa"/>
              <w:end w:w="120" w:type="dxa"/>
            </w:tcMar>
            <w:vAlign w:val="center"/>
          </w:tcPr>
          <w:p>
            <w:pPr>
              <w:spacing w:after="40" w:line="240" w:lineRule="auto" w:before="0"/>
            </w:pPr>
            <w:r>
              <w:rPr>
                <w:rFonts w:ascii="Calibri" w:hAnsi="Calibri"/>
                <w:color w:val="232323"/>
                <w:sz w:val="20"/>
              </w:rPr>
              <w:t>Comptes fiables, notation, projets bancables et soutenabilité de dette.</w:t>
            </w:r>
          </w:p>
        </w:tc>
      </w:tr>
    </w:tbl>
    <w:p>
      <w:pPr>
        <w:pStyle w:val="Heading2"/>
      </w:pPr>
      <w:r>
        <w:t>Benchmark fiscal comparatif</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300"/>
        <w:gridCol w:w="1600"/>
        <w:gridCol w:w="1500"/>
        <w:gridCol w:w="1900"/>
        <w:gridCol w:w="1400"/>
        <w:gridCol w:w="1660"/>
      </w:tblGrid>
      <w:tr>
        <w:trPr>
          <w:tblHeader w:val="true"/>
        </w:trPr>
        <w:tc>
          <w:tcPr>
            <w:tcW w:type="dxa" w:w="13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Ville</w:t>
            </w:r>
          </w:p>
        </w:tc>
        <w:tc>
          <w:tcPr>
            <w:tcW w:type="dxa" w:w="16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Assiette fiscale</w:t>
            </w:r>
          </w:p>
        </w:tc>
        <w:tc>
          <w:tcPr>
            <w:tcW w:type="dxa" w:w="15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Recouvrement estimatif</w:t>
            </w:r>
          </w:p>
        </w:tc>
        <w:tc>
          <w:tcPr>
            <w:tcW w:type="dxa" w:w="19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Fiscalité foncière</w:t>
            </w:r>
          </w:p>
        </w:tc>
        <w:tc>
          <w:tcPr>
            <w:tcW w:type="dxa" w:w="14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Marché financier</w:t>
            </w:r>
          </w:p>
        </w:tc>
        <w:tc>
          <w:tcPr>
            <w:tcW w:type="dxa" w:w="16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Digitalisation fiscale</w:t>
            </w:r>
          </w:p>
        </w:tc>
      </w:tr>
      <w:tr>
        <w:tc>
          <w:tcPr>
            <w:tcW w:type="dxa" w:w="1300"/>
            <w:tcMar>
              <w:top w:w="80" w:type="dxa"/>
              <w:start w:w="120" w:type="dxa"/>
              <w:bottom w:w="80" w:type="dxa"/>
              <w:end w:w="120" w:type="dxa"/>
            </w:tcMar>
            <w:vAlign w:val="center"/>
          </w:tcPr>
          <w:p>
            <w:pPr>
              <w:spacing w:after="40" w:line="240" w:lineRule="auto" w:before="0"/>
            </w:pPr>
            <w:r>
              <w:rPr>
                <w:rFonts w:ascii="Calibri" w:hAnsi="Calibri"/>
                <w:color w:val="232323"/>
                <w:sz w:val="20"/>
              </w:rPr>
              <w:t>Dakar</w:t>
            </w:r>
          </w:p>
        </w:tc>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Faible à moyenne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50-70 %</w:t>
            </w:r>
          </w:p>
        </w:tc>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Sous-exploitée</w:t>
            </w:r>
          </w:p>
        </w:tc>
        <w:tc>
          <w:tcPr>
            <w:tcW w:type="dxa" w:w="1400"/>
            <w:tcMar>
              <w:top w:w="80" w:type="dxa"/>
              <w:start w:w="120" w:type="dxa"/>
              <w:bottom w:w="80" w:type="dxa"/>
              <w:end w:w="120" w:type="dxa"/>
            </w:tcMar>
            <w:vAlign w:val="center"/>
          </w:tcPr>
          <w:p>
            <w:pPr>
              <w:spacing w:after="40" w:line="240" w:lineRule="auto" w:before="0"/>
            </w:pPr>
            <w:r>
              <w:rPr>
                <w:rFonts w:ascii="Calibri" w:hAnsi="Calibri"/>
                <w:color w:val="232323"/>
                <w:sz w:val="20"/>
              </w:rPr>
              <w:t>Très limité</w:t>
            </w:r>
          </w:p>
        </w:tc>
        <w:tc>
          <w:tcPr>
            <w:tcW w:type="dxa" w:w="1660"/>
            <w:tcMar>
              <w:top w:w="80" w:type="dxa"/>
              <w:start w:w="120" w:type="dxa"/>
              <w:bottom w:w="80" w:type="dxa"/>
              <w:end w:w="120" w:type="dxa"/>
            </w:tcMar>
            <w:vAlign w:val="center"/>
          </w:tcPr>
          <w:p>
            <w:pPr>
              <w:spacing w:after="40" w:line="240" w:lineRule="auto" w:before="0"/>
            </w:pPr>
            <w:r>
              <w:rPr>
                <w:rFonts w:ascii="Calibri" w:hAnsi="Calibri"/>
                <w:color w:val="232323"/>
                <w:sz w:val="20"/>
              </w:rPr>
              <w:t>Moyenne</w:t>
            </w:r>
          </w:p>
        </w:tc>
      </w:tr>
      <w:tr>
        <w:tc>
          <w:tcPr>
            <w:tcW w:type="dxa" w:w="1300"/>
            <w:tcMar>
              <w:top w:w="80" w:type="dxa"/>
              <w:start w:w="120" w:type="dxa"/>
              <w:bottom w:w="80" w:type="dxa"/>
              <w:end w:w="120" w:type="dxa"/>
            </w:tcMar>
            <w:vAlign w:val="center"/>
          </w:tcPr>
          <w:p>
            <w:pPr>
              <w:spacing w:after="40" w:line="240" w:lineRule="auto" w:before="0"/>
            </w:pPr>
            <w:r>
              <w:rPr>
                <w:rFonts w:ascii="Calibri" w:hAnsi="Calibri"/>
                <w:color w:val="232323"/>
                <w:sz w:val="20"/>
              </w:rPr>
              <w:t>Kigali</w:t>
            </w:r>
          </w:p>
        </w:tc>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Élevée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80-90 %</w:t>
            </w:r>
          </w:p>
        </w:tc>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Forte</w:t>
            </w:r>
          </w:p>
        </w:tc>
        <w:tc>
          <w:tcPr>
            <w:tcW w:type="dxa" w:w="1400"/>
            <w:tcMar>
              <w:top w:w="80" w:type="dxa"/>
              <w:start w:w="120" w:type="dxa"/>
              <w:bottom w:w="80" w:type="dxa"/>
              <w:end w:w="120" w:type="dxa"/>
            </w:tcMar>
            <w:vAlign w:val="center"/>
          </w:tcPr>
          <w:p>
            <w:pPr>
              <w:spacing w:after="40" w:line="240" w:lineRule="auto" w:before="0"/>
            </w:pPr>
            <w:r>
              <w:rPr>
                <w:rFonts w:ascii="Calibri" w:hAnsi="Calibri"/>
                <w:color w:val="232323"/>
                <w:sz w:val="20"/>
              </w:rPr>
              <w:t>Faible</w:t>
            </w:r>
          </w:p>
        </w:tc>
        <w:tc>
          <w:tcPr>
            <w:tcW w:type="dxa" w:w="1660"/>
            <w:tcMar>
              <w:top w:w="80" w:type="dxa"/>
              <w:start w:w="120" w:type="dxa"/>
              <w:bottom w:w="80" w:type="dxa"/>
              <w:end w:w="120" w:type="dxa"/>
            </w:tcMar>
            <w:vAlign w:val="center"/>
          </w:tcPr>
          <w:p>
            <w:pPr>
              <w:spacing w:after="40" w:line="240" w:lineRule="auto" w:before="0"/>
            </w:pPr>
            <w:r>
              <w:rPr>
                <w:rFonts w:ascii="Calibri" w:hAnsi="Calibri"/>
                <w:color w:val="232323"/>
                <w:sz w:val="20"/>
              </w:rPr>
              <w:t>Très élevée</w:t>
            </w:r>
          </w:p>
        </w:tc>
      </w:tr>
      <w:tr>
        <w:tc>
          <w:tcPr>
            <w:tcW w:type="dxa" w:w="1300"/>
            <w:tcMar>
              <w:top w:w="80" w:type="dxa"/>
              <w:start w:w="120" w:type="dxa"/>
              <w:bottom w:w="80" w:type="dxa"/>
              <w:end w:w="120" w:type="dxa"/>
            </w:tcMar>
            <w:vAlign w:val="center"/>
          </w:tcPr>
          <w:p>
            <w:pPr>
              <w:spacing w:after="40" w:line="240" w:lineRule="auto" w:before="0"/>
            </w:pPr>
            <w:r>
              <w:rPr>
                <w:rFonts w:ascii="Calibri" w:hAnsi="Calibri"/>
                <w:color w:val="232323"/>
                <w:sz w:val="20"/>
              </w:rPr>
              <w:t>Lagos</w:t>
            </w:r>
          </w:p>
        </w:tc>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Très élevée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85-95 %</w:t>
            </w:r>
          </w:p>
        </w:tc>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Très forte</w:t>
            </w:r>
          </w:p>
        </w:tc>
        <w:tc>
          <w:tcPr>
            <w:tcW w:type="dxa" w:w="1400"/>
            <w:tcMar>
              <w:top w:w="80" w:type="dxa"/>
              <w:start w:w="120" w:type="dxa"/>
              <w:bottom w:w="80" w:type="dxa"/>
              <w:end w:w="120" w:type="dxa"/>
            </w:tcMar>
            <w:vAlign w:val="center"/>
          </w:tcPr>
          <w:p>
            <w:pPr>
              <w:spacing w:after="40" w:line="240" w:lineRule="auto" w:before="0"/>
            </w:pPr>
            <w:r>
              <w:rPr>
                <w:rFonts w:ascii="Calibri" w:hAnsi="Calibri"/>
                <w:color w:val="232323"/>
                <w:sz w:val="20"/>
              </w:rPr>
              <w:t>Oui</w:t>
            </w:r>
          </w:p>
        </w:tc>
        <w:tc>
          <w:tcPr>
            <w:tcW w:type="dxa" w:w="1660"/>
            <w:tcMar>
              <w:top w:w="80" w:type="dxa"/>
              <w:start w:w="120" w:type="dxa"/>
              <w:bottom w:w="80" w:type="dxa"/>
              <w:end w:w="120" w:type="dxa"/>
            </w:tcMar>
            <w:vAlign w:val="center"/>
          </w:tcPr>
          <w:p>
            <w:pPr>
              <w:spacing w:after="40" w:line="240" w:lineRule="auto" w:before="0"/>
            </w:pPr>
            <w:r>
              <w:rPr>
                <w:rFonts w:ascii="Calibri" w:hAnsi="Calibri"/>
                <w:color w:val="232323"/>
                <w:sz w:val="20"/>
              </w:rPr>
              <w:t>Très élevée</w:t>
            </w:r>
          </w:p>
        </w:tc>
      </w:tr>
      <w:tr>
        <w:tc>
          <w:tcPr>
            <w:tcW w:type="dxa" w:w="1300"/>
            <w:tcMar>
              <w:top w:w="80" w:type="dxa"/>
              <w:start w:w="120" w:type="dxa"/>
              <w:bottom w:w="80" w:type="dxa"/>
              <w:end w:w="120" w:type="dxa"/>
            </w:tcMar>
            <w:vAlign w:val="center"/>
          </w:tcPr>
          <w:p>
            <w:pPr>
              <w:spacing w:after="40" w:line="240" w:lineRule="auto" w:before="0"/>
            </w:pPr>
            <w:r>
              <w:rPr>
                <w:rFonts w:ascii="Calibri" w:hAnsi="Calibri"/>
                <w:color w:val="232323"/>
                <w:sz w:val="20"/>
              </w:rPr>
              <w:t>Johannesburg</w:t>
            </w:r>
          </w:p>
        </w:tc>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Très élevée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90-95 %</w:t>
            </w:r>
          </w:p>
        </w:tc>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Principale ressource</w:t>
            </w:r>
          </w:p>
        </w:tc>
        <w:tc>
          <w:tcPr>
            <w:tcW w:type="dxa" w:w="1400"/>
            <w:tcMar>
              <w:top w:w="80" w:type="dxa"/>
              <w:start w:w="120" w:type="dxa"/>
              <w:bottom w:w="80" w:type="dxa"/>
              <w:end w:w="120" w:type="dxa"/>
            </w:tcMar>
            <w:vAlign w:val="center"/>
          </w:tcPr>
          <w:p>
            <w:pPr>
              <w:spacing w:after="40" w:line="240" w:lineRule="auto" w:before="0"/>
            </w:pPr>
            <w:r>
              <w:rPr>
                <w:rFonts w:ascii="Calibri" w:hAnsi="Calibri"/>
                <w:color w:val="232323"/>
                <w:sz w:val="20"/>
              </w:rPr>
              <w:t>Oui</w:t>
            </w:r>
          </w:p>
        </w:tc>
        <w:tc>
          <w:tcPr>
            <w:tcW w:type="dxa" w:w="1660"/>
            <w:tcMar>
              <w:top w:w="80" w:type="dxa"/>
              <w:start w:w="120" w:type="dxa"/>
              <w:bottom w:w="80" w:type="dxa"/>
              <w:end w:w="120" w:type="dxa"/>
            </w:tcMar>
            <w:vAlign w:val="center"/>
          </w:tcPr>
          <w:p>
            <w:pPr>
              <w:spacing w:after="40" w:line="240" w:lineRule="auto" w:before="0"/>
            </w:pPr>
            <w:r>
              <w:rPr>
                <w:rFonts w:ascii="Calibri" w:hAnsi="Calibri"/>
                <w:color w:val="232323"/>
                <w:sz w:val="20"/>
              </w:rPr>
              <w:t>Très élevée</w:t>
            </w:r>
          </w:p>
        </w:tc>
      </w:tr>
      <w:tr>
        <w:tc>
          <w:tcPr>
            <w:tcW w:type="dxa" w:w="1300"/>
            <w:tcMar>
              <w:top w:w="80" w:type="dxa"/>
              <w:start w:w="120" w:type="dxa"/>
              <w:bottom w:w="80" w:type="dxa"/>
              <w:end w:w="120" w:type="dxa"/>
            </w:tcMar>
            <w:vAlign w:val="center"/>
          </w:tcPr>
          <w:p>
            <w:pPr>
              <w:spacing w:after="40" w:line="240" w:lineRule="auto" w:before="0"/>
            </w:pPr>
            <w:r>
              <w:rPr>
                <w:rFonts w:ascii="Calibri" w:hAnsi="Calibri"/>
                <w:color w:val="232323"/>
                <w:sz w:val="20"/>
              </w:rPr>
              <w:t>Casablanca</w:t>
            </w:r>
          </w:p>
        </w:tc>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Très élevée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85-95 %</w:t>
            </w:r>
          </w:p>
        </w:tc>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Très forte</w:t>
            </w:r>
          </w:p>
        </w:tc>
        <w:tc>
          <w:tcPr>
            <w:tcW w:type="dxa" w:w="1400"/>
            <w:tcMar>
              <w:top w:w="80" w:type="dxa"/>
              <w:start w:w="120" w:type="dxa"/>
              <w:bottom w:w="80" w:type="dxa"/>
              <w:end w:w="120" w:type="dxa"/>
            </w:tcMar>
            <w:vAlign w:val="center"/>
          </w:tcPr>
          <w:p>
            <w:pPr>
              <w:spacing w:after="40" w:line="240" w:lineRule="auto" w:before="0"/>
            </w:pPr>
            <w:r>
              <w:rPr>
                <w:rFonts w:ascii="Calibri" w:hAnsi="Calibri"/>
                <w:color w:val="232323"/>
                <w:sz w:val="20"/>
              </w:rPr>
              <w:t>Oui</w:t>
            </w:r>
          </w:p>
        </w:tc>
        <w:tc>
          <w:tcPr>
            <w:tcW w:type="dxa" w:w="1660"/>
            <w:tcMar>
              <w:top w:w="80" w:type="dxa"/>
              <w:start w:w="120" w:type="dxa"/>
              <w:bottom w:w="80" w:type="dxa"/>
              <w:end w:w="120" w:type="dxa"/>
            </w:tcMar>
            <w:vAlign w:val="center"/>
          </w:tcPr>
          <w:p>
            <w:pPr>
              <w:spacing w:after="40" w:line="240" w:lineRule="auto" w:before="0"/>
            </w:pPr>
            <w:r>
              <w:rPr>
                <w:rFonts w:ascii="Calibri" w:hAnsi="Calibri"/>
                <w:color w:val="232323"/>
                <w:sz w:val="20"/>
              </w:rPr>
              <w:t>Très élevée</w:t>
            </w:r>
          </w:p>
        </w:tc>
      </w:tr>
      <w:tr>
        <w:tc>
          <w:tcPr>
            <w:tcW w:type="dxa" w:w="1300"/>
            <w:tcMar>
              <w:top w:w="80" w:type="dxa"/>
              <w:start w:w="120" w:type="dxa"/>
              <w:bottom w:w="80" w:type="dxa"/>
              <w:end w:w="120" w:type="dxa"/>
            </w:tcMar>
            <w:vAlign w:val="center"/>
          </w:tcPr>
          <w:p>
            <w:pPr>
              <w:spacing w:after="40" w:line="240" w:lineRule="auto" w:before="0"/>
            </w:pPr>
            <w:r>
              <w:rPr>
                <w:rFonts w:ascii="Calibri" w:hAnsi="Calibri"/>
                <w:color w:val="232323"/>
                <w:sz w:val="20"/>
              </w:rPr>
              <w:t>Rabat</w:t>
            </w:r>
          </w:p>
        </w:tc>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Élevée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80-90 %</w:t>
            </w:r>
          </w:p>
        </w:tc>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Forte</w:t>
            </w:r>
          </w:p>
        </w:tc>
        <w:tc>
          <w:tcPr>
            <w:tcW w:type="dxa" w:w="1400"/>
            <w:tcMar>
              <w:top w:w="80" w:type="dxa"/>
              <w:start w:w="120" w:type="dxa"/>
              <w:bottom w:w="80" w:type="dxa"/>
              <w:end w:w="120" w:type="dxa"/>
            </w:tcMar>
            <w:vAlign w:val="center"/>
          </w:tcPr>
          <w:p>
            <w:pPr>
              <w:spacing w:after="40" w:line="240" w:lineRule="auto" w:before="0"/>
            </w:pPr>
            <w:r>
              <w:rPr>
                <w:rFonts w:ascii="Calibri" w:hAnsi="Calibri"/>
                <w:color w:val="232323"/>
                <w:sz w:val="20"/>
              </w:rPr>
              <w:t>Oui</w:t>
            </w:r>
          </w:p>
        </w:tc>
        <w:tc>
          <w:tcPr>
            <w:tcW w:type="dxa" w:w="1660"/>
            <w:tcMar>
              <w:top w:w="80" w:type="dxa"/>
              <w:start w:w="120" w:type="dxa"/>
              <w:bottom w:w="80" w:type="dxa"/>
              <w:end w:w="120" w:type="dxa"/>
            </w:tcMar>
            <w:vAlign w:val="center"/>
          </w:tcPr>
          <w:p>
            <w:pPr>
              <w:spacing w:after="40" w:line="240" w:lineRule="auto" w:before="0"/>
            </w:pPr>
            <w:r>
              <w:rPr>
                <w:rFonts w:ascii="Calibri" w:hAnsi="Calibri"/>
                <w:color w:val="232323"/>
                <w:sz w:val="20"/>
              </w:rPr>
              <w:t>Élevée</w:t>
            </w:r>
          </w:p>
        </w:tc>
      </w:tr>
      <w:tr>
        <w:tc>
          <w:tcPr>
            <w:tcW w:type="dxa" w:w="1300"/>
            <w:tcMar>
              <w:top w:w="80" w:type="dxa"/>
              <w:start w:w="120" w:type="dxa"/>
              <w:bottom w:w="80" w:type="dxa"/>
              <w:end w:w="120" w:type="dxa"/>
            </w:tcMar>
            <w:vAlign w:val="center"/>
          </w:tcPr>
          <w:p>
            <w:pPr>
              <w:spacing w:after="40" w:line="240" w:lineRule="auto" w:before="0"/>
            </w:pPr>
            <w:r>
              <w:rPr>
                <w:rFonts w:ascii="Calibri" w:hAnsi="Calibri"/>
                <w:color w:val="232323"/>
                <w:sz w:val="20"/>
              </w:rPr>
              <w:t>Port-Louis</w:t>
            </w:r>
          </w:p>
        </w:tc>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Élevée</w:t>
            </w:r>
          </w:p>
        </w:tc>
        <w:tc>
          <w:tcPr>
            <w:tcW w:type="dxa" w:w="1500"/>
            <w:tcMar>
              <w:top w:w="80" w:type="dxa"/>
              <w:start w:w="120" w:type="dxa"/>
              <w:bottom w:w="80" w:type="dxa"/>
              <w:end w:w="120" w:type="dxa"/>
            </w:tcMar>
            <w:vAlign w:val="center"/>
          </w:tcPr>
          <w:p>
            <w:pPr>
              <w:spacing w:after="40" w:line="240" w:lineRule="auto" w:before="0"/>
            </w:pPr>
            <w:r>
              <w:rPr>
                <w:rFonts w:ascii="Calibri" w:hAnsi="Calibri"/>
                <w:color w:val="232323"/>
                <w:sz w:val="20"/>
              </w:rPr>
              <w:t>85-95 %</w:t>
            </w:r>
          </w:p>
        </w:tc>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Forte</w:t>
            </w:r>
          </w:p>
        </w:tc>
        <w:tc>
          <w:tcPr>
            <w:tcW w:type="dxa" w:w="1400"/>
            <w:tcMar>
              <w:top w:w="80" w:type="dxa"/>
              <w:start w:w="120" w:type="dxa"/>
              <w:bottom w:w="80" w:type="dxa"/>
              <w:end w:w="120" w:type="dxa"/>
            </w:tcMar>
            <w:vAlign w:val="center"/>
          </w:tcPr>
          <w:p>
            <w:pPr>
              <w:spacing w:after="40" w:line="240" w:lineRule="auto" w:before="0"/>
            </w:pPr>
            <w:r>
              <w:rPr>
                <w:rFonts w:ascii="Calibri" w:hAnsi="Calibri"/>
                <w:color w:val="232323"/>
                <w:sz w:val="20"/>
              </w:rPr>
              <w:t>Oui</w:t>
            </w:r>
          </w:p>
        </w:tc>
        <w:tc>
          <w:tcPr>
            <w:tcW w:type="dxa" w:w="1660"/>
            <w:tcMar>
              <w:top w:w="80" w:type="dxa"/>
              <w:start w:w="120" w:type="dxa"/>
              <w:bottom w:w="80" w:type="dxa"/>
              <w:end w:w="120" w:type="dxa"/>
            </w:tcMar>
            <w:vAlign w:val="center"/>
          </w:tcPr>
          <w:p>
            <w:pPr>
              <w:spacing w:after="40" w:line="240" w:lineRule="auto" w:before="0"/>
            </w:pPr>
            <w:r>
              <w:rPr>
                <w:rFonts w:ascii="Calibri" w:hAnsi="Calibri"/>
                <w:color w:val="232323"/>
                <w:sz w:val="20"/>
              </w:rPr>
              <w:t>Élevée</w:t>
            </w:r>
          </w:p>
        </w:tc>
      </w:tr>
    </w:tbl>
    <w:p>
      <w:r>
        <w:t>Pour Dakar, la réforme fiscale doit donc être considérée comme une réforme de gouvernance et de développement territorial avant d’être une réforme budgétaire. Elle doit être intégrée au Plan stratégique Dakar 2035-2050, reliée à la GAR et pilotée par des données municipales fiables.</w:t>
      </w:r>
    </w:p>
    <w:p>
      <w:pPr>
        <w:pStyle w:val="Heading1"/>
      </w:pPr>
      <w:r>
        <w:t>Messages transversaux</w:t>
      </w:r>
    </w:p>
    <w:p>
      <w:pPr>
        <w:pStyle w:val="Heading2"/>
      </w:pPr>
      <w:r>
        <w:t>Une vision métropolitaine doit précéder les instruments.</w:t>
      </w:r>
    </w:p>
    <w:p>
      <w:r>
        <w:t>L’analyse transversale montre qu’il ne suffit pas d’accumuler des outils, des textes ou des projets. Dakar doit d’abord formuler une vision partagée de sa vocation : capitale nationale, pivot du pôle territorial ouest, métropole africaine durable, hub culturel, sportif, économique et climatique. Cette vision doit dépasser les mandats électifs afin de devenir un référentiel collectif pour les élus, l’administration, les citoyens et les partenaires.</w:t>
      </w:r>
    </w:p>
    <w:p>
      <w:pPr>
        <w:pStyle w:val="Heading2"/>
      </w:pPr>
      <w:r>
        <w:t>La clarification institutionnelle conditionne la performance.</w:t>
      </w:r>
    </w:p>
    <w:p>
      <w:r>
        <w:t>La plupart des contraintes financières et opérationnelles sont liées à la distribution des compétences. Lorsque la Ville ne maîtrise pas l’urbanisme, la fiscalité correspondante, les données ou les arbitrages, elle ne peut pas optimiser les ressources. La clarification des rôles entre État, Ville, communes et pôles est donc une condition préalable à l’autonomie financière, à la planification et à la redevabilité.</w:t>
      </w:r>
    </w:p>
    <w:p>
      <w:pPr>
        <w:pStyle w:val="Heading2"/>
      </w:pPr>
      <w:r>
        <w:t>La donnée devient un actif municipal.</w:t>
      </w:r>
    </w:p>
    <w:p>
      <w:r>
        <w:t>Les interventions sur la GAR, la fiscalité, les PPP, la finance climat et l’attractivité convergent vers une même exigence : disposer de données fiables, désagrégées, actualisées et accessibles. Données foncières, données RH, données budgétaires, données de projets, données climatiques, données de satisfaction citoyenne et données d’attractivité doivent être organisées comme un patrimoine stratégique.</w:t>
      </w:r>
    </w:p>
    <w:p>
      <w:pPr>
        <w:pStyle w:val="Heading2"/>
      </w:pPr>
      <w:r>
        <w:t>La mobilisation des ressources commence par la crédibilité.</w:t>
      </w:r>
    </w:p>
    <w:p>
      <w:r>
        <w:t>Les partenaires privés, les marchés financiers, les bailleurs et les fonds climat recherchent des collectivités capables de planifier, documenter, suivre, rendre compte et sécuriser leurs engagements. La transparence budgétaire, la certification, la GAR, l’ingénierie de projets et la stabilité des règles sont donc des leviers de financement autant que des outils de bonne gouvernance.</w:t>
      </w:r>
    </w:p>
    <w:p>
      <w:pPr>
        <w:pStyle w:val="Heading2"/>
      </w:pPr>
      <w:r>
        <w:t>Le capital humain relie toutes les transformations.</w:t>
      </w:r>
    </w:p>
    <w:p>
      <w:r>
        <w:t>Aucune réforme institutionnelle ou financière ne produira ses effets sans agents compétents, motivés et reconnus. Les compétences à développer sont nombreuses : ingénierie financière, montage PPP, fiscalité, SIG, numérique, suivi-évaluation, coopération internationale, climat, planification, communication publique et management du changement.</w:t>
      </w:r>
    </w:p>
    <w:p>
      <w:pPr>
        <w:pStyle w:val="Heading2"/>
      </w:pPr>
      <w:r>
        <w:t>L’attractivité internationale doit être fondée sur la qualité urbaine.</w:t>
      </w:r>
    </w:p>
    <w:p>
      <w:r>
        <w:t>Dakar peut développer une marque forte, mais celle-ci doit être cohérente avec l’expérience vécue : mobilité, propreté, espaces verts, sécurité, services, culture, accès au littoral, accueil des visiteurs, gestion des événements et implication des habitants. Le marketing territorial doit être le reflet d’une transformation réelle, non un habillage.</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MESSAGE DE SYNTHÈSE</w:t>
            </w:r>
          </w:p>
          <w:p>
            <w:pPr>
              <w:spacing w:after="40" w:line="252" w:lineRule="auto"/>
            </w:pPr>
            <w:r>
              <w:rPr>
                <w:sz w:val="20"/>
              </w:rPr>
              <w:t>La transformation de Dakar doit être pensée comme un système : un statut clarifié, une gouvernance par résultats, des ressources mobilisées, des agents renforcés et un rayonnement organisé.</w:t>
            </w:r>
          </w:p>
        </w:tc>
      </w:tr>
    </w:tbl>
    <w:p>
      <w:pPr>
        <w:pStyle w:val="Heading1"/>
      </w:pPr>
      <w:r>
        <w:t>Recommandations stratégiques et opérationnelles</w:t>
      </w:r>
    </w:p>
    <w:p>
      <w:pPr>
        <w:pStyle w:val="Heading2"/>
      </w:pPr>
      <w:r>
        <w:t>Pour l’État</w:t>
      </w:r>
    </w:p>
    <w:p>
      <w:pPr>
        <w:pStyle w:val="ListBullet"/>
      </w:pPr>
      <w:r>
        <w:t>Clarifier dans l’Acte IV le statut de Dakar, ses compétences, ses ressources et son articulation avec les pôles territoriaux.</w:t>
      </w:r>
    </w:p>
    <w:p>
      <w:pPr>
        <w:pStyle w:val="ListBullet"/>
      </w:pPr>
      <w:r>
        <w:t>Étudier explicitement l’option d’un District spécial de Dakar ou d’un pôle urbain métropolitain, à comparer avec une ville-capitale renforcée.</w:t>
      </w:r>
    </w:p>
    <w:p>
      <w:pPr>
        <w:pStyle w:val="ListBullet"/>
      </w:pPr>
      <w:r>
        <w:t>Transférer les compétences d’échelle avec les ressources correspondantes : fiscalité urbaine, mobilité, données, PPP, finance climat et levée de fonds.</w:t>
      </w:r>
    </w:p>
    <w:p>
      <w:pPr>
        <w:pStyle w:val="ListBullet"/>
      </w:pPr>
      <w:r>
        <w:t>Définir des blocs de compétences différenciés entre communes, villes, départements, pôles et services de l’État.</w:t>
      </w:r>
    </w:p>
    <w:p>
      <w:pPr>
        <w:pStyle w:val="ListBullet"/>
      </w:pPr>
      <w:r>
        <w:t>Inscrire dans l’Acte IV la GAR comme norme progressive de gestion de la performance des grandes collectivités et des pôles territoriaux.</w:t>
      </w:r>
    </w:p>
    <w:p>
      <w:pPr>
        <w:pStyle w:val="ListBullet"/>
      </w:pPr>
      <w:r>
        <w:t>Intégrer le numérique dans l’Acte IV comme norme de gouvernance : interopérabilité, données partagées, e-services, reporting et tableaux de bord.</w:t>
      </w:r>
    </w:p>
    <w:p>
      <w:pPr>
        <w:pStyle w:val="ListBullet"/>
      </w:pPr>
      <w:r>
        <w:t>Mettre en place un cadre national de partage des données fiscales, foncières, urbaines et budgétaires entre l’État, la Ville et les communes.</w:t>
      </w:r>
    </w:p>
    <w:p>
      <w:pPr>
        <w:pStyle w:val="ListBullet"/>
      </w:pPr>
      <w:r>
        <w:t>Ouvrir un cadre sécurisé d’accès des grandes villes aux marchés financiers, avec exigences de transparence, notation, certification et suivi.</w:t>
      </w:r>
    </w:p>
    <w:p>
      <w:pPr>
        <w:pStyle w:val="ListBullet"/>
      </w:pPr>
      <w:r>
        <w:t>Accélérer la décentralisation maîtrisée de la chaîne fiscale, en particulier sur les données, l’assiette et le recouvrement de proximité.</w:t>
      </w:r>
    </w:p>
    <w:p>
      <w:pPr>
        <w:pStyle w:val="ListBullet"/>
      </w:pPr>
      <w:r>
        <w:t>Mettre en œuvre les recommandations de l’évaluation de l’Acte III relatives au recensement exhaustif des contribuables, à la rationalisation de la fiscalité locale, à l’évaluation du coût des compétences transférées et à l’accès encadré des grandes collectivités à l’emprunt.</w:t>
      </w:r>
    </w:p>
    <w:p>
      <w:pPr>
        <w:pStyle w:val="ListBullet"/>
      </w:pPr>
      <w:r>
        <w:t>Adapter les dispositifs PPP aux besoins des collectivités territoriales, conformément à la loi n° 2021-23, avec appui à la maturation, fonds d’appui, contractualisation équilibrée et renforcement des capacités locales.</w:t>
      </w:r>
    </w:p>
    <w:p>
      <w:pPr>
        <w:pStyle w:val="ListBullet"/>
      </w:pPr>
      <w:r>
        <w:t>Mettre en place des dispositifs nationaux d’appui à l’ingénierie territoriale, financière, climatique et PPP.</w:t>
      </w:r>
    </w:p>
    <w:p>
      <w:pPr>
        <w:pStyle w:val="Heading2"/>
      </w:pPr>
      <w:r>
        <w:t>Pour la Ville de Dakar</w:t>
      </w:r>
    </w:p>
    <w:p>
      <w:pPr>
        <w:pStyle w:val="ListBullet"/>
      </w:pPr>
      <w:r>
        <w:t>Doter la Ville de Dakar d’un Plan stratégique Dakar 2035-2050, adopté par le conseil municipal et partagé avec les communes, les citoyens et les partenaires.</w:t>
      </w:r>
    </w:p>
    <w:p>
      <w:pPr>
        <w:pStyle w:val="ListBullet"/>
      </w:pPr>
      <w:r>
        <w:t>Préparer une note de plaidoyer Acte IV présentant les trois scénarios de statut et leurs implications fiscales, institutionnelles et démocratiques.</w:t>
      </w:r>
    </w:p>
    <w:p>
      <w:pPr>
        <w:pStyle w:val="ListBullet"/>
      </w:pPr>
      <w:r>
        <w:t>Organiser une consultation technique Ville-communes sur les compétences à mutualiser : mobilité, déchets, voirie, fiscalité de proximité, données et événements.</w:t>
      </w:r>
    </w:p>
    <w:p>
      <w:pPr>
        <w:pStyle w:val="ListBullet"/>
      </w:pPr>
      <w:r>
        <w:t>Mettre en place une cellule interdirectionnelle GAR, données municipales, grands projets et suivi-évaluation.</w:t>
      </w:r>
    </w:p>
    <w:p>
      <w:pPr>
        <w:pStyle w:val="ListBullet"/>
      </w:pPr>
      <w:r>
        <w:t>Construire un portefeuille priorisé de projets structurants, avec fiches techniques, coûts, impacts, risques et modes de financement possibles.</w:t>
      </w:r>
    </w:p>
    <w:p>
      <w:pPr>
        <w:pStyle w:val="ListBullet"/>
      </w:pPr>
      <w:r>
        <w:t>Intégrer la gouvernance des données municipales au programme GAR-données : référentiel fiscal, foncier, RH, climat, patrimoine, projets et attractivité.</w:t>
      </w:r>
    </w:p>
    <w:p>
      <w:pPr>
        <w:pStyle w:val="ListBullet"/>
      </w:pPr>
      <w:r>
        <w:t>Élaborer une stratégie de mobilisation des ressources propres : fiscalité foncière, recouvrement digital, stationnement, patrimoine, événementiel, services urbains.</w:t>
      </w:r>
    </w:p>
    <w:p>
      <w:pPr>
        <w:pStyle w:val="ListBullet"/>
      </w:pPr>
      <w:r>
        <w:t>Adopter un paquet de réformes fiscales territoriales : cadastre fiscal numérique, protocole Ville-DGID, e-taxe, fiscalité foncière, fiscalité urbaine moderne, fiscalité environnementale et ingénierie financière territoriale.</w:t>
      </w:r>
    </w:p>
    <w:p>
      <w:pPr>
        <w:pStyle w:val="ListBullet"/>
      </w:pPr>
      <w:r>
        <w:t>Déployer une feuille de route e-taxe : cadastre fiscal géolocalisé, compte contribuable, paiement mobile, relance numérique et tableau de bord de recouvrement.</w:t>
      </w:r>
    </w:p>
    <w:p>
      <w:pPr>
        <w:pStyle w:val="ListBullet"/>
      </w:pPr>
      <w:r>
        <w:t>Exploiter le Budget 2024 comme base de pilotage : isoler le budget réel, suivre la part d’investissement, relier chaque crédit important à un programme, un responsable, un indicateur et un calendrier.</w:t>
      </w:r>
    </w:p>
    <w:p>
      <w:pPr>
        <w:pStyle w:val="ListBullet"/>
      </w:pPr>
      <w:r>
        <w:t>Accélérer le programme de recensement des redevables à l’impôt foncier bâti avec la DGID, afin de rapprocher le produit recouvré du potentiel d’au moins 10 milliards FCFA signalé dans le rapport budgétaire.</w:t>
      </w:r>
    </w:p>
    <w:p>
      <w:pPr>
        <w:pStyle w:val="ListBullet"/>
      </w:pPr>
      <w:r>
        <w:t>Structurer une fiscalité événementielle autour des JOJ 2026, des événements culturels, sportifs, économiques et de l’occupation temporaire du domaine public.</w:t>
      </w:r>
    </w:p>
    <w:p>
      <w:pPr>
        <w:pStyle w:val="ListBullet"/>
      </w:pPr>
      <w:r>
        <w:t>Créer une fonction d’ingénierie financière territoriale chargée des PPP, fonds verts, financements mixtes et partenariats privés.</w:t>
      </w:r>
    </w:p>
    <w:p>
      <w:pPr>
        <w:pStyle w:val="ListBullet"/>
      </w:pPr>
      <w:r>
        <w:t>Institutionnaliser la cellule horizontale de planification comme espace de suivi des projets, d’arbitrage de maturité, de remontée d’information et de reporting vers les décideurs.</w:t>
      </w:r>
    </w:p>
    <w:p>
      <w:pPr>
        <w:pStyle w:val="ListBullet"/>
      </w:pPr>
      <w:r>
        <w:t>Adosser la mise en œuvre du PCET à un dispositif MRV, une unité de données climatiques, une stratégie de finance verte et un portefeuille de projets bancables.</w:t>
      </w:r>
    </w:p>
    <w:p>
      <w:pPr>
        <w:pStyle w:val="ListBullet"/>
      </w:pPr>
      <w:r>
        <w:t>Lancer un programme numérique municipal distinct : e-services, interopérabilité, SIG, e-taxe, archivage, cybersécurité et tableaux de bord.</w:t>
      </w:r>
    </w:p>
    <w:p>
      <w:pPr>
        <w:pStyle w:val="ListBullet"/>
      </w:pPr>
      <w:r>
        <w:t>Lancer un programme transition écologique-PCET distinct : portefeuille vert, MRV, finance climat, adaptation, littoral, déchets, énergie et mobilité décarbonée.</w:t>
      </w:r>
    </w:p>
    <w:p>
      <w:pPr>
        <w:pStyle w:val="ListBullet"/>
      </w:pPr>
      <w:r>
        <w:t>Finaliser l’audit RH, établir une GPEC municipale et aligner le plan de formation sur les priorités de transformation.</w:t>
      </w:r>
    </w:p>
    <w:p>
      <w:pPr>
        <w:pStyle w:val="ListBullet"/>
      </w:pPr>
      <w:r>
        <w:t>Développer une stratégie de marque territoriale et un observatoire de l’attractivité.</w:t>
      </w:r>
    </w:p>
    <w:p>
      <w:pPr>
        <w:pStyle w:val="ListBullet"/>
      </w:pPr>
      <w:r>
        <w:t>Intégrer l’histoire de Dakar dans la stratégie d’attractivité : récit institutionnel, circuits mémoriels, patrimoine urbain, signalétique, événements et tourisme culturel.</w:t>
      </w:r>
    </w:p>
    <w:p>
      <w:pPr>
        <w:pStyle w:val="ListBullet"/>
      </w:pPr>
      <w:r>
        <w:t>Constituer un portefeuille de projets de transition écologique finançables : eaux pluviales, littoral, espaces verts, énergie, déchets et mobilité décarbonée.</w:t>
      </w:r>
    </w:p>
    <w:p>
      <w:pPr>
        <w:pStyle w:val="Heading2"/>
      </w:pPr>
      <w:r>
        <w:t>Pour les communes de Dakar</w:t>
      </w:r>
    </w:p>
    <w:p>
      <w:pPr>
        <w:pStyle w:val="ListBullet"/>
      </w:pPr>
      <w:r>
        <w:t>Participer à une conférence permanente Ville-communes sur les compétences, projets, ressources et services urbains partagés.</w:t>
      </w:r>
    </w:p>
    <w:p>
      <w:pPr>
        <w:pStyle w:val="ListBullet"/>
      </w:pPr>
      <w:r>
        <w:t>Contribuer à la construction d’un cadastre fiscal et territorial métropolitain.</w:t>
      </w:r>
    </w:p>
    <w:p>
      <w:pPr>
        <w:pStyle w:val="ListBullet"/>
      </w:pPr>
      <w:r>
        <w:t>Partager les données d’adressage, d’activités, d’occupation du domaine public, de marchés et d’événements de proximité.</w:t>
      </w:r>
    </w:p>
    <w:p>
      <w:pPr>
        <w:pStyle w:val="ListBullet"/>
      </w:pPr>
      <w:r>
        <w:t>Mettre en cohérence les projets de proximité avec les programmes structurants de la Ville.</w:t>
      </w:r>
    </w:p>
    <w:p>
      <w:pPr>
        <w:pStyle w:val="ListBullet"/>
      </w:pPr>
      <w:r>
        <w:t>Organiser des mécanismes de solidarité financière et de mutualisation pour les services à échelle métropolitaine.</w:t>
      </w:r>
    </w:p>
    <w:p>
      <w:pPr>
        <w:pStyle w:val="ListBullet"/>
      </w:pPr>
      <w:r>
        <w:t>Appliquer les standards numériques et GAR retenus dans l’Acte IV afin d’éviter une fragmentation des systèmes locaux.</w:t>
      </w:r>
    </w:p>
    <w:p>
      <w:pPr>
        <w:pStyle w:val="Heading2"/>
      </w:pPr>
      <w:r>
        <w:t>Pour l’APEC</w:t>
      </w:r>
    </w:p>
    <w:p>
      <w:pPr>
        <w:pStyle w:val="ListBullet"/>
      </w:pPr>
      <w:r>
        <w:t>Assurer la capitalisation des journées scientifiques et la diffusion du rapport auprès des décideurs.</w:t>
      </w:r>
    </w:p>
    <w:p>
      <w:pPr>
        <w:pStyle w:val="ListBullet"/>
      </w:pPr>
      <w:r>
        <w:t>Mettre en place un cadre permanent de réflexion entre cadres municipaux, universitaires, experts et praticiens.</w:t>
      </w:r>
    </w:p>
    <w:p>
      <w:pPr>
        <w:pStyle w:val="ListBullet"/>
      </w:pPr>
      <w:r>
        <w:t>Suivre la mise en œuvre des recommandations à travers une matrice annuelle.</w:t>
      </w:r>
    </w:p>
    <w:p>
      <w:pPr>
        <w:pStyle w:val="ListBullet"/>
      </w:pPr>
      <w:r>
        <w:t>Contribuer au plaidoyer pour la GAR, le statut de Dakar, la formation continue et la valorisation du capital humain.</w:t>
      </w:r>
    </w:p>
    <w:p>
      <w:pPr>
        <w:pStyle w:val="ListBullet"/>
      </w:pPr>
      <w:r>
        <w:t>Animer une veille sur les données, l’e-taxe, la fiscalité événementielle, le portefeuille de projets et la transition écologique.</w:t>
      </w:r>
    </w:p>
    <w:p>
      <w:pPr>
        <w:pStyle w:val="Heading2"/>
      </w:pPr>
      <w:r>
        <w:t>Pour les partenaires techniques, financiers et privés</w:t>
      </w:r>
    </w:p>
    <w:p>
      <w:pPr>
        <w:pStyle w:val="ListBullet"/>
      </w:pPr>
      <w:r>
        <w:t>Appuyer l’assistance à maîtrise d’ouvrage et la préparation des projets bancables.</w:t>
      </w:r>
    </w:p>
    <w:p>
      <w:pPr>
        <w:pStyle w:val="ListBullet"/>
      </w:pPr>
      <w:r>
        <w:t>Financer les études techniques, climatiques, économiques et sociales nécessaires aux projets structurants.</w:t>
      </w:r>
    </w:p>
    <w:p>
      <w:pPr>
        <w:pStyle w:val="ListBullet"/>
      </w:pPr>
      <w:r>
        <w:t>Appuyer le programme GAR-données : référentiel municipal, data room, interopérabilité, qualité des données et portefeuille de projets classés par maturité.</w:t>
      </w:r>
    </w:p>
    <w:p>
      <w:pPr>
        <w:pStyle w:val="ListBullet"/>
      </w:pPr>
      <w:r>
        <w:t>Participer à des plateformes de dialogue public-privé encadrées, transparentes et orientées résultats.</w:t>
      </w:r>
    </w:p>
    <w:p>
      <w:pPr>
        <w:pStyle w:val="ListBullet"/>
      </w:pPr>
      <w:r>
        <w:t>Accompagner la formation des agents municipaux sur les métiers émergents de la transformation urbaine.</w:t>
      </w:r>
    </w:p>
    <w:p>
      <w:pPr>
        <w:pStyle w:val="ListBullet"/>
      </w:pPr>
      <w:r>
        <w:t>Financer les projets de transition écologique et les outils numériques de performance, notamment e-taxe, SIG et tableaux de bord GAR.</w:t>
      </w:r>
    </w:p>
    <w:p>
      <w:pPr>
        <w:pStyle w:val="ListBullet"/>
      </w:pPr>
      <w:r>
        <w:t>Appuyer séparément le programme numérique municipal et le programme transition écologique-PCET, afin que chaque chantier dispose d’objectifs, de financements et d’indicateurs propres.</w:t>
      </w:r>
    </w:p>
    <w:p>
      <w:pPr>
        <w:pStyle w:val="Heading2"/>
      </w:pPr>
      <w:r>
        <w:t>Matrice synthétique des priorités</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600"/>
        <w:gridCol w:w="4450"/>
        <w:gridCol w:w="3310"/>
      </w:tblGrid>
      <w:tr>
        <w:trPr>
          <w:tblHeader w:val="true"/>
        </w:trPr>
        <w:tc>
          <w:tcPr>
            <w:tcW w:type="dxa" w:w="16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Priorité</w:t>
            </w:r>
          </w:p>
        </w:tc>
        <w:tc>
          <w:tcPr>
            <w:tcW w:type="dxa" w:w="445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Action</w:t>
            </w:r>
          </w:p>
        </w:tc>
        <w:tc>
          <w:tcPr>
            <w:tcW w:type="dxa" w:w="331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Effet attendu</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Statut</w:t>
            </w:r>
          </w:p>
        </w:tc>
        <w:tc>
          <w:tcPr>
            <w:tcW w:type="dxa" w:w="4450"/>
            <w:tcMar>
              <w:top w:w="80" w:type="dxa"/>
              <w:start w:w="120" w:type="dxa"/>
              <w:bottom w:w="80" w:type="dxa"/>
              <w:end w:w="120" w:type="dxa"/>
            </w:tcMar>
            <w:vAlign w:val="center"/>
          </w:tcPr>
          <w:p>
            <w:pPr>
              <w:spacing w:after="40" w:line="240" w:lineRule="auto" w:before="0"/>
            </w:pPr>
            <w:r>
              <w:rPr>
                <w:rFonts w:ascii="Calibri" w:hAnsi="Calibri"/>
                <w:color w:val="232323"/>
                <w:sz w:val="20"/>
              </w:rPr>
              <w:t>Plaidoyer pour un cadre spécial ou clarifié de Dakar</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Leadership métropolitain et compétences lisibles</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GAR</w:t>
            </w:r>
          </w:p>
        </w:tc>
        <w:tc>
          <w:tcPr>
            <w:tcW w:type="dxa" w:w="4450"/>
            <w:tcMar>
              <w:top w:w="80" w:type="dxa"/>
              <w:start w:w="120" w:type="dxa"/>
              <w:bottom w:w="80" w:type="dxa"/>
              <w:end w:w="120" w:type="dxa"/>
            </w:tcMar>
            <w:vAlign w:val="center"/>
          </w:tcPr>
          <w:p>
            <w:pPr>
              <w:spacing w:after="40" w:line="240" w:lineRule="auto" w:before="0"/>
            </w:pPr>
            <w:r>
              <w:rPr>
                <w:rFonts w:ascii="Calibri" w:hAnsi="Calibri"/>
                <w:color w:val="232323"/>
                <w:sz w:val="20"/>
              </w:rPr>
              <w:t>Cellule interdirectionnelle et budget-programme</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Pilotage par résultats et redevabilité</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Données</w:t>
            </w:r>
          </w:p>
        </w:tc>
        <w:tc>
          <w:tcPr>
            <w:tcW w:type="dxa" w:w="4450"/>
            <w:tcMar>
              <w:top w:w="80" w:type="dxa"/>
              <w:start w:w="120" w:type="dxa"/>
              <w:bottom w:w="80" w:type="dxa"/>
              <w:end w:w="120" w:type="dxa"/>
            </w:tcMar>
            <w:vAlign w:val="center"/>
          </w:tcPr>
          <w:p>
            <w:pPr>
              <w:spacing w:after="40" w:line="240" w:lineRule="auto" w:before="0"/>
            </w:pPr>
            <w:r>
              <w:rPr>
                <w:rFonts w:ascii="Calibri" w:hAnsi="Calibri"/>
                <w:color w:val="232323"/>
                <w:sz w:val="20"/>
              </w:rPr>
              <w:t>Programme GAR-données, référentiel municipal, data room, SIG, bases fiscales, RH, climat et projets</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Décisions mieux documentées et accès facilité aux financements</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Ressources</w:t>
            </w:r>
          </w:p>
        </w:tc>
        <w:tc>
          <w:tcPr>
            <w:tcW w:type="dxa" w:w="4450"/>
            <w:tcMar>
              <w:top w:w="80" w:type="dxa"/>
              <w:start w:w="120" w:type="dxa"/>
              <w:bottom w:w="80" w:type="dxa"/>
              <w:end w:w="120" w:type="dxa"/>
            </w:tcMar>
            <w:vAlign w:val="center"/>
          </w:tcPr>
          <w:p>
            <w:pPr>
              <w:spacing w:after="40" w:line="240" w:lineRule="auto" w:before="0"/>
            </w:pPr>
            <w:r>
              <w:rPr>
                <w:rFonts w:ascii="Calibri" w:hAnsi="Calibri"/>
                <w:color w:val="232323"/>
                <w:sz w:val="20"/>
              </w:rPr>
              <w:t>Cadastre fiscal, e-taxe, digitalisation, SRMT locale, fiscalité événementielle</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Hausse de l’assiette, recouvrement sécurisé et autonomie financière</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Réformes fiscales territoriales</w:t>
            </w:r>
          </w:p>
        </w:tc>
        <w:tc>
          <w:tcPr>
            <w:tcW w:type="dxa" w:w="4450"/>
            <w:tcMar>
              <w:top w:w="80" w:type="dxa"/>
              <w:start w:w="120" w:type="dxa"/>
              <w:bottom w:w="80" w:type="dxa"/>
              <w:end w:w="120" w:type="dxa"/>
            </w:tcMar>
            <w:vAlign w:val="center"/>
          </w:tcPr>
          <w:p>
            <w:pPr>
              <w:spacing w:after="40" w:line="240" w:lineRule="auto" w:before="0"/>
            </w:pPr>
            <w:r>
              <w:rPr>
                <w:rFonts w:ascii="Calibri" w:hAnsi="Calibri"/>
                <w:color w:val="232323"/>
                <w:sz w:val="20"/>
              </w:rPr>
              <w:t>Cadastre fiscal numérique, protocole DGID-Ville, foncier, fiscalité urbaine moderne et fiscalité verte</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Assiette élargie, équité fiscale et recettes propres plus prévisibles</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PPP</w:t>
            </w:r>
          </w:p>
        </w:tc>
        <w:tc>
          <w:tcPr>
            <w:tcW w:type="dxa" w:w="4450"/>
            <w:tcMar>
              <w:top w:w="80" w:type="dxa"/>
              <w:start w:w="120" w:type="dxa"/>
              <w:bottom w:w="80" w:type="dxa"/>
              <w:end w:w="120" w:type="dxa"/>
            </w:tcMar>
            <w:vAlign w:val="center"/>
          </w:tcPr>
          <w:p>
            <w:pPr>
              <w:spacing w:after="40" w:line="240" w:lineRule="auto" w:before="0"/>
            </w:pPr>
            <w:r>
              <w:rPr>
                <w:rFonts w:ascii="Calibri" w:hAnsi="Calibri"/>
                <w:color w:val="232323"/>
                <w:sz w:val="20"/>
              </w:rPr>
              <w:t>Portefeuille de projets bancables, maturité des projets et dialogue public-privé</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Investissements structurants hors budget direct</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Numérique</w:t>
            </w:r>
          </w:p>
        </w:tc>
        <w:tc>
          <w:tcPr>
            <w:tcW w:type="dxa" w:w="4450"/>
            <w:tcMar>
              <w:top w:w="80" w:type="dxa"/>
              <w:start w:w="120" w:type="dxa"/>
              <w:bottom w:w="80" w:type="dxa"/>
              <w:end w:w="120" w:type="dxa"/>
            </w:tcMar>
            <w:vAlign w:val="center"/>
          </w:tcPr>
          <w:p>
            <w:pPr>
              <w:spacing w:after="40" w:line="240" w:lineRule="auto" w:before="0"/>
            </w:pPr>
            <w:r>
              <w:rPr>
                <w:rFonts w:ascii="Calibri" w:hAnsi="Calibri"/>
                <w:color w:val="232323"/>
                <w:sz w:val="20"/>
              </w:rPr>
              <w:t>Normes Acte IV, interopérabilité, services en ligne, tableaux de bord</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Administration plus transparente, plus rapide et plus mesurable</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Transition écologique-PCET</w:t>
            </w:r>
          </w:p>
        </w:tc>
        <w:tc>
          <w:tcPr>
            <w:tcW w:type="dxa" w:w="4450"/>
            <w:tcMar>
              <w:top w:w="80" w:type="dxa"/>
              <w:start w:w="120" w:type="dxa"/>
              <w:bottom w:w="80" w:type="dxa"/>
              <w:end w:w="120" w:type="dxa"/>
            </w:tcMar>
            <w:vAlign w:val="center"/>
          </w:tcPr>
          <w:p>
            <w:pPr>
              <w:spacing w:after="40" w:line="240" w:lineRule="auto" w:before="0"/>
            </w:pPr>
            <w:r>
              <w:rPr>
                <w:rFonts w:ascii="Calibri" w:hAnsi="Calibri"/>
                <w:color w:val="232323"/>
                <w:sz w:val="20"/>
              </w:rPr>
              <w:t>Projets adaptation, eaux pluviales, littoral, reverdissement, énergie, déchets et MRV</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Accès aux fonds climat et résilience écologique</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RH</w:t>
            </w:r>
          </w:p>
        </w:tc>
        <w:tc>
          <w:tcPr>
            <w:tcW w:type="dxa" w:w="4450"/>
            <w:tcMar>
              <w:top w:w="80" w:type="dxa"/>
              <w:start w:w="120" w:type="dxa"/>
              <w:bottom w:w="80" w:type="dxa"/>
              <w:end w:w="120" w:type="dxa"/>
            </w:tcMar>
            <w:vAlign w:val="center"/>
          </w:tcPr>
          <w:p>
            <w:pPr>
              <w:spacing w:after="40" w:line="240" w:lineRule="auto" w:before="0"/>
            </w:pPr>
            <w:r>
              <w:rPr>
                <w:rFonts w:ascii="Calibri" w:hAnsi="Calibri"/>
                <w:color w:val="232323"/>
                <w:sz w:val="20"/>
              </w:rPr>
              <w:t>Audit, GPEC, formation continue, mobilité</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Agents motivés et compétences alignées</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Attractivité</w:t>
            </w:r>
          </w:p>
        </w:tc>
        <w:tc>
          <w:tcPr>
            <w:tcW w:type="dxa" w:w="4450"/>
            <w:tcMar>
              <w:top w:w="80" w:type="dxa"/>
              <w:start w:w="120" w:type="dxa"/>
              <w:bottom w:w="80" w:type="dxa"/>
              <w:end w:w="120" w:type="dxa"/>
            </w:tcMar>
            <w:vAlign w:val="center"/>
          </w:tcPr>
          <w:p>
            <w:pPr>
              <w:spacing w:after="40" w:line="240" w:lineRule="auto" w:before="0"/>
            </w:pPr>
            <w:r>
              <w:rPr>
                <w:rFonts w:ascii="Calibri" w:hAnsi="Calibri"/>
                <w:color w:val="232323"/>
                <w:sz w:val="20"/>
              </w:rPr>
              <w:t>Dakar Brand, histoire de Dakar, observatoire territorial et circuits mémoriels</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Rayonnement, événements, investissements, tourisme culturel</w:t>
            </w:r>
          </w:p>
        </w:tc>
      </w:tr>
    </w:tbl>
    <w:p>
      <w:pPr>
        <w:pStyle w:val="Heading1"/>
      </w:pPr>
      <w:r>
        <w:t>Priorisation et opérationnalisation renforcée</w:t>
      </w:r>
    </w:p>
    <w:p>
      <w:r>
        <w:t>Cette section répond à l’exigence de rendre les recommandations plus directement actionnables. Elle distingue les niveaux d’acteurs, hiérarchise les priorités et précise, pour les mesures les plus structurantes, un responsable, un horizon, un coût indicatif de démarrage, un indicateur SMART, un risque et un moyen de vérification. Les montants indiqués sont des ordres de grandeur de préparation et de pilotage ; ils n’incluent pas les investissements lourds, qui devront faire l’objet d’études de faisabilité.</w:t>
      </w:r>
    </w:p>
    <w:p>
      <w:pPr>
        <w:pStyle w:val="Heading2"/>
      </w:pPr>
      <w:r>
        <w:t>Recommandations par niveau territorial</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600"/>
        <w:gridCol w:w="2800"/>
        <w:gridCol w:w="3000"/>
        <w:gridCol w:w="1000"/>
        <w:gridCol w:w="960"/>
      </w:tblGrid>
      <w:tr>
        <w:trPr>
          <w:tblHeader w:val="true"/>
        </w:trPr>
        <w:tc>
          <w:tcPr>
            <w:tcW w:type="dxa" w:w="16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Niveau</w:t>
            </w:r>
          </w:p>
        </w:tc>
        <w:tc>
          <w:tcPr>
            <w:tcW w:type="dxa" w:w="28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Priorités</w:t>
            </w:r>
          </w:p>
        </w:tc>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Décisions à prendre</w:t>
            </w:r>
          </w:p>
        </w:tc>
        <w:tc>
          <w:tcPr>
            <w:tcW w:type="dxa" w:w="1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Horizon</w:t>
            </w:r>
          </w:p>
        </w:tc>
        <w:tc>
          <w:tcPr>
            <w:tcW w:type="dxa" w:w="9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Indicateur de résultat</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État / Acte IV</w:t>
            </w:r>
          </w:p>
        </w:tc>
        <w:tc>
          <w:tcPr>
            <w:tcW w:type="dxa" w:w="2800"/>
            <w:tcMar>
              <w:top w:w="80" w:type="dxa"/>
              <w:start w:w="120" w:type="dxa"/>
              <w:bottom w:w="80" w:type="dxa"/>
              <w:end w:w="120" w:type="dxa"/>
            </w:tcMar>
            <w:vAlign w:val="center"/>
          </w:tcPr>
          <w:p>
            <w:pPr>
              <w:spacing w:after="40" w:line="240" w:lineRule="auto" w:before="0"/>
            </w:pPr>
            <w:r>
              <w:rPr>
                <w:rFonts w:ascii="Calibri" w:hAnsi="Calibri"/>
                <w:color w:val="232323"/>
                <w:sz w:val="20"/>
              </w:rPr>
              <w:t>Statut de Dakar ; normes GAR ; numérique territorial ; partage de données ; fiscalité locale ; emprunt et PPP.</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Ouvrir un cadre de dialogue formel et intégrer dans l’Acte IV les dispositions relatives aux grandes villes, à la GAR et aux données.</w:t>
            </w:r>
          </w:p>
        </w:tc>
        <w:tc>
          <w:tcPr>
            <w:tcW w:type="dxa" w:w="1000"/>
            <w:tcMar>
              <w:top w:w="80" w:type="dxa"/>
              <w:start w:w="120" w:type="dxa"/>
              <w:bottom w:w="80" w:type="dxa"/>
              <w:end w:w="120" w:type="dxa"/>
            </w:tcMar>
            <w:vAlign w:val="center"/>
          </w:tcPr>
          <w:p>
            <w:pPr>
              <w:spacing w:after="40" w:line="240" w:lineRule="auto" w:before="0"/>
            </w:pPr>
            <w:r>
              <w:rPr>
                <w:rFonts w:ascii="Calibri" w:hAnsi="Calibri"/>
                <w:color w:val="232323"/>
                <w:sz w:val="20"/>
              </w:rPr>
              <w:t>0-18 mois</w:t>
            </w:r>
          </w:p>
        </w:tc>
        <w:tc>
          <w:tcPr>
            <w:tcW w:type="dxa" w:w="960"/>
            <w:tcMar>
              <w:top w:w="80" w:type="dxa"/>
              <w:start w:w="120" w:type="dxa"/>
              <w:bottom w:w="80" w:type="dxa"/>
              <w:end w:w="120" w:type="dxa"/>
            </w:tcMar>
            <w:vAlign w:val="center"/>
          </w:tcPr>
          <w:p>
            <w:pPr>
              <w:spacing w:after="40" w:line="240" w:lineRule="auto" w:before="0"/>
            </w:pPr>
            <w:r>
              <w:rPr>
                <w:rFonts w:ascii="Calibri" w:hAnsi="Calibri"/>
                <w:color w:val="232323"/>
                <w:sz w:val="20"/>
              </w:rPr>
              <w:t>Au moins une note officielle de propositions transmise ; dispositions ou protocoles discutés avec l’État.</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Ville de Dakar</w:t>
            </w:r>
          </w:p>
        </w:tc>
        <w:tc>
          <w:tcPr>
            <w:tcW w:type="dxa" w:w="2800"/>
            <w:tcMar>
              <w:top w:w="80" w:type="dxa"/>
              <w:start w:w="120" w:type="dxa"/>
              <w:bottom w:w="80" w:type="dxa"/>
              <w:end w:w="120" w:type="dxa"/>
            </w:tcMar>
            <w:vAlign w:val="center"/>
          </w:tcPr>
          <w:p>
            <w:pPr>
              <w:spacing w:after="40" w:line="240" w:lineRule="auto" w:before="0"/>
            </w:pPr>
            <w:r>
              <w:rPr>
                <w:rFonts w:ascii="Calibri" w:hAnsi="Calibri"/>
                <w:color w:val="232323"/>
                <w:sz w:val="20"/>
              </w:rPr>
              <w:t>Plan stratégique Dakar 2035-2050 ; cellule GAR-données-projets ; réformes fiscales territoriales ; programmes numérique et transition écologique-PCET ; portefeuille bancable ; Dakar Brand historique.</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Adopter un paquet municipal de transformation et désigner des responsables par programme.</w:t>
            </w:r>
          </w:p>
        </w:tc>
        <w:tc>
          <w:tcPr>
            <w:tcW w:type="dxa" w:w="1000"/>
            <w:tcMar>
              <w:top w:w="80" w:type="dxa"/>
              <w:start w:w="120" w:type="dxa"/>
              <w:bottom w:w="80" w:type="dxa"/>
              <w:end w:w="120" w:type="dxa"/>
            </w:tcMar>
            <w:vAlign w:val="center"/>
          </w:tcPr>
          <w:p>
            <w:pPr>
              <w:spacing w:after="40" w:line="240" w:lineRule="auto" w:before="0"/>
            </w:pPr>
            <w:r>
              <w:rPr>
                <w:rFonts w:ascii="Calibri" w:hAnsi="Calibri"/>
                <w:color w:val="232323"/>
                <w:sz w:val="20"/>
              </w:rPr>
              <w:t>0-6 mois</w:t>
            </w:r>
          </w:p>
        </w:tc>
        <w:tc>
          <w:tcPr>
            <w:tcW w:type="dxa" w:w="960"/>
            <w:tcMar>
              <w:top w:w="80" w:type="dxa"/>
              <w:start w:w="120" w:type="dxa"/>
              <w:bottom w:w="80" w:type="dxa"/>
              <w:end w:w="120" w:type="dxa"/>
            </w:tcMar>
            <w:vAlign w:val="center"/>
          </w:tcPr>
          <w:p>
            <w:pPr>
              <w:spacing w:after="40" w:line="240" w:lineRule="auto" w:before="0"/>
            </w:pPr>
            <w:r>
              <w:rPr>
                <w:rFonts w:ascii="Calibri" w:hAnsi="Calibri"/>
                <w:color w:val="232323"/>
                <w:sz w:val="20"/>
              </w:rPr>
              <w:t>Plan cadré ; cellule installée ; deux programmes distincts cadrés ; portefeuille de 10 projets ; tableau de bord initial.</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Grandes communes</w:t>
            </w:r>
          </w:p>
        </w:tc>
        <w:tc>
          <w:tcPr>
            <w:tcW w:type="dxa" w:w="2800"/>
            <w:tcMar>
              <w:top w:w="80" w:type="dxa"/>
              <w:start w:w="120" w:type="dxa"/>
              <w:bottom w:w="80" w:type="dxa"/>
              <w:end w:w="120" w:type="dxa"/>
            </w:tcMar>
            <w:vAlign w:val="center"/>
          </w:tcPr>
          <w:p>
            <w:pPr>
              <w:spacing w:after="40" w:line="240" w:lineRule="auto" w:before="0"/>
            </w:pPr>
            <w:r>
              <w:rPr>
                <w:rFonts w:ascii="Calibri" w:hAnsi="Calibri"/>
                <w:color w:val="232323"/>
                <w:sz w:val="20"/>
              </w:rPr>
              <w:t>Données d’assiette ; projets intercommunaux ; voirie, déchets, événements, occupations du domaine public.</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Désigner des points focaux et signer des conventions de coopération avec la Ville.</w:t>
            </w:r>
          </w:p>
        </w:tc>
        <w:tc>
          <w:tcPr>
            <w:tcW w:type="dxa" w:w="1000"/>
            <w:tcMar>
              <w:top w:w="80" w:type="dxa"/>
              <w:start w:w="120" w:type="dxa"/>
              <w:bottom w:w="80" w:type="dxa"/>
              <w:end w:w="120" w:type="dxa"/>
            </w:tcMar>
            <w:vAlign w:val="center"/>
          </w:tcPr>
          <w:p>
            <w:pPr>
              <w:spacing w:after="40" w:line="240" w:lineRule="auto" w:before="0"/>
            </w:pPr>
            <w:r>
              <w:rPr>
                <w:rFonts w:ascii="Calibri" w:hAnsi="Calibri"/>
                <w:color w:val="232323"/>
                <w:sz w:val="20"/>
              </w:rPr>
              <w:t>0-12 mois</w:t>
            </w:r>
          </w:p>
        </w:tc>
        <w:tc>
          <w:tcPr>
            <w:tcW w:type="dxa" w:w="960"/>
            <w:tcMar>
              <w:top w:w="80" w:type="dxa"/>
              <w:start w:w="120" w:type="dxa"/>
              <w:bottom w:w="80" w:type="dxa"/>
              <w:end w:w="120" w:type="dxa"/>
            </w:tcMar>
            <w:vAlign w:val="center"/>
          </w:tcPr>
          <w:p>
            <w:pPr>
              <w:spacing w:after="40" w:line="240" w:lineRule="auto" w:before="0"/>
            </w:pPr>
            <w:r>
              <w:rPr>
                <w:rFonts w:ascii="Calibri" w:hAnsi="Calibri"/>
                <w:color w:val="232323"/>
                <w:sz w:val="20"/>
              </w:rPr>
              <w:t>Nombre de conventions signées ; données transmises ; projets mutualisés inscrits au portefeuille.</w:t>
            </w:r>
          </w:p>
        </w:tc>
      </w:tr>
      <w:tr>
        <w:tc>
          <w:tcPr>
            <w:tcW w:type="dxa" w:w="1600"/>
            <w:tcMar>
              <w:top w:w="80" w:type="dxa"/>
              <w:start w:w="120" w:type="dxa"/>
              <w:bottom w:w="80" w:type="dxa"/>
              <w:end w:w="120" w:type="dxa"/>
            </w:tcMar>
            <w:vAlign w:val="center"/>
          </w:tcPr>
          <w:p>
            <w:pPr>
              <w:spacing w:after="40" w:line="240" w:lineRule="auto" w:before="0"/>
            </w:pPr>
            <w:r>
              <w:rPr>
                <w:rFonts w:ascii="Calibri" w:hAnsi="Calibri"/>
                <w:color w:val="232323"/>
                <w:sz w:val="20"/>
              </w:rPr>
              <w:t>Petites communes</w:t>
            </w:r>
          </w:p>
        </w:tc>
        <w:tc>
          <w:tcPr>
            <w:tcW w:type="dxa" w:w="2800"/>
            <w:tcMar>
              <w:top w:w="80" w:type="dxa"/>
              <w:start w:w="120" w:type="dxa"/>
              <w:bottom w:w="80" w:type="dxa"/>
              <w:end w:w="120" w:type="dxa"/>
            </w:tcMar>
            <w:vAlign w:val="center"/>
          </w:tcPr>
          <w:p>
            <w:pPr>
              <w:spacing w:after="40" w:line="240" w:lineRule="auto" w:before="0"/>
            </w:pPr>
            <w:r>
              <w:rPr>
                <w:rFonts w:ascii="Calibri" w:hAnsi="Calibri"/>
                <w:color w:val="232323"/>
                <w:sz w:val="20"/>
              </w:rPr>
              <w:t>Données de proximité ; participation citoyenne ; services de base ; relais fiscal et événementiel.</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Mettre en place un format léger de reporting et participer aux cadres Ville-communes.</w:t>
            </w:r>
          </w:p>
        </w:tc>
        <w:tc>
          <w:tcPr>
            <w:tcW w:type="dxa" w:w="1000"/>
            <w:tcMar>
              <w:top w:w="80" w:type="dxa"/>
              <w:start w:w="120" w:type="dxa"/>
              <w:bottom w:w="80" w:type="dxa"/>
              <w:end w:w="120" w:type="dxa"/>
            </w:tcMar>
            <w:vAlign w:val="center"/>
          </w:tcPr>
          <w:p>
            <w:pPr>
              <w:spacing w:after="40" w:line="240" w:lineRule="auto" w:before="0"/>
            </w:pPr>
            <w:r>
              <w:rPr>
                <w:rFonts w:ascii="Calibri" w:hAnsi="Calibri"/>
                <w:color w:val="232323"/>
                <w:sz w:val="20"/>
              </w:rPr>
              <w:t>0-12 mois</w:t>
            </w:r>
          </w:p>
        </w:tc>
        <w:tc>
          <w:tcPr>
            <w:tcW w:type="dxa" w:w="960"/>
            <w:tcMar>
              <w:top w:w="80" w:type="dxa"/>
              <w:start w:w="120" w:type="dxa"/>
              <w:bottom w:w="80" w:type="dxa"/>
              <w:end w:w="120" w:type="dxa"/>
            </w:tcMar>
            <w:vAlign w:val="center"/>
          </w:tcPr>
          <w:p>
            <w:pPr>
              <w:spacing w:after="40" w:line="240" w:lineRule="auto" w:before="0"/>
            </w:pPr>
            <w:r>
              <w:rPr>
                <w:rFonts w:ascii="Calibri" w:hAnsi="Calibri"/>
                <w:color w:val="232323"/>
                <w:sz w:val="20"/>
              </w:rPr>
              <w:t>Tableaux de remontée transmis ; réunions tenues ; besoins de proximité intégrés aux programmes.</w:t>
            </w:r>
          </w:p>
        </w:tc>
      </w:tr>
    </w:tbl>
    <w:p>
      <w:pPr>
        <w:pStyle w:val="Heading2"/>
      </w:pPr>
      <w:r>
        <w:t>Matrice de priorisation impact – faisabilité – urgence</w:t>
      </w:r>
    </w:p>
    <w:p>
      <w:r>
        <w:t>La notation ci-dessous utilise une échelle simple de 1 à 3 : 1 faible, 2 moyen, 3 élevé. Le score total permet de hiérarchiser les premières décisions sans remplacer l’analyse politique et financière détaillée.</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3350"/>
        <w:gridCol w:w="900"/>
        <w:gridCol w:w="1100"/>
        <w:gridCol w:w="900"/>
        <w:gridCol w:w="800"/>
        <w:gridCol w:w="2310"/>
      </w:tblGrid>
      <w:tr>
        <w:trPr>
          <w:tblHeader w:val="true"/>
        </w:trPr>
        <w:tc>
          <w:tcPr>
            <w:tcW w:type="dxa" w:w="33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Action prioritaire</w:t>
            </w:r>
          </w:p>
        </w:tc>
        <w:tc>
          <w:tcPr>
            <w:tcW w:type="dxa" w:w="90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Impact</w:t>
            </w:r>
          </w:p>
        </w:tc>
        <w:tc>
          <w:tcPr>
            <w:tcW w:type="dxa" w:w="110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Faisabilité</w:t>
            </w:r>
          </w:p>
        </w:tc>
        <w:tc>
          <w:tcPr>
            <w:tcW w:type="dxa" w:w="90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Urgence</w:t>
            </w:r>
          </w:p>
        </w:tc>
        <w:tc>
          <w:tcPr>
            <w:tcW w:type="dxa" w:w="80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Score</w:t>
            </w:r>
          </w:p>
        </w:tc>
        <w:tc>
          <w:tcPr>
            <w:tcW w:type="dxa" w:w="231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Rang</w:t>
            </w:r>
          </w:p>
        </w:tc>
      </w:tr>
      <w:tr>
        <w:tc>
          <w:tcPr>
            <w:tcW w:type="dxa" w:w="3350"/>
            <w:tcMar>
              <w:top w:w="120" w:type="dxa"/>
              <w:start w:w="120" w:type="dxa"/>
              <w:bottom w:w="120" w:type="dxa"/>
              <w:end w:w="120" w:type="dxa"/>
            </w:tcMar>
            <w:vAlign w:val="center"/>
          </w:tcPr>
          <w:p>
            <w:pPr>
              <w:spacing w:after="40" w:line="240" w:lineRule="auto" w:before="0"/>
            </w:pPr>
            <w:r>
              <w:rPr>
                <w:rFonts w:ascii="Calibri" w:hAnsi="Calibri"/>
                <w:color w:val="232323"/>
                <w:sz w:val="20"/>
              </w:rPr>
              <w:t>Cadrer le Plan stratégique Dakar 2035-2050</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11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800"/>
            <w:tcMar>
              <w:top w:w="120" w:type="dxa"/>
              <w:start w:w="120" w:type="dxa"/>
              <w:bottom w:w="120" w:type="dxa"/>
              <w:end w:w="120" w:type="dxa"/>
            </w:tcMar>
            <w:vAlign w:val="center"/>
          </w:tcPr>
          <w:p>
            <w:pPr>
              <w:spacing w:after="40" w:line="240" w:lineRule="auto" w:before="0"/>
            </w:pPr>
            <w:r>
              <w:rPr>
                <w:rFonts w:ascii="Calibri" w:hAnsi="Calibri"/>
                <w:color w:val="232323"/>
                <w:sz w:val="20"/>
              </w:rPr>
              <w:t>9</w:t>
            </w:r>
          </w:p>
        </w:tc>
        <w:tc>
          <w:tcPr>
            <w:tcW w:type="dxa" w:w="2310"/>
            <w:tcMar>
              <w:top w:w="120" w:type="dxa"/>
              <w:start w:w="120" w:type="dxa"/>
              <w:bottom w:w="120" w:type="dxa"/>
              <w:end w:w="120" w:type="dxa"/>
            </w:tcMar>
            <w:vAlign w:val="center"/>
          </w:tcPr>
          <w:p>
            <w:pPr>
              <w:spacing w:after="40" w:line="240" w:lineRule="auto" w:before="0"/>
            </w:pPr>
            <w:r>
              <w:rPr>
                <w:rFonts w:ascii="Calibri" w:hAnsi="Calibri"/>
                <w:color w:val="232323"/>
                <w:sz w:val="20"/>
              </w:rPr>
              <w:t>1</w:t>
            </w:r>
          </w:p>
        </w:tc>
      </w:tr>
      <w:tr>
        <w:tc>
          <w:tcPr>
            <w:tcW w:type="dxa" w:w="3350"/>
            <w:tcMar>
              <w:top w:w="120" w:type="dxa"/>
              <w:start w:w="120" w:type="dxa"/>
              <w:bottom w:w="120" w:type="dxa"/>
              <w:end w:w="120" w:type="dxa"/>
            </w:tcMar>
            <w:vAlign w:val="center"/>
          </w:tcPr>
          <w:p>
            <w:pPr>
              <w:spacing w:after="40" w:line="240" w:lineRule="auto" w:before="0"/>
            </w:pPr>
            <w:r>
              <w:rPr>
                <w:rFonts w:ascii="Calibri" w:hAnsi="Calibri"/>
                <w:color w:val="232323"/>
                <w:sz w:val="20"/>
              </w:rPr>
              <w:t>Créer la cellule GAR-données-projets</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11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800"/>
            <w:tcMar>
              <w:top w:w="120" w:type="dxa"/>
              <w:start w:w="120" w:type="dxa"/>
              <w:bottom w:w="120" w:type="dxa"/>
              <w:end w:w="120" w:type="dxa"/>
            </w:tcMar>
            <w:vAlign w:val="center"/>
          </w:tcPr>
          <w:p>
            <w:pPr>
              <w:spacing w:after="40" w:line="240" w:lineRule="auto" w:before="0"/>
            </w:pPr>
            <w:r>
              <w:rPr>
                <w:rFonts w:ascii="Calibri" w:hAnsi="Calibri"/>
                <w:color w:val="232323"/>
                <w:sz w:val="20"/>
              </w:rPr>
              <w:t>9</w:t>
            </w:r>
          </w:p>
        </w:tc>
        <w:tc>
          <w:tcPr>
            <w:tcW w:type="dxa" w:w="2310"/>
            <w:tcMar>
              <w:top w:w="120" w:type="dxa"/>
              <w:start w:w="120" w:type="dxa"/>
              <w:bottom w:w="120" w:type="dxa"/>
              <w:end w:w="120" w:type="dxa"/>
            </w:tcMar>
            <w:vAlign w:val="center"/>
          </w:tcPr>
          <w:p>
            <w:pPr>
              <w:spacing w:after="40" w:line="240" w:lineRule="auto" w:before="0"/>
            </w:pPr>
            <w:r>
              <w:rPr>
                <w:rFonts w:ascii="Calibri" w:hAnsi="Calibri"/>
                <w:color w:val="232323"/>
                <w:sz w:val="20"/>
              </w:rPr>
              <w:t>1</w:t>
            </w:r>
          </w:p>
        </w:tc>
      </w:tr>
      <w:tr>
        <w:tc>
          <w:tcPr>
            <w:tcW w:type="dxa" w:w="3350"/>
            <w:tcMar>
              <w:top w:w="120" w:type="dxa"/>
              <w:start w:w="120" w:type="dxa"/>
              <w:bottom w:w="120" w:type="dxa"/>
              <w:end w:w="120" w:type="dxa"/>
            </w:tcMar>
            <w:vAlign w:val="center"/>
          </w:tcPr>
          <w:p>
            <w:pPr>
              <w:spacing w:after="40" w:line="240" w:lineRule="auto" w:before="0"/>
            </w:pPr>
            <w:r>
              <w:rPr>
                <w:rFonts w:ascii="Calibri" w:hAnsi="Calibri"/>
                <w:color w:val="232323"/>
                <w:sz w:val="20"/>
              </w:rPr>
              <w:t>Adopter le paquet de réformes fiscales territoriales avec la DGID</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11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800"/>
            <w:tcMar>
              <w:top w:w="120" w:type="dxa"/>
              <w:start w:w="120" w:type="dxa"/>
              <w:bottom w:w="120" w:type="dxa"/>
              <w:end w:w="120" w:type="dxa"/>
            </w:tcMar>
            <w:vAlign w:val="center"/>
          </w:tcPr>
          <w:p>
            <w:pPr>
              <w:spacing w:after="40" w:line="240" w:lineRule="auto" w:before="0"/>
            </w:pPr>
            <w:r>
              <w:rPr>
                <w:rFonts w:ascii="Calibri" w:hAnsi="Calibri"/>
                <w:color w:val="232323"/>
                <w:sz w:val="20"/>
              </w:rPr>
              <w:t>8</w:t>
            </w:r>
          </w:p>
        </w:tc>
        <w:tc>
          <w:tcPr>
            <w:tcW w:type="dxa" w:w="231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r>
      <w:tr>
        <w:tc>
          <w:tcPr>
            <w:tcW w:type="dxa" w:w="3350"/>
            <w:tcMar>
              <w:top w:w="120" w:type="dxa"/>
              <w:start w:w="120" w:type="dxa"/>
              <w:bottom w:w="120" w:type="dxa"/>
              <w:end w:w="120" w:type="dxa"/>
            </w:tcMar>
            <w:vAlign w:val="center"/>
          </w:tcPr>
          <w:p>
            <w:pPr>
              <w:spacing w:after="40" w:line="240" w:lineRule="auto" w:before="0"/>
            </w:pPr>
            <w:r>
              <w:rPr>
                <w:rFonts w:ascii="Calibri" w:hAnsi="Calibri"/>
                <w:color w:val="232323"/>
                <w:sz w:val="20"/>
              </w:rPr>
              <w:t>Lancer le programme numérique municipal</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11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800"/>
            <w:tcMar>
              <w:top w:w="120" w:type="dxa"/>
              <w:start w:w="120" w:type="dxa"/>
              <w:bottom w:w="120" w:type="dxa"/>
              <w:end w:w="120" w:type="dxa"/>
            </w:tcMar>
            <w:vAlign w:val="center"/>
          </w:tcPr>
          <w:p>
            <w:pPr>
              <w:spacing w:after="40" w:line="240" w:lineRule="auto" w:before="0"/>
            </w:pPr>
            <w:r>
              <w:rPr>
                <w:rFonts w:ascii="Calibri" w:hAnsi="Calibri"/>
                <w:color w:val="232323"/>
                <w:sz w:val="20"/>
              </w:rPr>
              <w:t>8</w:t>
            </w:r>
          </w:p>
        </w:tc>
        <w:tc>
          <w:tcPr>
            <w:tcW w:type="dxa" w:w="231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r>
      <w:tr>
        <w:tc>
          <w:tcPr>
            <w:tcW w:type="dxa" w:w="3350"/>
            <w:tcMar>
              <w:top w:w="120" w:type="dxa"/>
              <w:start w:w="120" w:type="dxa"/>
              <w:bottom w:w="120" w:type="dxa"/>
              <w:end w:w="120" w:type="dxa"/>
            </w:tcMar>
            <w:vAlign w:val="center"/>
          </w:tcPr>
          <w:p>
            <w:pPr>
              <w:spacing w:after="40" w:line="240" w:lineRule="auto" w:before="0"/>
            </w:pPr>
            <w:r>
              <w:rPr>
                <w:rFonts w:ascii="Calibri" w:hAnsi="Calibri"/>
                <w:color w:val="232323"/>
                <w:sz w:val="20"/>
              </w:rPr>
              <w:t>Lancer le programme transition écologique-PCET</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11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800"/>
            <w:tcMar>
              <w:top w:w="120" w:type="dxa"/>
              <w:start w:w="120" w:type="dxa"/>
              <w:bottom w:w="120" w:type="dxa"/>
              <w:end w:w="120" w:type="dxa"/>
            </w:tcMar>
            <w:vAlign w:val="center"/>
          </w:tcPr>
          <w:p>
            <w:pPr>
              <w:spacing w:after="40" w:line="240" w:lineRule="auto" w:before="0"/>
            </w:pPr>
            <w:r>
              <w:rPr>
                <w:rFonts w:ascii="Calibri" w:hAnsi="Calibri"/>
                <w:color w:val="232323"/>
                <w:sz w:val="20"/>
              </w:rPr>
              <w:t>8</w:t>
            </w:r>
          </w:p>
        </w:tc>
        <w:tc>
          <w:tcPr>
            <w:tcW w:type="dxa" w:w="231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r>
      <w:tr>
        <w:tc>
          <w:tcPr>
            <w:tcW w:type="dxa" w:w="3350"/>
            <w:tcMar>
              <w:top w:w="120" w:type="dxa"/>
              <w:start w:w="120" w:type="dxa"/>
              <w:bottom w:w="120" w:type="dxa"/>
              <w:end w:w="120" w:type="dxa"/>
            </w:tcMar>
            <w:vAlign w:val="center"/>
          </w:tcPr>
          <w:p>
            <w:pPr>
              <w:spacing w:after="40" w:line="240" w:lineRule="auto" w:before="0"/>
            </w:pPr>
            <w:r>
              <w:rPr>
                <w:rFonts w:ascii="Calibri" w:hAnsi="Calibri"/>
                <w:color w:val="232323"/>
                <w:sz w:val="20"/>
              </w:rPr>
              <w:t>Valider la note Acte IV/statut/compétences sur la base du Code des CL</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11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800"/>
            <w:tcMar>
              <w:top w:w="120" w:type="dxa"/>
              <w:start w:w="120" w:type="dxa"/>
              <w:bottom w:w="120" w:type="dxa"/>
              <w:end w:w="120" w:type="dxa"/>
            </w:tcMar>
            <w:vAlign w:val="center"/>
          </w:tcPr>
          <w:p>
            <w:pPr>
              <w:spacing w:after="40" w:line="240" w:lineRule="auto" w:before="0"/>
            </w:pPr>
            <w:r>
              <w:rPr>
                <w:rFonts w:ascii="Calibri" w:hAnsi="Calibri"/>
                <w:color w:val="232323"/>
                <w:sz w:val="20"/>
              </w:rPr>
              <w:t>8</w:t>
            </w:r>
          </w:p>
        </w:tc>
        <w:tc>
          <w:tcPr>
            <w:tcW w:type="dxa" w:w="231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r>
      <w:tr>
        <w:tc>
          <w:tcPr>
            <w:tcW w:type="dxa" w:w="3350"/>
            <w:tcMar>
              <w:top w:w="120" w:type="dxa"/>
              <w:start w:w="120" w:type="dxa"/>
              <w:bottom w:w="120" w:type="dxa"/>
              <w:end w:w="120" w:type="dxa"/>
            </w:tcMar>
            <w:vAlign w:val="center"/>
          </w:tcPr>
          <w:p>
            <w:pPr>
              <w:spacing w:after="40" w:line="240" w:lineRule="auto" w:before="0"/>
            </w:pPr>
            <w:r>
              <w:rPr>
                <w:rFonts w:ascii="Calibri" w:hAnsi="Calibri"/>
                <w:color w:val="232323"/>
                <w:sz w:val="20"/>
              </w:rPr>
              <w:t>Construire le portefeuille de 10 projets et 3 fiches bancables</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11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800"/>
            <w:tcMar>
              <w:top w:w="120" w:type="dxa"/>
              <w:start w:w="120" w:type="dxa"/>
              <w:bottom w:w="120" w:type="dxa"/>
              <w:end w:w="120" w:type="dxa"/>
            </w:tcMar>
            <w:vAlign w:val="center"/>
          </w:tcPr>
          <w:p>
            <w:pPr>
              <w:spacing w:after="40" w:line="240" w:lineRule="auto" w:before="0"/>
            </w:pPr>
            <w:r>
              <w:rPr>
                <w:rFonts w:ascii="Calibri" w:hAnsi="Calibri"/>
                <w:color w:val="232323"/>
                <w:sz w:val="20"/>
              </w:rPr>
              <w:t>7</w:t>
            </w:r>
          </w:p>
        </w:tc>
        <w:tc>
          <w:tcPr>
            <w:tcW w:type="dxa" w:w="231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r>
      <w:tr>
        <w:tc>
          <w:tcPr>
            <w:tcW w:type="dxa" w:w="3350"/>
            <w:tcMar>
              <w:top w:w="120" w:type="dxa"/>
              <w:start w:w="120" w:type="dxa"/>
              <w:bottom w:w="120" w:type="dxa"/>
              <w:end w:w="120" w:type="dxa"/>
            </w:tcMar>
            <w:vAlign w:val="center"/>
          </w:tcPr>
          <w:p>
            <w:pPr>
              <w:spacing w:after="40" w:line="240" w:lineRule="auto" w:before="0"/>
            </w:pPr>
            <w:r>
              <w:rPr>
                <w:rFonts w:ascii="Calibri" w:hAnsi="Calibri"/>
                <w:color w:val="232323"/>
                <w:sz w:val="20"/>
              </w:rPr>
              <w:t>Intégrer la data room au programme GAR-données</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11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800"/>
            <w:tcMar>
              <w:top w:w="120" w:type="dxa"/>
              <w:start w:w="120" w:type="dxa"/>
              <w:bottom w:w="120" w:type="dxa"/>
              <w:end w:w="120" w:type="dxa"/>
            </w:tcMar>
            <w:vAlign w:val="center"/>
          </w:tcPr>
          <w:p>
            <w:pPr>
              <w:spacing w:after="40" w:line="240" w:lineRule="auto" w:before="0"/>
            </w:pPr>
            <w:r>
              <w:rPr>
                <w:rFonts w:ascii="Calibri" w:hAnsi="Calibri"/>
                <w:color w:val="232323"/>
                <w:sz w:val="20"/>
              </w:rPr>
              <w:t>7</w:t>
            </w:r>
          </w:p>
        </w:tc>
        <w:tc>
          <w:tcPr>
            <w:tcW w:type="dxa" w:w="231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r>
      <w:tr>
        <w:tc>
          <w:tcPr>
            <w:tcW w:type="dxa" w:w="3350"/>
            <w:tcMar>
              <w:top w:w="120" w:type="dxa"/>
              <w:start w:w="120" w:type="dxa"/>
              <w:bottom w:w="120" w:type="dxa"/>
              <w:end w:w="120" w:type="dxa"/>
            </w:tcMar>
            <w:vAlign w:val="center"/>
          </w:tcPr>
          <w:p>
            <w:pPr>
              <w:spacing w:after="40" w:line="240" w:lineRule="auto" w:before="0"/>
            </w:pPr>
            <w:r>
              <w:rPr>
                <w:rFonts w:ascii="Calibri" w:hAnsi="Calibri"/>
                <w:color w:val="232323"/>
                <w:sz w:val="20"/>
              </w:rPr>
              <w:t>Produire le récit historique et les circuits d’attractivité de Dakar</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110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800"/>
            <w:tcMar>
              <w:top w:w="120" w:type="dxa"/>
              <w:start w:w="120" w:type="dxa"/>
              <w:bottom w:w="120" w:type="dxa"/>
              <w:end w:w="120" w:type="dxa"/>
            </w:tcMar>
            <w:vAlign w:val="center"/>
          </w:tcPr>
          <w:p>
            <w:pPr>
              <w:spacing w:after="40" w:line="240" w:lineRule="auto" w:before="0"/>
            </w:pPr>
            <w:r>
              <w:rPr>
                <w:rFonts w:ascii="Calibri" w:hAnsi="Calibri"/>
                <w:color w:val="232323"/>
                <w:sz w:val="20"/>
              </w:rPr>
              <w:t>7</w:t>
            </w:r>
          </w:p>
        </w:tc>
        <w:tc>
          <w:tcPr>
            <w:tcW w:type="dxa" w:w="2310"/>
            <w:tcMar>
              <w:top w:w="120" w:type="dxa"/>
              <w:start w:w="120" w:type="dxa"/>
              <w:bottom w:w="120" w:type="dxa"/>
              <w:end w:w="120" w:type="dxa"/>
            </w:tcMar>
            <w:vAlign w:val="center"/>
          </w:tcPr>
          <w:p>
            <w:pPr>
              <w:spacing w:after="40" w:line="240" w:lineRule="auto" w:before="0"/>
            </w:pPr>
            <w:r>
              <w:rPr>
                <w:rFonts w:ascii="Calibri" w:hAnsi="Calibri"/>
                <w:color w:val="232323"/>
                <w:sz w:val="20"/>
              </w:rPr>
              <w:t>3</w:t>
            </w:r>
          </w:p>
        </w:tc>
      </w:tr>
      <w:tr>
        <w:tc>
          <w:tcPr>
            <w:tcW w:type="dxa" w:w="3350"/>
            <w:tcMar>
              <w:top w:w="120" w:type="dxa"/>
              <w:start w:w="120" w:type="dxa"/>
              <w:bottom w:w="120" w:type="dxa"/>
              <w:end w:w="120" w:type="dxa"/>
            </w:tcMar>
            <w:vAlign w:val="center"/>
          </w:tcPr>
          <w:p>
            <w:pPr>
              <w:spacing w:after="40" w:line="240" w:lineRule="auto" w:before="0"/>
            </w:pPr>
            <w:r>
              <w:rPr>
                <w:rFonts w:ascii="Calibri" w:hAnsi="Calibri"/>
                <w:color w:val="232323"/>
                <w:sz w:val="20"/>
              </w:rPr>
              <w:t>Structurer la fiscalité événementielle</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11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800"/>
            <w:tcMar>
              <w:top w:w="120" w:type="dxa"/>
              <w:start w:w="120" w:type="dxa"/>
              <w:bottom w:w="120" w:type="dxa"/>
              <w:end w:w="120" w:type="dxa"/>
            </w:tcMar>
            <w:vAlign w:val="center"/>
          </w:tcPr>
          <w:p>
            <w:pPr>
              <w:spacing w:after="40" w:line="240" w:lineRule="auto" w:before="0"/>
            </w:pPr>
            <w:r>
              <w:rPr>
                <w:rFonts w:ascii="Calibri" w:hAnsi="Calibri"/>
                <w:color w:val="232323"/>
                <w:sz w:val="20"/>
              </w:rPr>
              <w:t>6</w:t>
            </w:r>
          </w:p>
        </w:tc>
        <w:tc>
          <w:tcPr>
            <w:tcW w:type="dxa" w:w="2310"/>
            <w:tcMar>
              <w:top w:w="120" w:type="dxa"/>
              <w:start w:w="120" w:type="dxa"/>
              <w:bottom w:w="120" w:type="dxa"/>
              <w:end w:w="120" w:type="dxa"/>
            </w:tcMar>
            <w:vAlign w:val="center"/>
          </w:tcPr>
          <w:p>
            <w:pPr>
              <w:spacing w:after="40" w:line="240" w:lineRule="auto" w:before="0"/>
            </w:pPr>
            <w:r>
              <w:rPr>
                <w:rFonts w:ascii="Calibri" w:hAnsi="Calibri"/>
                <w:color w:val="232323"/>
                <w:sz w:val="20"/>
              </w:rPr>
              <w:t>4</w:t>
            </w:r>
          </w:p>
        </w:tc>
      </w:tr>
      <w:tr>
        <w:tc>
          <w:tcPr>
            <w:tcW w:type="dxa" w:w="3350"/>
            <w:tcMar>
              <w:top w:w="120" w:type="dxa"/>
              <w:start w:w="120" w:type="dxa"/>
              <w:bottom w:w="120" w:type="dxa"/>
              <w:end w:w="120" w:type="dxa"/>
            </w:tcMar>
            <w:vAlign w:val="center"/>
          </w:tcPr>
          <w:p>
            <w:pPr>
              <w:spacing w:after="40" w:line="240" w:lineRule="auto" w:before="0"/>
            </w:pPr>
            <w:r>
              <w:rPr>
                <w:rFonts w:ascii="Calibri" w:hAnsi="Calibri"/>
                <w:color w:val="232323"/>
                <w:sz w:val="20"/>
              </w:rPr>
              <w:t>Finaliser l’audit RH et la GPEC</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11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900"/>
            <w:tcMar>
              <w:top w:w="120" w:type="dxa"/>
              <w:start w:w="120" w:type="dxa"/>
              <w:bottom w:w="120" w:type="dxa"/>
              <w:end w:w="120" w:type="dxa"/>
            </w:tcMar>
            <w:vAlign w:val="center"/>
          </w:tcPr>
          <w:p>
            <w:pPr>
              <w:spacing w:after="40" w:line="240" w:lineRule="auto" w:before="0"/>
            </w:pPr>
            <w:r>
              <w:rPr>
                <w:rFonts w:ascii="Calibri" w:hAnsi="Calibri"/>
                <w:color w:val="232323"/>
                <w:sz w:val="20"/>
              </w:rPr>
              <w:t>2</w:t>
            </w:r>
          </w:p>
        </w:tc>
        <w:tc>
          <w:tcPr>
            <w:tcW w:type="dxa" w:w="800"/>
            <w:tcMar>
              <w:top w:w="120" w:type="dxa"/>
              <w:start w:w="120" w:type="dxa"/>
              <w:bottom w:w="120" w:type="dxa"/>
              <w:end w:w="120" w:type="dxa"/>
            </w:tcMar>
            <w:vAlign w:val="center"/>
          </w:tcPr>
          <w:p>
            <w:pPr>
              <w:spacing w:after="40" w:line="240" w:lineRule="auto" w:before="0"/>
            </w:pPr>
            <w:r>
              <w:rPr>
                <w:rFonts w:ascii="Calibri" w:hAnsi="Calibri"/>
                <w:color w:val="232323"/>
                <w:sz w:val="20"/>
              </w:rPr>
              <w:t>6</w:t>
            </w:r>
          </w:p>
        </w:tc>
        <w:tc>
          <w:tcPr>
            <w:tcW w:type="dxa" w:w="2310"/>
            <w:tcMar>
              <w:top w:w="120" w:type="dxa"/>
              <w:start w:w="120" w:type="dxa"/>
              <w:bottom w:w="120" w:type="dxa"/>
              <w:end w:w="120" w:type="dxa"/>
            </w:tcMar>
            <w:vAlign w:val="center"/>
          </w:tcPr>
          <w:p>
            <w:pPr>
              <w:spacing w:after="40" w:line="240" w:lineRule="auto" w:before="0"/>
            </w:pPr>
            <w:r>
              <w:rPr>
                <w:rFonts w:ascii="Calibri" w:hAnsi="Calibri"/>
                <w:color w:val="232323"/>
                <w:sz w:val="20"/>
              </w:rPr>
              <w:t>4</w:t>
            </w:r>
          </w:p>
        </w:tc>
      </w:tr>
      <w:tr>
        <w:tc>
          <w:tcPr>
            <w:tcW w:type="dxa" w:w="3350"/>
            <w:tcMar>
              <w:top w:w="120" w:type="dxa"/>
              <w:start w:w="120" w:type="dxa"/>
              <w:bottom w:w="120" w:type="dxa"/>
              <w:end w:w="120" w:type="dxa"/>
            </w:tcMar>
          </w:tcPr>
          <w:p>
            <w:pPr>
              <w:spacing w:after="40" w:line="240" w:lineRule="auto" w:before="0"/>
            </w:pPr>
            <w:r>
              <w:rPr>
                <w:sz w:val="20"/>
              </w:rPr>
              <w:t>Arbitrer le scénario District spécial / pôle urbain métropolitain</w:t>
            </w:r>
          </w:p>
        </w:tc>
        <w:tc>
          <w:tcPr>
            <w:tcW w:type="dxa" w:w="900"/>
            <w:tcMar>
              <w:top w:w="120" w:type="dxa"/>
              <w:start w:w="120" w:type="dxa"/>
              <w:bottom w:w="120" w:type="dxa"/>
              <w:end w:w="120" w:type="dxa"/>
            </w:tcMar>
          </w:tcPr>
          <w:p>
            <w:pPr>
              <w:spacing w:after="40" w:line="240" w:lineRule="auto" w:before="0"/>
            </w:pPr>
            <w:r>
              <w:rPr>
                <w:sz w:val="20"/>
              </w:rPr>
              <w:t>3</w:t>
            </w:r>
          </w:p>
        </w:tc>
        <w:tc>
          <w:tcPr>
            <w:tcW w:type="dxa" w:w="1100"/>
            <w:tcMar>
              <w:top w:w="120" w:type="dxa"/>
              <w:start w:w="120" w:type="dxa"/>
              <w:bottom w:w="120" w:type="dxa"/>
              <w:end w:w="120" w:type="dxa"/>
            </w:tcMar>
          </w:tcPr>
          <w:p>
            <w:pPr>
              <w:spacing w:after="40" w:line="240" w:lineRule="auto" w:before="0"/>
            </w:pPr>
            <w:r>
              <w:rPr>
                <w:sz w:val="20"/>
              </w:rPr>
              <w:t>2</w:t>
            </w:r>
          </w:p>
        </w:tc>
        <w:tc>
          <w:tcPr>
            <w:tcW w:type="dxa" w:w="900"/>
            <w:tcMar>
              <w:top w:w="120" w:type="dxa"/>
              <w:start w:w="120" w:type="dxa"/>
              <w:bottom w:w="120" w:type="dxa"/>
              <w:end w:w="120" w:type="dxa"/>
            </w:tcMar>
          </w:tcPr>
          <w:p>
            <w:pPr>
              <w:spacing w:after="40" w:line="240" w:lineRule="auto" w:before="0"/>
            </w:pPr>
            <w:r>
              <w:rPr>
                <w:sz w:val="20"/>
              </w:rPr>
              <w:t>3</w:t>
            </w:r>
          </w:p>
        </w:tc>
        <w:tc>
          <w:tcPr>
            <w:tcW w:type="dxa" w:w="800"/>
            <w:tcMar>
              <w:top w:w="120" w:type="dxa"/>
              <w:start w:w="120" w:type="dxa"/>
              <w:bottom w:w="120" w:type="dxa"/>
              <w:end w:w="120" w:type="dxa"/>
            </w:tcMar>
          </w:tcPr>
          <w:p>
            <w:pPr>
              <w:spacing w:after="40" w:line="240" w:lineRule="auto" w:before="0"/>
            </w:pPr>
            <w:r>
              <w:rPr>
                <w:sz w:val="20"/>
              </w:rPr>
              <w:t>8</w:t>
            </w:r>
          </w:p>
        </w:tc>
        <w:tc>
          <w:tcPr>
            <w:tcW w:type="dxa" w:w="2310"/>
            <w:tcMar>
              <w:top w:w="120" w:type="dxa"/>
              <w:start w:w="120" w:type="dxa"/>
              <w:bottom w:w="120" w:type="dxa"/>
              <w:end w:w="120" w:type="dxa"/>
            </w:tcMar>
          </w:tcPr>
          <w:p>
            <w:pPr>
              <w:spacing w:after="40" w:line="240" w:lineRule="auto" w:before="0"/>
            </w:pPr>
            <w:r>
              <w:rPr>
                <w:sz w:val="20"/>
              </w:rPr>
              <w:t>2</w:t>
            </w:r>
          </w:p>
        </w:tc>
      </w:tr>
    </w:tbl>
    <w:p>
      <w:pPr>
        <w:pStyle w:val="Heading2"/>
      </w:pPr>
      <w:r>
        <w:t>Matrice opérationnelle SMART</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150"/>
        <w:gridCol w:w="1050"/>
        <w:gridCol w:w="850"/>
        <w:gridCol w:w="1050"/>
        <w:gridCol w:w="700"/>
        <w:gridCol w:w="1850"/>
        <w:gridCol w:w="1350"/>
        <w:gridCol w:w="1360"/>
      </w:tblGrid>
      <w:tr>
        <w:trPr>
          <w:tblHeader w:val="true"/>
        </w:trPr>
        <w:tc>
          <w:tcPr>
            <w:tcW w:type="dxa" w:w="11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Action</w:t>
            </w:r>
          </w:p>
        </w:tc>
        <w:tc>
          <w:tcPr>
            <w:tcW w:type="dxa" w:w="10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Responsable</w:t>
            </w:r>
          </w:p>
        </w:tc>
        <w:tc>
          <w:tcPr>
            <w:tcW w:type="dxa" w:w="8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Priorité</w:t>
            </w:r>
          </w:p>
        </w:tc>
        <w:tc>
          <w:tcPr>
            <w:tcW w:type="dxa" w:w="10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Coût indicatif</w:t>
            </w:r>
          </w:p>
        </w:tc>
        <w:tc>
          <w:tcPr>
            <w:tcW w:type="dxa" w:w="70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Échéance</w:t>
            </w:r>
          </w:p>
        </w:tc>
        <w:tc>
          <w:tcPr>
            <w:tcW w:type="dxa" w:w="18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Indicateur SMART</w:t>
            </w:r>
          </w:p>
        </w:tc>
        <w:tc>
          <w:tcPr>
            <w:tcW w:type="dxa" w:w="13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Risque</w:t>
            </w:r>
          </w:p>
        </w:tc>
        <w:tc>
          <w:tcPr>
            <w:tcW w:type="dxa" w:w="136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Vérification</w:t>
            </w:r>
          </w:p>
        </w:tc>
      </w:tr>
      <w:tr>
        <w:tc>
          <w:tcPr>
            <w:tcW w:type="dxa" w:w="1150"/>
            <w:tcMar>
              <w:top w:w="120" w:type="dxa"/>
              <w:start w:w="120" w:type="dxa"/>
              <w:bottom w:w="120" w:type="dxa"/>
              <w:end w:w="120" w:type="dxa"/>
            </w:tcMar>
            <w:vAlign w:val="center"/>
          </w:tcPr>
          <w:p>
            <w:pPr>
              <w:spacing w:after="40" w:line="240" w:lineRule="auto" w:before="0"/>
            </w:pPr>
            <w:r>
              <w:rPr>
                <w:rFonts w:ascii="Calibri" w:hAnsi="Calibri"/>
                <w:color w:val="232323"/>
                <w:sz w:val="20"/>
              </w:rPr>
              <w:t>Plan stratégique Dakar 2035-2050</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Cabinet + SG</w:t>
            </w:r>
          </w:p>
        </w:tc>
        <w:tc>
          <w:tcPr>
            <w:tcW w:type="dxa" w:w="850"/>
            <w:tcMar>
              <w:top w:w="120" w:type="dxa"/>
              <w:start w:w="120" w:type="dxa"/>
              <w:bottom w:w="120" w:type="dxa"/>
              <w:end w:w="120" w:type="dxa"/>
            </w:tcMar>
            <w:vAlign w:val="center"/>
          </w:tcPr>
          <w:p>
            <w:pPr>
              <w:spacing w:after="40" w:line="240" w:lineRule="auto" w:before="0"/>
            </w:pPr>
            <w:r>
              <w:rPr>
                <w:rFonts w:ascii="Calibri" w:hAnsi="Calibri"/>
                <w:color w:val="232323"/>
                <w:sz w:val="20"/>
              </w:rPr>
              <w:t>Très haute</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30-80 M FCFA</w:t>
            </w:r>
          </w:p>
        </w:tc>
        <w:tc>
          <w:tcPr>
            <w:tcW w:type="dxa" w:w="700"/>
            <w:tcMar>
              <w:top w:w="120" w:type="dxa"/>
              <w:start w:w="120" w:type="dxa"/>
              <w:bottom w:w="120" w:type="dxa"/>
              <w:end w:w="120" w:type="dxa"/>
            </w:tcMar>
            <w:vAlign w:val="center"/>
          </w:tcPr>
          <w:p>
            <w:pPr>
              <w:spacing w:after="40" w:line="240" w:lineRule="auto" w:before="0"/>
            </w:pPr>
            <w:r>
              <w:rPr>
                <w:rFonts w:ascii="Calibri" w:hAnsi="Calibri"/>
                <w:color w:val="232323"/>
                <w:sz w:val="20"/>
              </w:rPr>
              <w:t>M+6</w:t>
            </w:r>
          </w:p>
        </w:tc>
        <w:tc>
          <w:tcPr>
            <w:tcW w:type="dxa" w:w="1850"/>
            <w:tcMar>
              <w:top w:w="120" w:type="dxa"/>
              <w:start w:w="120" w:type="dxa"/>
              <w:bottom w:w="120" w:type="dxa"/>
              <w:end w:w="120" w:type="dxa"/>
            </w:tcMar>
            <w:vAlign w:val="center"/>
          </w:tcPr>
          <w:p>
            <w:pPr>
              <w:spacing w:after="40" w:line="240" w:lineRule="auto" w:before="0"/>
            </w:pPr>
            <w:r>
              <w:rPr>
                <w:rFonts w:ascii="Calibri" w:hAnsi="Calibri"/>
                <w:color w:val="232323"/>
                <w:sz w:val="20"/>
              </w:rPr>
              <w:t>Note de cadrage validée, équipe installée et calendrier de concertation adopté.</w:t>
            </w:r>
          </w:p>
        </w:tc>
        <w:tc>
          <w:tcPr>
            <w:tcW w:type="dxa" w:w="1350"/>
            <w:tcMar>
              <w:top w:w="120" w:type="dxa"/>
              <w:start w:w="120" w:type="dxa"/>
              <w:bottom w:w="120" w:type="dxa"/>
              <w:end w:w="120" w:type="dxa"/>
            </w:tcMar>
            <w:vAlign w:val="center"/>
          </w:tcPr>
          <w:p>
            <w:pPr>
              <w:spacing w:after="40" w:line="240" w:lineRule="auto" w:before="0"/>
            </w:pPr>
            <w:r>
              <w:rPr>
                <w:rFonts w:ascii="Calibri" w:hAnsi="Calibri"/>
                <w:color w:val="232323"/>
                <w:sz w:val="20"/>
              </w:rPr>
              <w:t>Vision non arbitrée</w:t>
            </w:r>
          </w:p>
        </w:tc>
        <w:tc>
          <w:tcPr>
            <w:tcW w:type="dxa" w:w="1360"/>
            <w:tcMar>
              <w:top w:w="120" w:type="dxa"/>
              <w:start w:w="120" w:type="dxa"/>
              <w:bottom w:w="120" w:type="dxa"/>
              <w:end w:w="120" w:type="dxa"/>
            </w:tcMar>
            <w:vAlign w:val="center"/>
          </w:tcPr>
          <w:p>
            <w:pPr>
              <w:spacing w:after="40" w:line="240" w:lineRule="auto" w:before="0"/>
            </w:pPr>
            <w:r>
              <w:rPr>
                <w:rFonts w:ascii="Calibri" w:hAnsi="Calibri"/>
                <w:color w:val="232323"/>
                <w:sz w:val="20"/>
              </w:rPr>
              <w:t>Délibération, note de cadrage, calendrier.</w:t>
            </w:r>
          </w:p>
        </w:tc>
      </w:tr>
      <w:tr>
        <w:tc>
          <w:tcPr>
            <w:tcW w:type="dxa" w:w="1150"/>
            <w:tcMar>
              <w:top w:w="120" w:type="dxa"/>
              <w:start w:w="120" w:type="dxa"/>
              <w:bottom w:w="120" w:type="dxa"/>
              <w:end w:w="120" w:type="dxa"/>
            </w:tcMar>
            <w:vAlign w:val="center"/>
          </w:tcPr>
          <w:p>
            <w:pPr>
              <w:spacing w:after="40" w:line="240" w:lineRule="auto" w:before="0"/>
            </w:pPr>
            <w:r>
              <w:rPr>
                <w:rFonts w:ascii="Calibri" w:hAnsi="Calibri"/>
                <w:color w:val="232323"/>
                <w:sz w:val="20"/>
              </w:rPr>
              <w:t>Cellule GAR-données-projets</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Secrétariat général</w:t>
            </w:r>
          </w:p>
        </w:tc>
        <w:tc>
          <w:tcPr>
            <w:tcW w:type="dxa" w:w="850"/>
            <w:tcMar>
              <w:top w:w="120" w:type="dxa"/>
              <w:start w:w="120" w:type="dxa"/>
              <w:bottom w:w="120" w:type="dxa"/>
              <w:end w:w="120" w:type="dxa"/>
            </w:tcMar>
            <w:vAlign w:val="center"/>
          </w:tcPr>
          <w:p>
            <w:pPr>
              <w:spacing w:after="40" w:line="240" w:lineRule="auto" w:before="0"/>
            </w:pPr>
            <w:r>
              <w:rPr>
                <w:rFonts w:ascii="Calibri" w:hAnsi="Calibri"/>
                <w:color w:val="232323"/>
                <w:sz w:val="20"/>
              </w:rPr>
              <w:t>Très haute</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25-75 M FCFA</w:t>
            </w:r>
          </w:p>
        </w:tc>
        <w:tc>
          <w:tcPr>
            <w:tcW w:type="dxa" w:w="700"/>
            <w:tcMar>
              <w:top w:w="120" w:type="dxa"/>
              <w:start w:w="120" w:type="dxa"/>
              <w:bottom w:w="120" w:type="dxa"/>
              <w:end w:w="120" w:type="dxa"/>
            </w:tcMar>
            <w:vAlign w:val="center"/>
          </w:tcPr>
          <w:p>
            <w:pPr>
              <w:spacing w:after="40" w:line="240" w:lineRule="auto" w:before="0"/>
            </w:pPr>
            <w:r>
              <w:rPr>
                <w:rFonts w:ascii="Calibri" w:hAnsi="Calibri"/>
                <w:color w:val="232323"/>
                <w:sz w:val="20"/>
              </w:rPr>
              <w:t>M+2</w:t>
            </w:r>
          </w:p>
        </w:tc>
        <w:tc>
          <w:tcPr>
            <w:tcW w:type="dxa" w:w="1850"/>
            <w:tcMar>
              <w:top w:w="120" w:type="dxa"/>
              <w:start w:w="120" w:type="dxa"/>
              <w:bottom w:w="120" w:type="dxa"/>
              <w:end w:w="120" w:type="dxa"/>
            </w:tcMar>
            <w:vAlign w:val="center"/>
          </w:tcPr>
          <w:p>
            <w:pPr>
              <w:spacing w:after="40" w:line="240" w:lineRule="auto" w:before="0"/>
            </w:pPr>
            <w:r>
              <w:rPr>
                <w:rFonts w:ascii="Calibri" w:hAnsi="Calibri"/>
                <w:color w:val="232323"/>
                <w:sz w:val="20"/>
              </w:rPr>
              <w:t>Cellule créée, référentiel de données adopté, revue trimestrielle tenue.</w:t>
            </w:r>
          </w:p>
        </w:tc>
        <w:tc>
          <w:tcPr>
            <w:tcW w:type="dxa" w:w="1350"/>
            <w:tcMar>
              <w:top w:w="120" w:type="dxa"/>
              <w:start w:w="120" w:type="dxa"/>
              <w:bottom w:w="120" w:type="dxa"/>
              <w:end w:w="120" w:type="dxa"/>
            </w:tcMar>
            <w:vAlign w:val="center"/>
          </w:tcPr>
          <w:p>
            <w:pPr>
              <w:spacing w:after="40" w:line="240" w:lineRule="auto" w:before="0"/>
            </w:pPr>
            <w:r>
              <w:rPr>
                <w:rFonts w:ascii="Calibri" w:hAnsi="Calibri"/>
                <w:color w:val="232323"/>
                <w:sz w:val="20"/>
              </w:rPr>
              <w:t>Mandat flou</w:t>
            </w:r>
          </w:p>
        </w:tc>
        <w:tc>
          <w:tcPr>
            <w:tcW w:type="dxa" w:w="1360"/>
            <w:tcMar>
              <w:top w:w="120" w:type="dxa"/>
              <w:start w:w="120" w:type="dxa"/>
              <w:bottom w:w="120" w:type="dxa"/>
              <w:end w:w="120" w:type="dxa"/>
            </w:tcMar>
            <w:vAlign w:val="center"/>
          </w:tcPr>
          <w:p>
            <w:pPr>
              <w:spacing w:after="40" w:line="240" w:lineRule="auto" w:before="0"/>
            </w:pPr>
            <w:r>
              <w:rPr>
                <w:rFonts w:ascii="Calibri" w:hAnsi="Calibri"/>
                <w:color w:val="232323"/>
                <w:sz w:val="20"/>
              </w:rPr>
              <w:t>Décision, organigramme, PV de revue.</w:t>
            </w:r>
          </w:p>
        </w:tc>
      </w:tr>
      <w:tr>
        <w:tc>
          <w:tcPr>
            <w:tcW w:type="dxa" w:w="1150"/>
            <w:tcMar>
              <w:top w:w="120" w:type="dxa"/>
              <w:start w:w="120" w:type="dxa"/>
              <w:bottom w:w="120" w:type="dxa"/>
              <w:end w:w="120" w:type="dxa"/>
            </w:tcMar>
            <w:vAlign w:val="center"/>
          </w:tcPr>
          <w:p>
            <w:pPr>
              <w:spacing w:after="40" w:line="240" w:lineRule="auto" w:before="0"/>
            </w:pPr>
            <w:r>
              <w:rPr>
                <w:rFonts w:ascii="Calibri" w:hAnsi="Calibri"/>
                <w:color w:val="232323"/>
                <w:sz w:val="20"/>
              </w:rPr>
              <w:t>Programme numérique municipal</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SG + numérique</w:t>
            </w:r>
          </w:p>
        </w:tc>
        <w:tc>
          <w:tcPr>
            <w:tcW w:type="dxa" w:w="850"/>
            <w:tcMar>
              <w:top w:w="120" w:type="dxa"/>
              <w:start w:w="120" w:type="dxa"/>
              <w:bottom w:w="120" w:type="dxa"/>
              <w:end w:w="120" w:type="dxa"/>
            </w:tcMar>
            <w:vAlign w:val="center"/>
          </w:tcPr>
          <w:p>
            <w:pPr>
              <w:spacing w:after="40" w:line="240" w:lineRule="auto" w:before="0"/>
            </w:pPr>
            <w:r>
              <w:rPr>
                <w:rFonts w:ascii="Calibri" w:hAnsi="Calibri"/>
                <w:color w:val="232323"/>
                <w:sz w:val="20"/>
              </w:rPr>
              <w:t>Très haute</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35-100 M FCFA</w:t>
            </w:r>
          </w:p>
        </w:tc>
        <w:tc>
          <w:tcPr>
            <w:tcW w:type="dxa" w:w="700"/>
            <w:tcMar>
              <w:top w:w="120" w:type="dxa"/>
              <w:start w:w="120" w:type="dxa"/>
              <w:bottom w:w="120" w:type="dxa"/>
              <w:end w:w="120" w:type="dxa"/>
            </w:tcMar>
            <w:vAlign w:val="center"/>
          </w:tcPr>
          <w:p>
            <w:pPr>
              <w:spacing w:after="40" w:line="240" w:lineRule="auto" w:before="0"/>
            </w:pPr>
            <w:r>
              <w:rPr>
                <w:rFonts w:ascii="Calibri" w:hAnsi="Calibri"/>
                <w:color w:val="232323"/>
                <w:sz w:val="20"/>
              </w:rPr>
              <w:t>M+3</w:t>
            </w:r>
          </w:p>
        </w:tc>
        <w:tc>
          <w:tcPr>
            <w:tcW w:type="dxa" w:w="1850"/>
            <w:tcMar>
              <w:top w:w="120" w:type="dxa"/>
              <w:start w:w="120" w:type="dxa"/>
              <w:bottom w:w="120" w:type="dxa"/>
              <w:end w:w="120" w:type="dxa"/>
            </w:tcMar>
            <w:vAlign w:val="center"/>
          </w:tcPr>
          <w:p>
            <w:pPr>
              <w:spacing w:after="40" w:line="240" w:lineRule="auto" w:before="0"/>
            </w:pPr>
            <w:r>
              <w:rPr>
                <w:rFonts w:ascii="Calibri" w:hAnsi="Calibri"/>
                <w:color w:val="232323"/>
                <w:sz w:val="20"/>
              </w:rPr>
              <w:t>Feuille de route numérique validée, 5 e-services priorisés et architecture d’interopérabilité définie.</w:t>
            </w:r>
          </w:p>
        </w:tc>
        <w:tc>
          <w:tcPr>
            <w:tcW w:type="dxa" w:w="1350"/>
            <w:tcMar>
              <w:top w:w="120" w:type="dxa"/>
              <w:start w:w="120" w:type="dxa"/>
              <w:bottom w:w="120" w:type="dxa"/>
              <w:end w:w="120" w:type="dxa"/>
            </w:tcMar>
            <w:vAlign w:val="center"/>
          </w:tcPr>
          <w:p>
            <w:pPr>
              <w:spacing w:after="40" w:line="240" w:lineRule="auto" w:before="0"/>
            </w:pPr>
            <w:r>
              <w:rPr>
                <w:rFonts w:ascii="Calibri" w:hAnsi="Calibri"/>
                <w:color w:val="232323"/>
                <w:sz w:val="20"/>
              </w:rPr>
              <w:t>Outils isolés</w:t>
            </w:r>
          </w:p>
        </w:tc>
        <w:tc>
          <w:tcPr>
            <w:tcW w:type="dxa" w:w="1360"/>
            <w:tcMar>
              <w:top w:w="120" w:type="dxa"/>
              <w:start w:w="120" w:type="dxa"/>
              <w:bottom w:w="120" w:type="dxa"/>
              <w:end w:w="120" w:type="dxa"/>
            </w:tcMar>
            <w:vAlign w:val="center"/>
          </w:tcPr>
          <w:p>
            <w:pPr>
              <w:spacing w:after="40" w:line="240" w:lineRule="auto" w:before="0"/>
            </w:pPr>
            <w:r>
              <w:rPr>
                <w:rFonts w:ascii="Calibri" w:hAnsi="Calibri"/>
                <w:color w:val="232323"/>
                <w:sz w:val="20"/>
              </w:rPr>
              <w:t>Note de cadrage, cartographie SI, tableau de bord.</w:t>
            </w:r>
          </w:p>
        </w:tc>
      </w:tr>
      <w:tr>
        <w:tc>
          <w:tcPr>
            <w:tcW w:type="dxa" w:w="1150"/>
            <w:tcMar>
              <w:top w:w="120" w:type="dxa"/>
              <w:start w:w="120" w:type="dxa"/>
              <w:bottom w:w="120" w:type="dxa"/>
              <w:end w:w="120" w:type="dxa"/>
            </w:tcMar>
            <w:vAlign w:val="center"/>
          </w:tcPr>
          <w:p>
            <w:pPr>
              <w:spacing w:after="40" w:line="240" w:lineRule="auto" w:before="0"/>
            </w:pPr>
            <w:r>
              <w:rPr>
                <w:rFonts w:ascii="Calibri" w:hAnsi="Calibri"/>
                <w:color w:val="232323"/>
                <w:sz w:val="20"/>
              </w:rPr>
              <w:t>Programme transition écologique-PCET</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Environnement + finances</w:t>
            </w:r>
          </w:p>
        </w:tc>
        <w:tc>
          <w:tcPr>
            <w:tcW w:type="dxa" w:w="850"/>
            <w:tcMar>
              <w:top w:w="120" w:type="dxa"/>
              <w:start w:w="120" w:type="dxa"/>
              <w:bottom w:w="120" w:type="dxa"/>
              <w:end w:w="120" w:type="dxa"/>
            </w:tcMar>
            <w:vAlign w:val="center"/>
          </w:tcPr>
          <w:p>
            <w:pPr>
              <w:spacing w:after="40" w:line="240" w:lineRule="auto" w:before="0"/>
            </w:pPr>
            <w:r>
              <w:rPr>
                <w:rFonts w:ascii="Calibri" w:hAnsi="Calibri"/>
                <w:color w:val="232323"/>
                <w:sz w:val="20"/>
              </w:rPr>
              <w:t>Très haute</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50-150 M FCFA</w:t>
            </w:r>
          </w:p>
        </w:tc>
        <w:tc>
          <w:tcPr>
            <w:tcW w:type="dxa" w:w="700"/>
            <w:tcMar>
              <w:top w:w="120" w:type="dxa"/>
              <w:start w:w="120" w:type="dxa"/>
              <w:bottom w:w="120" w:type="dxa"/>
              <w:end w:w="120" w:type="dxa"/>
            </w:tcMar>
            <w:vAlign w:val="center"/>
          </w:tcPr>
          <w:p>
            <w:pPr>
              <w:spacing w:after="40" w:line="240" w:lineRule="auto" w:before="0"/>
            </w:pPr>
            <w:r>
              <w:rPr>
                <w:rFonts w:ascii="Calibri" w:hAnsi="Calibri"/>
                <w:color w:val="232323"/>
                <w:sz w:val="20"/>
              </w:rPr>
              <w:t>M+3</w:t>
            </w:r>
          </w:p>
        </w:tc>
        <w:tc>
          <w:tcPr>
            <w:tcW w:type="dxa" w:w="1850"/>
            <w:tcMar>
              <w:top w:w="120" w:type="dxa"/>
              <w:start w:w="120" w:type="dxa"/>
              <w:bottom w:w="120" w:type="dxa"/>
              <w:end w:w="120" w:type="dxa"/>
            </w:tcMar>
            <w:vAlign w:val="center"/>
          </w:tcPr>
          <w:p>
            <w:pPr>
              <w:spacing w:after="40" w:line="240" w:lineRule="auto" w:before="0"/>
            </w:pPr>
            <w:r>
              <w:rPr>
                <w:rFonts w:ascii="Calibri" w:hAnsi="Calibri"/>
                <w:color w:val="232323"/>
                <w:sz w:val="20"/>
              </w:rPr>
              <w:t>Portefeuille vert initial, MRV et 5 projets PCET prioritaires identifiés.</w:t>
            </w:r>
          </w:p>
        </w:tc>
        <w:tc>
          <w:tcPr>
            <w:tcW w:type="dxa" w:w="1350"/>
            <w:tcMar>
              <w:top w:w="120" w:type="dxa"/>
              <w:start w:w="120" w:type="dxa"/>
              <w:bottom w:w="120" w:type="dxa"/>
              <w:end w:w="120" w:type="dxa"/>
            </w:tcMar>
            <w:vAlign w:val="center"/>
          </w:tcPr>
          <w:p>
            <w:pPr>
              <w:spacing w:after="40" w:line="240" w:lineRule="auto" w:before="0"/>
            </w:pPr>
            <w:r>
              <w:rPr>
                <w:rFonts w:ascii="Calibri" w:hAnsi="Calibri"/>
                <w:color w:val="232323"/>
                <w:sz w:val="20"/>
              </w:rPr>
              <w:t>Projets insuffisamment documentés</w:t>
            </w:r>
          </w:p>
        </w:tc>
        <w:tc>
          <w:tcPr>
            <w:tcW w:type="dxa" w:w="1360"/>
            <w:tcMar>
              <w:top w:w="120" w:type="dxa"/>
              <w:start w:w="120" w:type="dxa"/>
              <w:bottom w:w="120" w:type="dxa"/>
              <w:end w:w="120" w:type="dxa"/>
            </w:tcMar>
            <w:vAlign w:val="center"/>
          </w:tcPr>
          <w:p>
            <w:pPr>
              <w:spacing w:after="40" w:line="240" w:lineRule="auto" w:before="0"/>
            </w:pPr>
            <w:r>
              <w:rPr>
                <w:rFonts w:ascii="Calibri" w:hAnsi="Calibri"/>
                <w:color w:val="232323"/>
                <w:sz w:val="20"/>
              </w:rPr>
              <w:t>Note PCET, fiches projets, tableau MRV.</w:t>
            </w:r>
          </w:p>
        </w:tc>
      </w:tr>
      <w:tr>
        <w:tc>
          <w:tcPr>
            <w:tcW w:type="dxa" w:w="1150"/>
            <w:tcMar>
              <w:top w:w="120" w:type="dxa"/>
              <w:start w:w="120" w:type="dxa"/>
              <w:bottom w:w="120" w:type="dxa"/>
              <w:end w:w="120" w:type="dxa"/>
            </w:tcMar>
            <w:vAlign w:val="center"/>
          </w:tcPr>
          <w:p>
            <w:pPr>
              <w:spacing w:after="40" w:line="240" w:lineRule="auto" w:before="0"/>
            </w:pPr>
            <w:r>
              <w:rPr>
                <w:rFonts w:ascii="Calibri" w:hAnsi="Calibri"/>
                <w:color w:val="232323"/>
                <w:sz w:val="20"/>
              </w:rPr>
              <w:t>Réformes fiscales territoriales</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Finances + DGID</w:t>
            </w:r>
          </w:p>
        </w:tc>
        <w:tc>
          <w:tcPr>
            <w:tcW w:type="dxa" w:w="850"/>
            <w:tcMar>
              <w:top w:w="120" w:type="dxa"/>
              <w:start w:w="120" w:type="dxa"/>
              <w:bottom w:w="120" w:type="dxa"/>
              <w:end w:w="120" w:type="dxa"/>
            </w:tcMar>
            <w:vAlign w:val="center"/>
          </w:tcPr>
          <w:p>
            <w:pPr>
              <w:spacing w:after="40" w:line="240" w:lineRule="auto" w:before="0"/>
            </w:pPr>
            <w:r>
              <w:rPr>
                <w:rFonts w:ascii="Calibri" w:hAnsi="Calibri"/>
                <w:color w:val="232323"/>
                <w:sz w:val="20"/>
              </w:rPr>
              <w:t>Très haute</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100-300 M FCFA</w:t>
            </w:r>
          </w:p>
        </w:tc>
        <w:tc>
          <w:tcPr>
            <w:tcW w:type="dxa" w:w="700"/>
            <w:tcMar>
              <w:top w:w="120" w:type="dxa"/>
              <w:start w:w="120" w:type="dxa"/>
              <w:bottom w:w="120" w:type="dxa"/>
              <w:end w:w="120" w:type="dxa"/>
            </w:tcMar>
            <w:vAlign w:val="center"/>
          </w:tcPr>
          <w:p>
            <w:pPr>
              <w:spacing w:after="40" w:line="240" w:lineRule="auto" w:before="0"/>
            </w:pPr>
            <w:r>
              <w:rPr>
                <w:rFonts w:ascii="Calibri" w:hAnsi="Calibri"/>
                <w:color w:val="232323"/>
                <w:sz w:val="20"/>
              </w:rPr>
              <w:t>M+6</w:t>
            </w:r>
          </w:p>
        </w:tc>
        <w:tc>
          <w:tcPr>
            <w:tcW w:type="dxa" w:w="1850"/>
            <w:tcMar>
              <w:top w:w="120" w:type="dxa"/>
              <w:start w:w="120" w:type="dxa"/>
              <w:bottom w:w="120" w:type="dxa"/>
              <w:end w:w="120" w:type="dxa"/>
            </w:tcMar>
            <w:vAlign w:val="center"/>
          </w:tcPr>
          <w:p>
            <w:pPr>
              <w:spacing w:after="40" w:line="240" w:lineRule="auto" w:before="0"/>
            </w:pPr>
            <w:r>
              <w:rPr>
                <w:rFonts w:ascii="Calibri" w:hAnsi="Calibri"/>
                <w:color w:val="232323"/>
                <w:sz w:val="20"/>
              </w:rPr>
              <w:t>Protocole DGID signé, zone pilote choisie, base contribuables produite, paiement digital cadré.</w:t>
            </w:r>
          </w:p>
        </w:tc>
        <w:tc>
          <w:tcPr>
            <w:tcW w:type="dxa" w:w="1350"/>
            <w:tcMar>
              <w:top w:w="120" w:type="dxa"/>
              <w:start w:w="120" w:type="dxa"/>
              <w:bottom w:w="120" w:type="dxa"/>
              <w:end w:w="120" w:type="dxa"/>
            </w:tcMar>
            <w:vAlign w:val="center"/>
          </w:tcPr>
          <w:p>
            <w:pPr>
              <w:spacing w:after="40" w:line="240" w:lineRule="auto" w:before="0"/>
            </w:pPr>
            <w:r>
              <w:rPr>
                <w:rFonts w:ascii="Calibri" w:hAnsi="Calibri"/>
                <w:color w:val="232323"/>
                <w:sz w:val="20"/>
              </w:rPr>
              <w:t>Accès incomplet aux données</w:t>
            </w:r>
          </w:p>
        </w:tc>
        <w:tc>
          <w:tcPr>
            <w:tcW w:type="dxa" w:w="1360"/>
            <w:tcMar>
              <w:top w:w="120" w:type="dxa"/>
              <w:start w:w="120" w:type="dxa"/>
              <w:bottom w:w="120" w:type="dxa"/>
              <w:end w:w="120" w:type="dxa"/>
            </w:tcMar>
            <w:vAlign w:val="center"/>
          </w:tcPr>
          <w:p>
            <w:pPr>
              <w:spacing w:after="40" w:line="240" w:lineRule="auto" w:before="0"/>
            </w:pPr>
            <w:r>
              <w:rPr>
                <w:rFonts w:ascii="Calibri" w:hAnsi="Calibri"/>
                <w:color w:val="232323"/>
                <w:sz w:val="20"/>
              </w:rPr>
              <w:t>Protocole DGID, carte fiscale, tableau recouvrement.</w:t>
            </w:r>
          </w:p>
        </w:tc>
      </w:tr>
      <w:tr>
        <w:tc>
          <w:tcPr>
            <w:tcW w:type="dxa" w:w="1150"/>
            <w:tcMar>
              <w:top w:w="120" w:type="dxa"/>
              <w:start w:w="120" w:type="dxa"/>
              <w:bottom w:w="120" w:type="dxa"/>
              <w:end w:w="120" w:type="dxa"/>
            </w:tcMar>
            <w:vAlign w:val="center"/>
          </w:tcPr>
          <w:p>
            <w:pPr>
              <w:spacing w:after="40" w:line="240" w:lineRule="auto" w:before="0"/>
            </w:pPr>
            <w:r>
              <w:rPr>
                <w:rFonts w:ascii="Calibri" w:hAnsi="Calibri"/>
                <w:color w:val="232323"/>
                <w:sz w:val="20"/>
              </w:rPr>
              <w:t>Position Acte IV / Code des CL</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Cabinet + juridique</w:t>
            </w:r>
          </w:p>
        </w:tc>
        <w:tc>
          <w:tcPr>
            <w:tcW w:type="dxa" w:w="850"/>
            <w:tcMar>
              <w:top w:w="120" w:type="dxa"/>
              <w:start w:w="120" w:type="dxa"/>
              <w:bottom w:w="120" w:type="dxa"/>
              <w:end w:w="120" w:type="dxa"/>
            </w:tcMar>
            <w:vAlign w:val="center"/>
          </w:tcPr>
          <w:p>
            <w:pPr>
              <w:spacing w:after="40" w:line="240" w:lineRule="auto" w:before="0"/>
            </w:pPr>
            <w:r>
              <w:rPr>
                <w:rFonts w:ascii="Calibri" w:hAnsi="Calibri"/>
                <w:color w:val="232323"/>
                <w:sz w:val="20"/>
              </w:rPr>
              <w:t>Très haute</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10-30 M FCFA</w:t>
            </w:r>
          </w:p>
        </w:tc>
        <w:tc>
          <w:tcPr>
            <w:tcW w:type="dxa" w:w="700"/>
            <w:tcMar>
              <w:top w:w="120" w:type="dxa"/>
              <w:start w:w="120" w:type="dxa"/>
              <w:bottom w:w="120" w:type="dxa"/>
              <w:end w:w="120" w:type="dxa"/>
            </w:tcMar>
            <w:vAlign w:val="center"/>
          </w:tcPr>
          <w:p>
            <w:pPr>
              <w:spacing w:after="40" w:line="240" w:lineRule="auto" w:before="0"/>
            </w:pPr>
            <w:r>
              <w:rPr>
                <w:rFonts w:ascii="Calibri" w:hAnsi="Calibri"/>
                <w:color w:val="232323"/>
                <w:sz w:val="20"/>
              </w:rPr>
              <w:t>M+3</w:t>
            </w:r>
          </w:p>
        </w:tc>
        <w:tc>
          <w:tcPr>
            <w:tcW w:type="dxa" w:w="1850"/>
            <w:tcMar>
              <w:top w:w="120" w:type="dxa"/>
              <w:start w:w="120" w:type="dxa"/>
              <w:bottom w:w="120" w:type="dxa"/>
              <w:end w:w="120" w:type="dxa"/>
            </w:tcMar>
            <w:vAlign w:val="center"/>
          </w:tcPr>
          <w:p>
            <w:pPr>
              <w:spacing w:after="40" w:line="240" w:lineRule="auto" w:before="0"/>
            </w:pPr>
            <w:r>
              <w:rPr>
                <w:rFonts w:ascii="Calibri" w:hAnsi="Calibri"/>
                <w:color w:val="232323"/>
                <w:sz w:val="20"/>
              </w:rPr>
              <w:t>Note validée sur compétences, ressources, ville-communes et mutualisation.</w:t>
            </w:r>
          </w:p>
        </w:tc>
        <w:tc>
          <w:tcPr>
            <w:tcW w:type="dxa" w:w="1350"/>
            <w:tcMar>
              <w:top w:w="120" w:type="dxa"/>
              <w:start w:w="120" w:type="dxa"/>
              <w:bottom w:w="120" w:type="dxa"/>
              <w:end w:w="120" w:type="dxa"/>
            </w:tcMar>
            <w:vAlign w:val="center"/>
          </w:tcPr>
          <w:p>
            <w:pPr>
              <w:spacing w:after="40" w:line="240" w:lineRule="auto" w:before="0"/>
            </w:pPr>
            <w:r>
              <w:rPr>
                <w:rFonts w:ascii="Calibri" w:hAnsi="Calibri"/>
                <w:color w:val="232323"/>
                <w:sz w:val="20"/>
              </w:rPr>
              <w:t>Arbitrage politique retardé</w:t>
            </w:r>
          </w:p>
        </w:tc>
        <w:tc>
          <w:tcPr>
            <w:tcW w:type="dxa" w:w="1360"/>
            <w:tcMar>
              <w:top w:w="120" w:type="dxa"/>
              <w:start w:w="120" w:type="dxa"/>
              <w:bottom w:w="120" w:type="dxa"/>
              <w:end w:w="120" w:type="dxa"/>
            </w:tcMar>
            <w:vAlign w:val="center"/>
          </w:tcPr>
          <w:p>
            <w:pPr>
              <w:spacing w:after="40" w:line="240" w:lineRule="auto" w:before="0"/>
            </w:pPr>
            <w:r>
              <w:rPr>
                <w:rFonts w:ascii="Calibri" w:hAnsi="Calibri"/>
                <w:color w:val="232323"/>
                <w:sz w:val="20"/>
              </w:rPr>
              <w:t>Note transmise, PV de validation.</w:t>
            </w:r>
          </w:p>
        </w:tc>
      </w:tr>
      <w:tr>
        <w:tc>
          <w:tcPr>
            <w:tcW w:type="dxa" w:w="1150"/>
            <w:tcMar>
              <w:top w:w="120" w:type="dxa"/>
              <w:start w:w="120" w:type="dxa"/>
              <w:bottom w:w="120" w:type="dxa"/>
              <w:end w:w="120" w:type="dxa"/>
            </w:tcMar>
            <w:vAlign w:val="center"/>
          </w:tcPr>
          <w:p>
            <w:pPr>
              <w:spacing w:after="40" w:line="240" w:lineRule="auto" w:before="0"/>
            </w:pPr>
            <w:r>
              <w:rPr>
                <w:rFonts w:ascii="Calibri" w:hAnsi="Calibri"/>
                <w:color w:val="232323"/>
                <w:sz w:val="20"/>
              </w:rPr>
              <w:t>Portefeuille de projets bancables</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Cellule projets</w:t>
            </w:r>
          </w:p>
        </w:tc>
        <w:tc>
          <w:tcPr>
            <w:tcW w:type="dxa" w:w="850"/>
            <w:tcMar>
              <w:top w:w="120" w:type="dxa"/>
              <w:start w:w="120" w:type="dxa"/>
              <w:bottom w:w="120" w:type="dxa"/>
              <w:end w:w="120" w:type="dxa"/>
            </w:tcMar>
            <w:vAlign w:val="center"/>
          </w:tcPr>
          <w:p>
            <w:pPr>
              <w:spacing w:after="40" w:line="240" w:lineRule="auto" w:before="0"/>
            </w:pPr>
            <w:r>
              <w:rPr>
                <w:rFonts w:ascii="Calibri" w:hAnsi="Calibri"/>
                <w:color w:val="232323"/>
                <w:sz w:val="20"/>
              </w:rPr>
              <w:t>Haute</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50-150 M FCFA</w:t>
            </w:r>
          </w:p>
        </w:tc>
        <w:tc>
          <w:tcPr>
            <w:tcW w:type="dxa" w:w="700"/>
            <w:tcMar>
              <w:top w:w="120" w:type="dxa"/>
              <w:start w:w="120" w:type="dxa"/>
              <w:bottom w:w="120" w:type="dxa"/>
              <w:end w:w="120" w:type="dxa"/>
            </w:tcMar>
            <w:vAlign w:val="center"/>
          </w:tcPr>
          <w:p>
            <w:pPr>
              <w:spacing w:after="40" w:line="240" w:lineRule="auto" w:before="0"/>
            </w:pPr>
            <w:r>
              <w:rPr>
                <w:rFonts w:ascii="Calibri" w:hAnsi="Calibri"/>
                <w:color w:val="232323"/>
                <w:sz w:val="20"/>
              </w:rPr>
              <w:t>M+6</w:t>
            </w:r>
          </w:p>
        </w:tc>
        <w:tc>
          <w:tcPr>
            <w:tcW w:type="dxa" w:w="1850"/>
            <w:tcMar>
              <w:top w:w="120" w:type="dxa"/>
              <w:start w:w="120" w:type="dxa"/>
              <w:bottom w:w="120" w:type="dxa"/>
              <w:end w:w="120" w:type="dxa"/>
            </w:tcMar>
            <w:vAlign w:val="center"/>
          </w:tcPr>
          <w:p>
            <w:pPr>
              <w:spacing w:after="40" w:line="240" w:lineRule="auto" w:before="0"/>
            </w:pPr>
            <w:r>
              <w:rPr>
                <w:rFonts w:ascii="Calibri" w:hAnsi="Calibri"/>
                <w:color w:val="232323"/>
                <w:sz w:val="20"/>
              </w:rPr>
              <w:t>10 projets classés, 3 fiches bancables prêtes.</w:t>
            </w:r>
          </w:p>
        </w:tc>
        <w:tc>
          <w:tcPr>
            <w:tcW w:type="dxa" w:w="1350"/>
            <w:tcMar>
              <w:top w:w="120" w:type="dxa"/>
              <w:start w:w="120" w:type="dxa"/>
              <w:bottom w:w="120" w:type="dxa"/>
              <w:end w:w="120" w:type="dxa"/>
            </w:tcMar>
            <w:vAlign w:val="center"/>
          </w:tcPr>
          <w:p>
            <w:pPr>
              <w:spacing w:after="40" w:line="240" w:lineRule="auto" w:before="0"/>
            </w:pPr>
            <w:r>
              <w:rPr>
                <w:rFonts w:ascii="Calibri" w:hAnsi="Calibri"/>
                <w:color w:val="232323"/>
                <w:sz w:val="20"/>
              </w:rPr>
              <w:t>Projets trop peu documentés</w:t>
            </w:r>
          </w:p>
        </w:tc>
        <w:tc>
          <w:tcPr>
            <w:tcW w:type="dxa" w:w="1360"/>
            <w:tcMar>
              <w:top w:w="120" w:type="dxa"/>
              <w:start w:w="120" w:type="dxa"/>
              <w:bottom w:w="120" w:type="dxa"/>
              <w:end w:w="120" w:type="dxa"/>
            </w:tcMar>
            <w:vAlign w:val="center"/>
          </w:tcPr>
          <w:p>
            <w:pPr>
              <w:spacing w:after="40" w:line="240" w:lineRule="auto" w:before="0"/>
            </w:pPr>
            <w:r>
              <w:rPr>
                <w:rFonts w:ascii="Calibri" w:hAnsi="Calibri"/>
                <w:color w:val="232323"/>
                <w:sz w:val="20"/>
              </w:rPr>
              <w:t>Fiches projets, matrice risques, niveaux maturité.</w:t>
            </w:r>
          </w:p>
        </w:tc>
      </w:tr>
      <w:tr>
        <w:tc>
          <w:tcPr>
            <w:tcW w:type="dxa" w:w="1150"/>
            <w:tcMar>
              <w:top w:w="120" w:type="dxa"/>
              <w:start w:w="120" w:type="dxa"/>
              <w:bottom w:w="120" w:type="dxa"/>
              <w:end w:w="120" w:type="dxa"/>
            </w:tcMar>
            <w:vAlign w:val="center"/>
          </w:tcPr>
          <w:p>
            <w:pPr>
              <w:spacing w:after="40" w:line="240" w:lineRule="auto" w:before="0"/>
            </w:pPr>
            <w:r>
              <w:rPr>
                <w:rFonts w:ascii="Calibri" w:hAnsi="Calibri"/>
                <w:color w:val="232323"/>
                <w:sz w:val="20"/>
              </w:rPr>
              <w:t>Dakar Brand historique</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Culture + coopération</w:t>
            </w:r>
          </w:p>
        </w:tc>
        <w:tc>
          <w:tcPr>
            <w:tcW w:type="dxa" w:w="850"/>
            <w:tcMar>
              <w:top w:w="120" w:type="dxa"/>
              <w:start w:w="120" w:type="dxa"/>
              <w:bottom w:w="120" w:type="dxa"/>
              <w:end w:w="120" w:type="dxa"/>
            </w:tcMar>
            <w:vAlign w:val="center"/>
          </w:tcPr>
          <w:p>
            <w:pPr>
              <w:spacing w:after="40" w:line="240" w:lineRule="auto" w:before="0"/>
            </w:pPr>
            <w:r>
              <w:rPr>
                <w:rFonts w:ascii="Calibri" w:hAnsi="Calibri"/>
                <w:color w:val="232323"/>
                <w:sz w:val="20"/>
              </w:rPr>
              <w:t>Haute</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20-60 M FCFA</w:t>
            </w:r>
          </w:p>
        </w:tc>
        <w:tc>
          <w:tcPr>
            <w:tcW w:type="dxa" w:w="700"/>
            <w:tcMar>
              <w:top w:w="120" w:type="dxa"/>
              <w:start w:w="120" w:type="dxa"/>
              <w:bottom w:w="120" w:type="dxa"/>
              <w:end w:w="120" w:type="dxa"/>
            </w:tcMar>
            <w:vAlign w:val="center"/>
          </w:tcPr>
          <w:p>
            <w:pPr>
              <w:spacing w:after="40" w:line="240" w:lineRule="auto" w:before="0"/>
            </w:pPr>
            <w:r>
              <w:rPr>
                <w:rFonts w:ascii="Calibri" w:hAnsi="Calibri"/>
                <w:color w:val="232323"/>
                <w:sz w:val="20"/>
              </w:rPr>
              <w:t>M+6</w:t>
            </w:r>
          </w:p>
        </w:tc>
        <w:tc>
          <w:tcPr>
            <w:tcW w:type="dxa" w:w="1850"/>
            <w:tcMar>
              <w:top w:w="120" w:type="dxa"/>
              <w:start w:w="120" w:type="dxa"/>
              <w:bottom w:w="120" w:type="dxa"/>
              <w:end w:w="120" w:type="dxa"/>
            </w:tcMar>
            <w:vAlign w:val="center"/>
          </w:tcPr>
          <w:p>
            <w:pPr>
              <w:spacing w:after="40" w:line="240" w:lineRule="auto" w:before="0"/>
            </w:pPr>
            <w:r>
              <w:rPr>
                <w:rFonts w:ascii="Calibri" w:hAnsi="Calibri"/>
                <w:color w:val="232323"/>
                <w:sz w:val="20"/>
              </w:rPr>
              <w:t>Récit historique, 3 circuits mémoriels, calendrier pilote.</w:t>
            </w:r>
          </w:p>
        </w:tc>
        <w:tc>
          <w:tcPr>
            <w:tcW w:type="dxa" w:w="1350"/>
            <w:tcMar>
              <w:top w:w="120" w:type="dxa"/>
              <w:start w:w="120" w:type="dxa"/>
              <w:bottom w:w="120" w:type="dxa"/>
              <w:end w:w="120" w:type="dxa"/>
            </w:tcMar>
            <w:vAlign w:val="center"/>
          </w:tcPr>
          <w:p>
            <w:pPr>
              <w:spacing w:after="40" w:line="240" w:lineRule="auto" w:before="0"/>
            </w:pPr>
            <w:r>
              <w:rPr>
                <w:rFonts w:ascii="Calibri" w:hAnsi="Calibri"/>
                <w:color w:val="232323"/>
                <w:sz w:val="20"/>
              </w:rPr>
              <w:t>Communication sans contenu</w:t>
            </w:r>
          </w:p>
        </w:tc>
        <w:tc>
          <w:tcPr>
            <w:tcW w:type="dxa" w:w="1360"/>
            <w:tcMar>
              <w:top w:w="120" w:type="dxa"/>
              <w:start w:w="120" w:type="dxa"/>
              <w:bottom w:w="120" w:type="dxa"/>
              <w:end w:w="120" w:type="dxa"/>
            </w:tcMar>
            <w:vAlign w:val="center"/>
          </w:tcPr>
          <w:p>
            <w:pPr>
              <w:spacing w:after="40" w:line="240" w:lineRule="auto" w:before="0"/>
            </w:pPr>
            <w:r>
              <w:rPr>
                <w:rFonts w:ascii="Calibri" w:hAnsi="Calibri"/>
                <w:color w:val="232323"/>
                <w:sz w:val="20"/>
              </w:rPr>
              <w:t>Document de récit, cartes de circuits, calendrier.</w:t>
            </w:r>
          </w:p>
        </w:tc>
      </w:tr>
      <w:tr>
        <w:tc>
          <w:tcPr>
            <w:tcW w:type="dxa" w:w="1150"/>
            <w:tcMar>
              <w:top w:w="120" w:type="dxa"/>
              <w:start w:w="120" w:type="dxa"/>
              <w:bottom w:w="120" w:type="dxa"/>
              <w:end w:w="120" w:type="dxa"/>
            </w:tcMar>
            <w:vAlign w:val="center"/>
          </w:tcPr>
          <w:p>
            <w:pPr>
              <w:spacing w:after="40" w:line="240" w:lineRule="auto" w:before="0"/>
            </w:pPr>
            <w:r>
              <w:rPr>
                <w:rFonts w:ascii="Calibri" w:hAnsi="Calibri"/>
                <w:color w:val="232323"/>
                <w:sz w:val="20"/>
              </w:rPr>
              <w:t>Fiscalité événementielle</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Finances + domaine public</w:t>
            </w:r>
          </w:p>
        </w:tc>
        <w:tc>
          <w:tcPr>
            <w:tcW w:type="dxa" w:w="850"/>
            <w:tcMar>
              <w:top w:w="120" w:type="dxa"/>
              <w:start w:w="120" w:type="dxa"/>
              <w:bottom w:w="120" w:type="dxa"/>
              <w:end w:w="120" w:type="dxa"/>
            </w:tcMar>
            <w:vAlign w:val="center"/>
          </w:tcPr>
          <w:p>
            <w:pPr>
              <w:spacing w:after="40" w:line="240" w:lineRule="auto" w:before="0"/>
            </w:pPr>
            <w:r>
              <w:rPr>
                <w:rFonts w:ascii="Calibri" w:hAnsi="Calibri"/>
                <w:color w:val="232323"/>
                <w:sz w:val="20"/>
              </w:rPr>
              <w:t>Moyenne</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20-50 M FCFA</w:t>
            </w:r>
          </w:p>
        </w:tc>
        <w:tc>
          <w:tcPr>
            <w:tcW w:type="dxa" w:w="700"/>
            <w:tcMar>
              <w:top w:w="120" w:type="dxa"/>
              <w:start w:w="120" w:type="dxa"/>
              <w:bottom w:w="120" w:type="dxa"/>
              <w:end w:w="120" w:type="dxa"/>
            </w:tcMar>
            <w:vAlign w:val="center"/>
          </w:tcPr>
          <w:p>
            <w:pPr>
              <w:spacing w:after="40" w:line="240" w:lineRule="auto" w:before="0"/>
            </w:pPr>
            <w:r>
              <w:rPr>
                <w:rFonts w:ascii="Calibri" w:hAnsi="Calibri"/>
                <w:color w:val="232323"/>
                <w:sz w:val="20"/>
              </w:rPr>
              <w:t>M+9</w:t>
            </w:r>
          </w:p>
        </w:tc>
        <w:tc>
          <w:tcPr>
            <w:tcW w:type="dxa" w:w="1850"/>
            <w:tcMar>
              <w:top w:w="120" w:type="dxa"/>
              <w:start w:w="120" w:type="dxa"/>
              <w:bottom w:w="120" w:type="dxa"/>
              <w:end w:w="120" w:type="dxa"/>
            </w:tcMar>
            <w:vAlign w:val="center"/>
          </w:tcPr>
          <w:p>
            <w:pPr>
              <w:spacing w:after="40" w:line="240" w:lineRule="auto" w:before="0"/>
            </w:pPr>
            <w:r>
              <w:rPr>
                <w:rFonts w:ascii="Calibri" w:hAnsi="Calibri"/>
                <w:color w:val="232323"/>
                <w:sz w:val="20"/>
              </w:rPr>
              <w:t>Barème, procédure numérique et suivi des redevances adoptés.</w:t>
            </w:r>
          </w:p>
        </w:tc>
        <w:tc>
          <w:tcPr>
            <w:tcW w:type="dxa" w:w="1350"/>
            <w:tcMar>
              <w:top w:w="120" w:type="dxa"/>
              <w:start w:w="120" w:type="dxa"/>
              <w:bottom w:w="120" w:type="dxa"/>
              <w:end w:w="120" w:type="dxa"/>
            </w:tcMar>
            <w:vAlign w:val="center"/>
          </w:tcPr>
          <w:p>
            <w:pPr>
              <w:spacing w:after="40" w:line="240" w:lineRule="auto" w:before="0"/>
            </w:pPr>
            <w:r>
              <w:rPr>
                <w:rFonts w:ascii="Calibri" w:hAnsi="Calibri"/>
                <w:color w:val="232323"/>
                <w:sz w:val="20"/>
              </w:rPr>
              <w:t>Résistance des organisateurs</w:t>
            </w:r>
          </w:p>
        </w:tc>
        <w:tc>
          <w:tcPr>
            <w:tcW w:type="dxa" w:w="1360"/>
            <w:tcMar>
              <w:top w:w="120" w:type="dxa"/>
              <w:start w:w="120" w:type="dxa"/>
              <w:bottom w:w="120" w:type="dxa"/>
              <w:end w:w="120" w:type="dxa"/>
            </w:tcMar>
            <w:vAlign w:val="center"/>
          </w:tcPr>
          <w:p>
            <w:pPr>
              <w:spacing w:after="40" w:line="240" w:lineRule="auto" w:before="0"/>
            </w:pPr>
            <w:r>
              <w:rPr>
                <w:rFonts w:ascii="Calibri" w:hAnsi="Calibri"/>
                <w:color w:val="232323"/>
                <w:sz w:val="20"/>
              </w:rPr>
              <w:t>Délibération, procédure, tableau paiements.</w:t>
            </w:r>
          </w:p>
        </w:tc>
      </w:tr>
      <w:tr>
        <w:tc>
          <w:tcPr>
            <w:tcW w:type="dxa" w:w="1150"/>
            <w:tcMar>
              <w:top w:w="120" w:type="dxa"/>
              <w:start w:w="120" w:type="dxa"/>
              <w:bottom w:w="120" w:type="dxa"/>
              <w:end w:w="120" w:type="dxa"/>
            </w:tcMar>
            <w:vAlign w:val="center"/>
          </w:tcPr>
          <w:p>
            <w:pPr>
              <w:spacing w:after="40" w:line="240" w:lineRule="auto" w:before="0"/>
            </w:pPr>
            <w:r>
              <w:rPr>
                <w:rFonts w:ascii="Calibri" w:hAnsi="Calibri"/>
                <w:color w:val="232323"/>
                <w:sz w:val="20"/>
              </w:rPr>
              <w:t>Audit RH et GPEC</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DRH</w:t>
            </w:r>
          </w:p>
        </w:tc>
        <w:tc>
          <w:tcPr>
            <w:tcW w:type="dxa" w:w="850"/>
            <w:tcMar>
              <w:top w:w="120" w:type="dxa"/>
              <w:start w:w="120" w:type="dxa"/>
              <w:bottom w:w="120" w:type="dxa"/>
              <w:end w:w="120" w:type="dxa"/>
            </w:tcMar>
            <w:vAlign w:val="center"/>
          </w:tcPr>
          <w:p>
            <w:pPr>
              <w:spacing w:after="40" w:line="240" w:lineRule="auto" w:before="0"/>
            </w:pPr>
            <w:r>
              <w:rPr>
                <w:rFonts w:ascii="Calibri" w:hAnsi="Calibri"/>
                <w:color w:val="232323"/>
                <w:sz w:val="20"/>
              </w:rPr>
              <w:t>Moyenne</w:t>
            </w:r>
          </w:p>
        </w:tc>
        <w:tc>
          <w:tcPr>
            <w:tcW w:type="dxa" w:w="1050"/>
            <w:tcMar>
              <w:top w:w="120" w:type="dxa"/>
              <w:start w:w="120" w:type="dxa"/>
              <w:bottom w:w="120" w:type="dxa"/>
              <w:end w:w="120" w:type="dxa"/>
            </w:tcMar>
            <w:vAlign w:val="center"/>
          </w:tcPr>
          <w:p>
            <w:pPr>
              <w:spacing w:after="40" w:line="240" w:lineRule="auto" w:before="0"/>
            </w:pPr>
            <w:r>
              <w:rPr>
                <w:rFonts w:ascii="Calibri" w:hAnsi="Calibri"/>
                <w:color w:val="232323"/>
                <w:sz w:val="20"/>
              </w:rPr>
              <w:t>40-100 M FCFA</w:t>
            </w:r>
          </w:p>
        </w:tc>
        <w:tc>
          <w:tcPr>
            <w:tcW w:type="dxa" w:w="700"/>
            <w:tcMar>
              <w:top w:w="120" w:type="dxa"/>
              <w:start w:w="120" w:type="dxa"/>
              <w:bottom w:w="120" w:type="dxa"/>
              <w:end w:w="120" w:type="dxa"/>
            </w:tcMar>
            <w:vAlign w:val="center"/>
          </w:tcPr>
          <w:p>
            <w:pPr>
              <w:spacing w:after="40" w:line="240" w:lineRule="auto" w:before="0"/>
            </w:pPr>
            <w:r>
              <w:rPr>
                <w:rFonts w:ascii="Calibri" w:hAnsi="Calibri"/>
                <w:color w:val="232323"/>
                <w:sz w:val="20"/>
              </w:rPr>
              <w:t>M+12</w:t>
            </w:r>
          </w:p>
        </w:tc>
        <w:tc>
          <w:tcPr>
            <w:tcW w:type="dxa" w:w="1850"/>
            <w:tcMar>
              <w:top w:w="120" w:type="dxa"/>
              <w:start w:w="120" w:type="dxa"/>
              <w:bottom w:w="120" w:type="dxa"/>
              <w:end w:w="120" w:type="dxa"/>
            </w:tcMar>
            <w:vAlign w:val="center"/>
          </w:tcPr>
          <w:p>
            <w:pPr>
              <w:spacing w:after="40" w:line="240" w:lineRule="auto" w:before="0"/>
            </w:pPr>
            <w:r>
              <w:rPr>
                <w:rFonts w:ascii="Calibri" w:hAnsi="Calibri"/>
                <w:color w:val="232323"/>
                <w:sz w:val="20"/>
              </w:rPr>
              <w:t>Audit couvrant 100% des services ; référentiel métiers disponible.</w:t>
            </w:r>
          </w:p>
        </w:tc>
        <w:tc>
          <w:tcPr>
            <w:tcW w:type="dxa" w:w="1350"/>
            <w:tcMar>
              <w:top w:w="120" w:type="dxa"/>
              <w:start w:w="120" w:type="dxa"/>
              <w:bottom w:w="120" w:type="dxa"/>
              <w:end w:w="120" w:type="dxa"/>
            </w:tcMar>
            <w:vAlign w:val="center"/>
          </w:tcPr>
          <w:p>
            <w:pPr>
              <w:spacing w:after="40" w:line="240" w:lineRule="auto" w:before="0"/>
            </w:pPr>
            <w:r>
              <w:rPr>
                <w:rFonts w:ascii="Calibri" w:hAnsi="Calibri"/>
                <w:color w:val="232323"/>
                <w:sz w:val="20"/>
              </w:rPr>
              <w:t>Données RH incomplètes</w:t>
            </w:r>
          </w:p>
        </w:tc>
        <w:tc>
          <w:tcPr>
            <w:tcW w:type="dxa" w:w="1360"/>
            <w:tcMar>
              <w:top w:w="120" w:type="dxa"/>
              <w:start w:w="120" w:type="dxa"/>
              <w:bottom w:w="120" w:type="dxa"/>
              <w:end w:w="120" w:type="dxa"/>
            </w:tcMar>
            <w:vAlign w:val="center"/>
          </w:tcPr>
          <w:p>
            <w:pPr>
              <w:spacing w:after="40" w:line="240" w:lineRule="auto" w:before="0"/>
            </w:pPr>
            <w:r>
              <w:rPr>
                <w:rFonts w:ascii="Calibri" w:hAnsi="Calibri"/>
                <w:color w:val="232323"/>
                <w:sz w:val="20"/>
              </w:rPr>
              <w:t>Rapport audit, base RH, plan formation.</w:t>
            </w:r>
          </w:p>
        </w:tc>
      </w:tr>
      <w:tr>
        <w:tc>
          <w:tcPr>
            <w:tcW w:type="dxa" w:w="1150"/>
            <w:tcMar>
              <w:top w:w="120" w:type="dxa"/>
              <w:start w:w="120" w:type="dxa"/>
              <w:bottom w:w="120" w:type="dxa"/>
              <w:end w:w="120" w:type="dxa"/>
            </w:tcMar>
          </w:tcPr>
          <w:p>
            <w:pPr>
              <w:spacing w:after="40" w:line="240" w:lineRule="auto" w:before="0"/>
            </w:pPr>
            <w:r>
              <w:rPr>
                <w:sz w:val="20"/>
              </w:rPr>
              <w:t>Scénario statut Dakar</w:t>
            </w:r>
          </w:p>
        </w:tc>
        <w:tc>
          <w:tcPr>
            <w:tcW w:type="dxa" w:w="1050"/>
            <w:tcMar>
              <w:top w:w="120" w:type="dxa"/>
              <w:start w:w="120" w:type="dxa"/>
              <w:bottom w:w="120" w:type="dxa"/>
              <w:end w:w="120" w:type="dxa"/>
            </w:tcMar>
          </w:tcPr>
          <w:p>
            <w:pPr>
              <w:spacing w:after="40" w:line="240" w:lineRule="auto" w:before="0"/>
            </w:pPr>
            <w:r>
              <w:rPr>
                <w:sz w:val="20"/>
              </w:rPr>
              <w:t>Cabinet + juridique + SG</w:t>
            </w:r>
          </w:p>
        </w:tc>
        <w:tc>
          <w:tcPr>
            <w:tcW w:type="dxa" w:w="850"/>
            <w:tcMar>
              <w:top w:w="120" w:type="dxa"/>
              <w:start w:w="120" w:type="dxa"/>
              <w:bottom w:w="120" w:type="dxa"/>
              <w:end w:w="120" w:type="dxa"/>
            </w:tcMar>
          </w:tcPr>
          <w:p>
            <w:pPr>
              <w:spacing w:after="40" w:line="240" w:lineRule="auto" w:before="0"/>
            </w:pPr>
            <w:r>
              <w:rPr>
                <w:sz w:val="20"/>
              </w:rPr>
              <w:t>Très haute</w:t>
            </w:r>
          </w:p>
        </w:tc>
        <w:tc>
          <w:tcPr>
            <w:tcW w:type="dxa" w:w="1050"/>
            <w:tcMar>
              <w:top w:w="120" w:type="dxa"/>
              <w:start w:w="120" w:type="dxa"/>
              <w:bottom w:w="120" w:type="dxa"/>
              <w:end w:w="120" w:type="dxa"/>
            </w:tcMar>
          </w:tcPr>
          <w:p>
            <w:pPr>
              <w:spacing w:after="40" w:line="240" w:lineRule="auto" w:before="0"/>
            </w:pPr>
            <w:r>
              <w:rPr>
                <w:sz w:val="20"/>
              </w:rPr>
              <w:t>15-40 M FCFA</w:t>
            </w:r>
          </w:p>
        </w:tc>
        <w:tc>
          <w:tcPr>
            <w:tcW w:type="dxa" w:w="700"/>
            <w:tcMar>
              <w:top w:w="120" w:type="dxa"/>
              <w:start w:w="120" w:type="dxa"/>
              <w:bottom w:w="120" w:type="dxa"/>
              <w:end w:w="120" w:type="dxa"/>
            </w:tcMar>
          </w:tcPr>
          <w:p>
            <w:pPr>
              <w:spacing w:after="40" w:line="240" w:lineRule="auto" w:before="0"/>
            </w:pPr>
            <w:r>
              <w:rPr>
                <w:sz w:val="20"/>
              </w:rPr>
              <w:t>M+4</w:t>
            </w:r>
          </w:p>
        </w:tc>
        <w:tc>
          <w:tcPr>
            <w:tcW w:type="dxa" w:w="1850"/>
            <w:tcMar>
              <w:top w:w="120" w:type="dxa"/>
              <w:start w:w="120" w:type="dxa"/>
              <w:bottom w:w="120" w:type="dxa"/>
              <w:end w:w="120" w:type="dxa"/>
            </w:tcMar>
          </w:tcPr>
          <w:p>
            <w:pPr>
              <w:spacing w:after="40" w:line="240" w:lineRule="auto" w:before="0"/>
            </w:pPr>
            <w:r>
              <w:rPr>
                <w:sz w:val="20"/>
              </w:rPr>
              <w:t>Trois scénarios comparés, note de plaidoyer validée et calendrier État-Ville-communes établi.</w:t>
            </w:r>
          </w:p>
        </w:tc>
        <w:tc>
          <w:tcPr>
            <w:tcW w:type="dxa" w:w="1350"/>
            <w:tcMar>
              <w:top w:w="120" w:type="dxa"/>
              <w:start w:w="120" w:type="dxa"/>
              <w:bottom w:w="120" w:type="dxa"/>
              <w:end w:w="120" w:type="dxa"/>
            </w:tcMar>
          </w:tcPr>
          <w:p>
            <w:pPr>
              <w:spacing w:after="40" w:line="240" w:lineRule="auto" w:before="0"/>
            </w:pPr>
            <w:r>
              <w:rPr>
                <w:sz w:val="20"/>
              </w:rPr>
              <w:t>Débat institutionnel non cadré</w:t>
            </w:r>
          </w:p>
        </w:tc>
        <w:tc>
          <w:tcPr>
            <w:tcW w:type="dxa" w:w="1360"/>
            <w:tcMar>
              <w:top w:w="120" w:type="dxa"/>
              <w:start w:w="120" w:type="dxa"/>
              <w:bottom w:w="120" w:type="dxa"/>
              <w:end w:w="120" w:type="dxa"/>
            </w:tcMar>
          </w:tcPr>
          <w:p>
            <w:pPr>
              <w:spacing w:after="40" w:line="240" w:lineRule="auto" w:before="0"/>
            </w:pPr>
            <w:r>
              <w:rPr>
                <w:sz w:val="20"/>
              </w:rPr>
              <w:t>Note comparative, PV de consultation, transmission officielle.</w:t>
            </w:r>
          </w:p>
        </w:tc>
      </w:tr>
    </w:tbl>
    <w:p>
      <w:pPr>
        <w:pStyle w:val="Heading2"/>
      </w:pPr>
      <w:r>
        <w:t>Chiffrage, financement potentiel et gains attendus</w:t>
      </w:r>
    </w:p>
    <w:p>
      <w:r>
        <w:t>Les coûts ci-dessous sont des coûts indicatifs de préparation, de pilotage ou de démarrage. Ils ne constituent pas un budget d’investissement définitif. Leur fonction est d’aider les décideurs à répondre aux trois questions opérationnelles : combien cela coûte au départ, qui peut payer, et quel retour peut être attendu.</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700"/>
        <w:gridCol w:w="1450"/>
        <w:gridCol w:w="2100"/>
        <w:gridCol w:w="2250"/>
        <w:gridCol w:w="1860"/>
      </w:tblGrid>
      <w:tr>
        <w:trPr>
          <w:tblHeader w:val="true"/>
        </w:trPr>
        <w:tc>
          <w:tcPr>
            <w:tcW w:type="dxa" w:w="170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Action</w:t>
            </w:r>
          </w:p>
        </w:tc>
        <w:tc>
          <w:tcPr>
            <w:tcW w:type="dxa" w:w="14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Coût indicatif de démarrage</w:t>
            </w:r>
          </w:p>
        </w:tc>
        <w:tc>
          <w:tcPr>
            <w:tcW w:type="dxa" w:w="210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Financement potentiel</w:t>
            </w:r>
          </w:p>
        </w:tc>
        <w:tc>
          <w:tcPr>
            <w:tcW w:type="dxa" w:w="225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Gain attendu</w:t>
            </w:r>
          </w:p>
        </w:tc>
        <w:tc>
          <w:tcPr>
            <w:tcW w:type="dxa" w:w="1860"/>
            <w:tcMar>
              <w:top w:w="120" w:type="dxa"/>
              <w:start w:w="120" w:type="dxa"/>
              <w:bottom w:w="120" w:type="dxa"/>
              <w:end w:w="120" w:type="dxa"/>
            </w:tcMar>
            <w:vAlign w:val="center"/>
            <w:shd w:fill="1F4E79" w:val="clear" w:color="auto"/>
          </w:tcPr>
          <w:p>
            <w:pPr>
              <w:spacing w:after="40" w:line="240" w:lineRule="auto" w:before="0"/>
            </w:pPr>
            <w:r>
              <w:rPr>
                <w:rFonts w:ascii="Calibri" w:hAnsi="Calibri"/>
                <w:b/>
                <w:color w:val="FFFFFF"/>
                <w:sz w:val="20"/>
              </w:rPr>
              <w:t>Retour pour Dakar</w:t>
            </w:r>
          </w:p>
        </w:tc>
      </w:tr>
      <w:tr>
        <w:tc>
          <w:tcPr>
            <w:tcW w:type="dxa" w:w="1700"/>
            <w:tcMar>
              <w:top w:w="120" w:type="dxa"/>
              <w:start w:w="120" w:type="dxa"/>
              <w:bottom w:w="120" w:type="dxa"/>
              <w:end w:w="120" w:type="dxa"/>
            </w:tcMar>
            <w:vAlign w:val="center"/>
          </w:tcPr>
          <w:p>
            <w:pPr>
              <w:spacing w:after="40" w:line="240" w:lineRule="auto" w:before="0"/>
            </w:pPr>
            <w:r>
              <w:rPr>
                <w:rFonts w:ascii="Calibri" w:hAnsi="Calibri"/>
                <w:color w:val="232323"/>
                <w:sz w:val="20"/>
              </w:rPr>
              <w:t>Cellule GAR-données-projets</w:t>
            </w:r>
          </w:p>
        </w:tc>
        <w:tc>
          <w:tcPr>
            <w:tcW w:type="dxa" w:w="1450"/>
            <w:tcMar>
              <w:top w:w="120" w:type="dxa"/>
              <w:start w:w="120" w:type="dxa"/>
              <w:bottom w:w="120" w:type="dxa"/>
              <w:end w:w="120" w:type="dxa"/>
            </w:tcMar>
            <w:vAlign w:val="center"/>
          </w:tcPr>
          <w:p>
            <w:pPr>
              <w:spacing w:after="40" w:line="240" w:lineRule="auto" w:before="0"/>
            </w:pPr>
            <w:r>
              <w:rPr>
                <w:rFonts w:ascii="Calibri" w:hAnsi="Calibri"/>
                <w:color w:val="232323"/>
                <w:sz w:val="20"/>
              </w:rPr>
              <w:t>25-75 M FCFA</w:t>
            </w:r>
          </w:p>
        </w:tc>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Budget municipal, appui technique partenaires</w:t>
            </w:r>
          </w:p>
        </w:tc>
        <w:tc>
          <w:tcPr>
            <w:tcW w:type="dxa" w:w="2250"/>
            <w:tcMar>
              <w:top w:w="120" w:type="dxa"/>
              <w:start w:w="120" w:type="dxa"/>
              <w:bottom w:w="120" w:type="dxa"/>
              <w:end w:w="120" w:type="dxa"/>
            </w:tcMar>
            <w:vAlign w:val="center"/>
          </w:tcPr>
          <w:p>
            <w:pPr>
              <w:spacing w:after="40" w:line="240" w:lineRule="auto" w:before="0"/>
            </w:pPr>
            <w:r>
              <w:rPr>
                <w:rFonts w:ascii="Calibri" w:hAnsi="Calibri"/>
                <w:color w:val="232323"/>
                <w:sz w:val="20"/>
              </w:rPr>
              <w:t>Meilleure priorisation, reporting, réduction de la dispersion des projets.</w:t>
            </w:r>
          </w:p>
        </w:tc>
        <w:tc>
          <w:tcPr>
            <w:tcW w:type="dxa" w:w="1860"/>
            <w:tcMar>
              <w:top w:w="120" w:type="dxa"/>
              <w:start w:w="120" w:type="dxa"/>
              <w:bottom w:w="120" w:type="dxa"/>
              <w:end w:w="120" w:type="dxa"/>
            </w:tcMar>
            <w:vAlign w:val="center"/>
          </w:tcPr>
          <w:p>
            <w:pPr>
              <w:spacing w:after="40" w:line="240" w:lineRule="auto" w:before="0"/>
            </w:pPr>
            <w:r>
              <w:rPr>
                <w:rFonts w:ascii="Calibri" w:hAnsi="Calibri"/>
                <w:color w:val="232323"/>
                <w:sz w:val="20"/>
              </w:rPr>
              <w:t>Décisions plus rapides et portefeuille plus crédible.</w:t>
            </w:r>
          </w:p>
        </w:tc>
      </w:tr>
      <w:tr>
        <w:tc>
          <w:tcPr>
            <w:tcW w:type="dxa" w:w="1700"/>
            <w:tcMar>
              <w:top w:w="120" w:type="dxa"/>
              <w:start w:w="120" w:type="dxa"/>
              <w:bottom w:w="120" w:type="dxa"/>
              <w:end w:w="120" w:type="dxa"/>
            </w:tcMar>
            <w:vAlign w:val="center"/>
          </w:tcPr>
          <w:p>
            <w:pPr>
              <w:spacing w:after="40" w:line="240" w:lineRule="auto" w:before="0"/>
            </w:pPr>
            <w:r>
              <w:rPr>
                <w:rFonts w:ascii="Calibri" w:hAnsi="Calibri"/>
                <w:color w:val="232323"/>
                <w:sz w:val="20"/>
              </w:rPr>
              <w:t>Plan stratégique Dakar 2035-2050</w:t>
            </w:r>
          </w:p>
        </w:tc>
        <w:tc>
          <w:tcPr>
            <w:tcW w:type="dxa" w:w="1450"/>
            <w:tcMar>
              <w:top w:w="120" w:type="dxa"/>
              <w:start w:w="120" w:type="dxa"/>
              <w:bottom w:w="120" w:type="dxa"/>
              <w:end w:w="120" w:type="dxa"/>
            </w:tcMar>
            <w:vAlign w:val="center"/>
          </w:tcPr>
          <w:p>
            <w:pPr>
              <w:spacing w:after="40" w:line="240" w:lineRule="auto" w:before="0"/>
            </w:pPr>
            <w:r>
              <w:rPr>
                <w:rFonts w:ascii="Calibri" w:hAnsi="Calibri"/>
                <w:color w:val="232323"/>
                <w:sz w:val="20"/>
              </w:rPr>
              <w:t>30-80 M FCFA</w:t>
            </w:r>
          </w:p>
        </w:tc>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Budget municipal, coopération technique, universités, partenaires institutionnels</w:t>
            </w:r>
          </w:p>
        </w:tc>
        <w:tc>
          <w:tcPr>
            <w:tcW w:type="dxa" w:w="2250"/>
            <w:tcMar>
              <w:top w:w="120" w:type="dxa"/>
              <w:start w:w="120" w:type="dxa"/>
              <w:bottom w:w="120" w:type="dxa"/>
              <w:end w:w="120" w:type="dxa"/>
            </w:tcMar>
            <w:vAlign w:val="center"/>
          </w:tcPr>
          <w:p>
            <w:pPr>
              <w:spacing w:after="40" w:line="240" w:lineRule="auto" w:before="0"/>
            </w:pPr>
            <w:r>
              <w:rPr>
                <w:rFonts w:ascii="Calibri" w:hAnsi="Calibri"/>
                <w:color w:val="232323"/>
                <w:sz w:val="20"/>
              </w:rPr>
              <w:t>Vision unique, priorités arbitrées et alignement PNADT-PCET-Acte IV-GAR.</w:t>
            </w:r>
          </w:p>
        </w:tc>
        <w:tc>
          <w:tcPr>
            <w:tcW w:type="dxa" w:w="1860"/>
            <w:tcMar>
              <w:top w:w="120" w:type="dxa"/>
              <w:start w:w="120" w:type="dxa"/>
              <w:bottom w:w="120" w:type="dxa"/>
              <w:end w:w="120" w:type="dxa"/>
            </w:tcMar>
            <w:vAlign w:val="center"/>
          </w:tcPr>
          <w:p>
            <w:pPr>
              <w:spacing w:after="40" w:line="240" w:lineRule="auto" w:before="0"/>
            </w:pPr>
            <w:r>
              <w:rPr>
                <w:rFonts w:ascii="Calibri" w:hAnsi="Calibri"/>
                <w:color w:val="232323"/>
                <w:sz w:val="20"/>
              </w:rPr>
              <w:t>Meilleure cohérence des décisions et réduction de la dispersion conceptuelle.</w:t>
            </w:r>
          </w:p>
        </w:tc>
      </w:tr>
      <w:tr>
        <w:tc>
          <w:tcPr>
            <w:tcW w:type="dxa" w:w="1700"/>
            <w:tcMar>
              <w:top w:w="120" w:type="dxa"/>
              <w:start w:w="120" w:type="dxa"/>
              <w:bottom w:w="120" w:type="dxa"/>
              <w:end w:w="120" w:type="dxa"/>
            </w:tcMar>
            <w:vAlign w:val="center"/>
          </w:tcPr>
          <w:p>
            <w:pPr>
              <w:spacing w:after="40" w:line="240" w:lineRule="auto" w:before="0"/>
            </w:pPr>
            <w:r>
              <w:rPr>
                <w:rFonts w:ascii="Calibri" w:hAnsi="Calibri"/>
                <w:color w:val="232323"/>
                <w:sz w:val="20"/>
              </w:rPr>
              <w:t>Réformes fiscales territoriales pilotes</w:t>
            </w:r>
          </w:p>
        </w:tc>
        <w:tc>
          <w:tcPr>
            <w:tcW w:type="dxa" w:w="1450"/>
            <w:tcMar>
              <w:top w:w="120" w:type="dxa"/>
              <w:start w:w="120" w:type="dxa"/>
              <w:bottom w:w="120" w:type="dxa"/>
              <w:end w:w="120" w:type="dxa"/>
            </w:tcMar>
            <w:vAlign w:val="center"/>
          </w:tcPr>
          <w:p>
            <w:pPr>
              <w:spacing w:after="40" w:line="240" w:lineRule="auto" w:before="0"/>
            </w:pPr>
            <w:r>
              <w:rPr>
                <w:rFonts w:ascii="Calibri" w:hAnsi="Calibri"/>
                <w:color w:val="232323"/>
                <w:sz w:val="20"/>
              </w:rPr>
              <w:t>100-300 M FCFA</w:t>
            </w:r>
          </w:p>
        </w:tc>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Budget municipal, DGID, coopération numérique, partenaires techniques</w:t>
            </w:r>
          </w:p>
        </w:tc>
        <w:tc>
          <w:tcPr>
            <w:tcW w:type="dxa" w:w="2250"/>
            <w:tcMar>
              <w:top w:w="120" w:type="dxa"/>
              <w:start w:w="120" w:type="dxa"/>
              <w:bottom w:w="120" w:type="dxa"/>
              <w:end w:w="120" w:type="dxa"/>
            </w:tcMar>
            <w:vAlign w:val="center"/>
          </w:tcPr>
          <w:p>
            <w:pPr>
              <w:spacing w:after="40" w:line="240" w:lineRule="auto" w:before="0"/>
            </w:pPr>
            <w:r>
              <w:rPr>
                <w:rFonts w:ascii="Calibri" w:hAnsi="Calibri"/>
                <w:color w:val="232323"/>
                <w:sz w:val="20"/>
              </w:rPr>
              <w:t>Cadastre fiscal numérique, protocole DGID-Ville, e-taxe, foncier actualisé et fiscalité urbaine moderne.</w:t>
            </w:r>
          </w:p>
        </w:tc>
        <w:tc>
          <w:tcPr>
            <w:tcW w:type="dxa" w:w="1860"/>
            <w:tcMar>
              <w:top w:w="120" w:type="dxa"/>
              <w:start w:w="120" w:type="dxa"/>
              <w:bottom w:w="120" w:type="dxa"/>
              <w:end w:w="120" w:type="dxa"/>
            </w:tcMar>
            <w:vAlign w:val="center"/>
          </w:tcPr>
          <w:p>
            <w:pPr>
              <w:spacing w:after="40" w:line="240" w:lineRule="auto" w:before="0"/>
            </w:pPr>
            <w:r>
              <w:rPr>
                <w:rFonts w:ascii="Calibri" w:hAnsi="Calibri"/>
                <w:color w:val="232323"/>
                <w:sz w:val="20"/>
              </w:rPr>
              <w:t>Hausse de l’assiette, recouvrement plus prévisible et meilleure confiance fiscale.</w:t>
            </w:r>
          </w:p>
        </w:tc>
      </w:tr>
      <w:tr>
        <w:tc>
          <w:tcPr>
            <w:tcW w:type="dxa" w:w="1700"/>
            <w:tcMar>
              <w:top w:w="120" w:type="dxa"/>
              <w:start w:w="120" w:type="dxa"/>
              <w:bottom w:w="120" w:type="dxa"/>
              <w:end w:w="120" w:type="dxa"/>
            </w:tcMar>
            <w:vAlign w:val="center"/>
          </w:tcPr>
          <w:p>
            <w:pPr>
              <w:spacing w:after="40" w:line="240" w:lineRule="auto" w:before="0"/>
            </w:pPr>
            <w:r>
              <w:rPr>
                <w:rFonts w:ascii="Calibri" w:hAnsi="Calibri"/>
                <w:color w:val="232323"/>
                <w:sz w:val="20"/>
              </w:rPr>
              <w:t>Programme GAR-données et data room municipale</w:t>
            </w:r>
          </w:p>
        </w:tc>
        <w:tc>
          <w:tcPr>
            <w:tcW w:type="dxa" w:w="1450"/>
            <w:tcMar>
              <w:top w:w="120" w:type="dxa"/>
              <w:start w:w="120" w:type="dxa"/>
              <w:bottom w:w="120" w:type="dxa"/>
              <w:end w:w="120" w:type="dxa"/>
            </w:tcMar>
            <w:vAlign w:val="center"/>
          </w:tcPr>
          <w:p>
            <w:pPr>
              <w:spacing w:after="40" w:line="240" w:lineRule="auto" w:before="0"/>
            </w:pPr>
            <w:r>
              <w:rPr>
                <w:rFonts w:ascii="Calibri" w:hAnsi="Calibri"/>
                <w:color w:val="232323"/>
                <w:sz w:val="20"/>
              </w:rPr>
              <w:t>50-150 M FCFA</w:t>
            </w:r>
          </w:p>
        </w:tc>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Budget municipal, bailleurs, assistance technique</w:t>
            </w:r>
          </w:p>
        </w:tc>
        <w:tc>
          <w:tcPr>
            <w:tcW w:type="dxa" w:w="2250"/>
            <w:tcMar>
              <w:top w:w="120" w:type="dxa"/>
              <w:start w:w="120" w:type="dxa"/>
              <w:bottom w:w="120" w:type="dxa"/>
              <w:end w:w="120" w:type="dxa"/>
            </w:tcMar>
            <w:vAlign w:val="center"/>
          </w:tcPr>
          <w:p>
            <w:pPr>
              <w:spacing w:after="40" w:line="240" w:lineRule="auto" w:before="0"/>
            </w:pPr>
            <w:r>
              <w:rPr>
                <w:rFonts w:ascii="Calibri" w:hAnsi="Calibri"/>
                <w:color w:val="232323"/>
                <w:sz w:val="20"/>
              </w:rPr>
              <w:t>Données unifiées sur projets, fiscalité, climat, patrimoine, RH et attractivité.</w:t>
            </w:r>
          </w:p>
        </w:tc>
        <w:tc>
          <w:tcPr>
            <w:tcW w:type="dxa" w:w="1860"/>
            <w:tcMar>
              <w:top w:w="120" w:type="dxa"/>
              <w:start w:w="120" w:type="dxa"/>
              <w:bottom w:w="120" w:type="dxa"/>
              <w:end w:w="120" w:type="dxa"/>
            </w:tcMar>
            <w:vAlign w:val="center"/>
          </w:tcPr>
          <w:p>
            <w:pPr>
              <w:spacing w:after="40" w:line="240" w:lineRule="auto" w:before="0"/>
            </w:pPr>
            <w:r>
              <w:rPr>
                <w:rFonts w:ascii="Calibri" w:hAnsi="Calibri"/>
                <w:color w:val="232323"/>
                <w:sz w:val="20"/>
              </w:rPr>
              <w:t>Accès facilité aux financements et suivi plus fiable.</w:t>
            </w:r>
          </w:p>
        </w:tc>
      </w:tr>
      <w:tr>
        <w:tc>
          <w:tcPr>
            <w:tcW w:type="dxa" w:w="1700"/>
            <w:tcMar>
              <w:top w:w="120" w:type="dxa"/>
              <w:start w:w="120" w:type="dxa"/>
              <w:bottom w:w="120" w:type="dxa"/>
              <w:end w:w="120" w:type="dxa"/>
            </w:tcMar>
            <w:vAlign w:val="center"/>
          </w:tcPr>
          <w:p>
            <w:pPr>
              <w:spacing w:after="40" w:line="240" w:lineRule="auto" w:before="0"/>
            </w:pPr>
            <w:r>
              <w:rPr>
                <w:rFonts w:ascii="Calibri" w:hAnsi="Calibri"/>
                <w:color w:val="232323"/>
                <w:sz w:val="20"/>
              </w:rPr>
              <w:t>Portefeuille de projets bancables</w:t>
            </w:r>
          </w:p>
        </w:tc>
        <w:tc>
          <w:tcPr>
            <w:tcW w:type="dxa" w:w="1450"/>
            <w:tcMar>
              <w:top w:w="120" w:type="dxa"/>
              <w:start w:w="120" w:type="dxa"/>
              <w:bottom w:w="120" w:type="dxa"/>
              <w:end w:w="120" w:type="dxa"/>
            </w:tcMar>
            <w:vAlign w:val="center"/>
          </w:tcPr>
          <w:p>
            <w:pPr>
              <w:spacing w:after="40" w:line="240" w:lineRule="auto" w:before="0"/>
            </w:pPr>
            <w:r>
              <w:rPr>
                <w:rFonts w:ascii="Calibri" w:hAnsi="Calibri"/>
                <w:color w:val="232323"/>
                <w:sz w:val="20"/>
              </w:rPr>
              <w:t>50-150 M FCFA</w:t>
            </w:r>
          </w:p>
        </w:tc>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Partenaires, fonds de préparation, UNAPPP, coopération</w:t>
            </w:r>
          </w:p>
        </w:tc>
        <w:tc>
          <w:tcPr>
            <w:tcW w:type="dxa" w:w="2250"/>
            <w:tcMar>
              <w:top w:w="120" w:type="dxa"/>
              <w:start w:w="120" w:type="dxa"/>
              <w:bottom w:w="120" w:type="dxa"/>
              <w:end w:w="120" w:type="dxa"/>
            </w:tcMar>
            <w:vAlign w:val="center"/>
          </w:tcPr>
          <w:p>
            <w:pPr>
              <w:spacing w:after="40" w:line="240" w:lineRule="auto" w:before="0"/>
            </w:pPr>
            <w:r>
              <w:rPr>
                <w:rFonts w:ascii="Calibri" w:hAnsi="Calibri"/>
                <w:color w:val="232323"/>
                <w:sz w:val="20"/>
              </w:rPr>
              <w:t>Trois projets prêts à soumettre à bailleurs, banques, fonds climat ou PPP.</w:t>
            </w:r>
          </w:p>
        </w:tc>
        <w:tc>
          <w:tcPr>
            <w:tcW w:type="dxa" w:w="1860"/>
            <w:tcMar>
              <w:top w:w="120" w:type="dxa"/>
              <w:start w:w="120" w:type="dxa"/>
              <w:bottom w:w="120" w:type="dxa"/>
              <w:end w:w="120" w:type="dxa"/>
            </w:tcMar>
            <w:vAlign w:val="center"/>
          </w:tcPr>
          <w:p>
            <w:pPr>
              <w:spacing w:after="40" w:line="240" w:lineRule="auto" w:before="0"/>
            </w:pPr>
            <w:r>
              <w:rPr>
                <w:rFonts w:ascii="Calibri" w:hAnsi="Calibri"/>
                <w:color w:val="232323"/>
                <w:sz w:val="20"/>
              </w:rPr>
              <w:t>Mobilisation de financements hors budget direct.</w:t>
            </w:r>
          </w:p>
        </w:tc>
      </w:tr>
      <w:tr>
        <w:tc>
          <w:tcPr>
            <w:tcW w:type="dxa" w:w="1700"/>
            <w:tcMar>
              <w:top w:w="120" w:type="dxa"/>
              <w:start w:w="120" w:type="dxa"/>
              <w:bottom w:w="120" w:type="dxa"/>
              <w:end w:w="120" w:type="dxa"/>
            </w:tcMar>
            <w:vAlign w:val="center"/>
          </w:tcPr>
          <w:p>
            <w:pPr>
              <w:spacing w:after="40" w:line="240" w:lineRule="auto" w:before="0"/>
            </w:pPr>
            <w:r>
              <w:rPr>
                <w:rFonts w:ascii="Calibri" w:hAnsi="Calibri"/>
                <w:color w:val="232323"/>
                <w:sz w:val="20"/>
              </w:rPr>
              <w:t>Programme numérique municipal</w:t>
            </w:r>
          </w:p>
        </w:tc>
        <w:tc>
          <w:tcPr>
            <w:tcW w:type="dxa" w:w="1450"/>
            <w:tcMar>
              <w:top w:w="120" w:type="dxa"/>
              <w:start w:w="120" w:type="dxa"/>
              <w:bottom w:w="120" w:type="dxa"/>
              <w:end w:w="120" w:type="dxa"/>
            </w:tcMar>
            <w:vAlign w:val="center"/>
          </w:tcPr>
          <w:p>
            <w:pPr>
              <w:spacing w:after="40" w:line="240" w:lineRule="auto" w:before="0"/>
            </w:pPr>
            <w:r>
              <w:rPr>
                <w:rFonts w:ascii="Calibri" w:hAnsi="Calibri"/>
                <w:color w:val="232323"/>
                <w:sz w:val="20"/>
              </w:rPr>
              <w:t>35-100 M FCFA</w:t>
            </w:r>
          </w:p>
        </w:tc>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Budget municipal, coopération numérique, secteur privé, partenaires techniques</w:t>
            </w:r>
          </w:p>
        </w:tc>
        <w:tc>
          <w:tcPr>
            <w:tcW w:type="dxa" w:w="2250"/>
            <w:tcMar>
              <w:top w:w="120" w:type="dxa"/>
              <w:start w:w="120" w:type="dxa"/>
              <w:bottom w:w="120" w:type="dxa"/>
              <w:end w:w="120" w:type="dxa"/>
            </w:tcMar>
            <w:vAlign w:val="center"/>
          </w:tcPr>
          <w:p>
            <w:pPr>
              <w:spacing w:after="40" w:line="240" w:lineRule="auto" w:before="0"/>
            </w:pPr>
            <w:r>
              <w:rPr>
                <w:rFonts w:ascii="Calibri" w:hAnsi="Calibri"/>
                <w:color w:val="232323"/>
                <w:sz w:val="20"/>
              </w:rPr>
              <w:t>E-services, interopérabilité, SIG, archivage, cybersécurité et tableaux de bord.</w:t>
            </w:r>
          </w:p>
        </w:tc>
        <w:tc>
          <w:tcPr>
            <w:tcW w:type="dxa" w:w="1860"/>
            <w:tcMar>
              <w:top w:w="120" w:type="dxa"/>
              <w:start w:w="120" w:type="dxa"/>
              <w:bottom w:w="120" w:type="dxa"/>
              <w:end w:w="120" w:type="dxa"/>
            </w:tcMar>
            <w:vAlign w:val="center"/>
          </w:tcPr>
          <w:p>
            <w:pPr>
              <w:spacing w:after="40" w:line="240" w:lineRule="auto" w:before="0"/>
            </w:pPr>
            <w:r>
              <w:rPr>
                <w:rFonts w:ascii="Calibri" w:hAnsi="Calibri"/>
                <w:color w:val="232323"/>
                <w:sz w:val="20"/>
              </w:rPr>
              <w:t>Services municipaux plus rapides, traçables et mesurables.</w:t>
            </w:r>
          </w:p>
        </w:tc>
      </w:tr>
      <w:tr>
        <w:tc>
          <w:tcPr>
            <w:tcW w:type="dxa" w:w="1700"/>
            <w:tcMar>
              <w:top w:w="120" w:type="dxa"/>
              <w:start w:w="120" w:type="dxa"/>
              <w:bottom w:w="120" w:type="dxa"/>
              <w:end w:w="120" w:type="dxa"/>
            </w:tcMar>
            <w:vAlign w:val="center"/>
          </w:tcPr>
          <w:p>
            <w:pPr>
              <w:spacing w:after="40" w:line="240" w:lineRule="auto" w:before="0"/>
            </w:pPr>
            <w:r>
              <w:rPr>
                <w:rFonts w:ascii="Calibri" w:hAnsi="Calibri"/>
                <w:color w:val="232323"/>
                <w:sz w:val="20"/>
              </w:rPr>
              <w:t>Programme transition écologique-PCET</w:t>
            </w:r>
          </w:p>
        </w:tc>
        <w:tc>
          <w:tcPr>
            <w:tcW w:type="dxa" w:w="1450"/>
            <w:tcMar>
              <w:top w:w="120" w:type="dxa"/>
              <w:start w:w="120" w:type="dxa"/>
              <w:bottom w:w="120" w:type="dxa"/>
              <w:end w:w="120" w:type="dxa"/>
            </w:tcMar>
            <w:vAlign w:val="center"/>
          </w:tcPr>
          <w:p>
            <w:pPr>
              <w:spacing w:after="40" w:line="240" w:lineRule="auto" w:before="0"/>
            </w:pPr>
            <w:r>
              <w:rPr>
                <w:rFonts w:ascii="Calibri" w:hAnsi="Calibri"/>
                <w:color w:val="232323"/>
                <w:sz w:val="20"/>
              </w:rPr>
              <w:t>50-150 M FCFA</w:t>
            </w:r>
          </w:p>
        </w:tc>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Budget municipal, fonds climat, C40, coopération décentralisée</w:t>
            </w:r>
          </w:p>
        </w:tc>
        <w:tc>
          <w:tcPr>
            <w:tcW w:type="dxa" w:w="2250"/>
            <w:tcMar>
              <w:top w:w="120" w:type="dxa"/>
              <w:start w:w="120" w:type="dxa"/>
              <w:bottom w:w="120" w:type="dxa"/>
              <w:end w:w="120" w:type="dxa"/>
            </w:tcMar>
            <w:vAlign w:val="center"/>
          </w:tcPr>
          <w:p>
            <w:pPr>
              <w:spacing w:after="40" w:line="240" w:lineRule="auto" w:before="0"/>
            </w:pPr>
            <w:r>
              <w:rPr>
                <w:rFonts w:ascii="Calibri" w:hAnsi="Calibri"/>
                <w:color w:val="232323"/>
                <w:sz w:val="20"/>
              </w:rPr>
              <w:t>Portefeuille vert, MRV, dossiers climat, résilience et finance verte.</w:t>
            </w:r>
          </w:p>
        </w:tc>
        <w:tc>
          <w:tcPr>
            <w:tcW w:type="dxa" w:w="1860"/>
            <w:tcMar>
              <w:top w:w="120" w:type="dxa"/>
              <w:start w:w="120" w:type="dxa"/>
              <w:bottom w:w="120" w:type="dxa"/>
              <w:end w:w="120" w:type="dxa"/>
            </w:tcMar>
            <w:vAlign w:val="center"/>
          </w:tcPr>
          <w:p>
            <w:pPr>
              <w:spacing w:after="40" w:line="240" w:lineRule="auto" w:before="0"/>
            </w:pPr>
            <w:r>
              <w:rPr>
                <w:rFonts w:ascii="Calibri" w:hAnsi="Calibri"/>
                <w:color w:val="232323"/>
                <w:sz w:val="20"/>
              </w:rPr>
              <w:t>Résilience urbaine et éligibilité accrue aux financements verts.</w:t>
            </w:r>
          </w:p>
        </w:tc>
      </w:tr>
      <w:tr>
        <w:tc>
          <w:tcPr>
            <w:tcW w:type="dxa" w:w="1700"/>
            <w:tcMar>
              <w:top w:w="120" w:type="dxa"/>
              <w:start w:w="120" w:type="dxa"/>
              <w:bottom w:w="120" w:type="dxa"/>
              <w:end w:w="120" w:type="dxa"/>
            </w:tcMar>
            <w:vAlign w:val="center"/>
          </w:tcPr>
          <w:p>
            <w:pPr>
              <w:spacing w:after="40" w:line="240" w:lineRule="auto" w:before="0"/>
            </w:pPr>
            <w:r>
              <w:rPr>
                <w:rFonts w:ascii="Calibri" w:hAnsi="Calibri"/>
                <w:color w:val="232323"/>
                <w:sz w:val="20"/>
              </w:rPr>
              <w:t>Dakar Brand historique</w:t>
            </w:r>
          </w:p>
        </w:tc>
        <w:tc>
          <w:tcPr>
            <w:tcW w:type="dxa" w:w="1450"/>
            <w:tcMar>
              <w:top w:w="120" w:type="dxa"/>
              <w:start w:w="120" w:type="dxa"/>
              <w:bottom w:w="120" w:type="dxa"/>
              <w:end w:w="120" w:type="dxa"/>
            </w:tcMar>
            <w:vAlign w:val="center"/>
          </w:tcPr>
          <w:p>
            <w:pPr>
              <w:spacing w:after="40" w:line="240" w:lineRule="auto" w:before="0"/>
            </w:pPr>
            <w:r>
              <w:rPr>
                <w:rFonts w:ascii="Calibri" w:hAnsi="Calibri"/>
                <w:color w:val="232323"/>
                <w:sz w:val="20"/>
              </w:rPr>
              <w:t>20-60 M FCFA</w:t>
            </w:r>
          </w:p>
        </w:tc>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Ville, culture, tourisme, mécénat, partenariats événementiels</w:t>
            </w:r>
          </w:p>
        </w:tc>
        <w:tc>
          <w:tcPr>
            <w:tcW w:type="dxa" w:w="2250"/>
            <w:tcMar>
              <w:top w:w="120" w:type="dxa"/>
              <w:start w:w="120" w:type="dxa"/>
              <w:bottom w:w="120" w:type="dxa"/>
              <w:end w:w="120" w:type="dxa"/>
            </w:tcMar>
            <w:vAlign w:val="center"/>
          </w:tcPr>
          <w:p>
            <w:pPr>
              <w:spacing w:after="40" w:line="240" w:lineRule="auto" w:before="0"/>
            </w:pPr>
            <w:r>
              <w:rPr>
                <w:rFonts w:ascii="Calibri" w:hAnsi="Calibri"/>
                <w:color w:val="232323"/>
                <w:sz w:val="20"/>
              </w:rPr>
              <w:t>Récit de Dakar, circuits mémoriels, calendrier culturel, signalétique pilote.</w:t>
            </w:r>
          </w:p>
        </w:tc>
        <w:tc>
          <w:tcPr>
            <w:tcW w:type="dxa" w:w="1860"/>
            <w:tcMar>
              <w:top w:w="120" w:type="dxa"/>
              <w:start w:w="120" w:type="dxa"/>
              <w:bottom w:w="120" w:type="dxa"/>
              <w:end w:w="120" w:type="dxa"/>
            </w:tcMar>
            <w:vAlign w:val="center"/>
          </w:tcPr>
          <w:p>
            <w:pPr>
              <w:spacing w:after="40" w:line="240" w:lineRule="auto" w:before="0"/>
            </w:pPr>
            <w:r>
              <w:rPr>
                <w:rFonts w:ascii="Calibri" w:hAnsi="Calibri"/>
                <w:color w:val="232323"/>
                <w:sz w:val="20"/>
              </w:rPr>
              <w:t>Attractivité touristique, appartenance citoyenne et visibilité internationale.</w:t>
            </w:r>
          </w:p>
        </w:tc>
      </w:tr>
      <w:tr>
        <w:tc>
          <w:tcPr>
            <w:tcW w:type="dxa" w:w="1700"/>
            <w:tcMar>
              <w:top w:w="120" w:type="dxa"/>
              <w:start w:w="120" w:type="dxa"/>
              <w:bottom w:w="120" w:type="dxa"/>
              <w:end w:w="120" w:type="dxa"/>
            </w:tcMar>
            <w:vAlign w:val="center"/>
          </w:tcPr>
          <w:p>
            <w:pPr>
              <w:spacing w:after="40" w:line="240" w:lineRule="auto" w:before="0"/>
            </w:pPr>
            <w:r>
              <w:rPr>
                <w:rFonts w:ascii="Calibri" w:hAnsi="Calibri"/>
                <w:color w:val="232323"/>
                <w:sz w:val="20"/>
              </w:rPr>
              <w:t>Fiscalité événementielle</w:t>
            </w:r>
          </w:p>
        </w:tc>
        <w:tc>
          <w:tcPr>
            <w:tcW w:type="dxa" w:w="1450"/>
            <w:tcMar>
              <w:top w:w="120" w:type="dxa"/>
              <w:start w:w="120" w:type="dxa"/>
              <w:bottom w:w="120" w:type="dxa"/>
              <w:end w:w="120" w:type="dxa"/>
            </w:tcMar>
            <w:vAlign w:val="center"/>
          </w:tcPr>
          <w:p>
            <w:pPr>
              <w:spacing w:after="40" w:line="240" w:lineRule="auto" w:before="0"/>
            </w:pPr>
            <w:r>
              <w:rPr>
                <w:rFonts w:ascii="Calibri" w:hAnsi="Calibri"/>
                <w:color w:val="232323"/>
                <w:sz w:val="20"/>
              </w:rPr>
              <w:t>20-50 M FCFA</w:t>
            </w:r>
          </w:p>
        </w:tc>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Budget municipal, redevances, partenariat organisateurs</w:t>
            </w:r>
          </w:p>
        </w:tc>
        <w:tc>
          <w:tcPr>
            <w:tcW w:type="dxa" w:w="2250"/>
            <w:tcMar>
              <w:top w:w="120" w:type="dxa"/>
              <w:start w:w="120" w:type="dxa"/>
              <w:bottom w:w="120" w:type="dxa"/>
              <w:end w:w="120" w:type="dxa"/>
            </w:tcMar>
            <w:vAlign w:val="center"/>
          </w:tcPr>
          <w:p>
            <w:pPr>
              <w:spacing w:after="40" w:line="240" w:lineRule="auto" w:before="0"/>
            </w:pPr>
            <w:r>
              <w:rPr>
                <w:rFonts w:ascii="Calibri" w:hAnsi="Calibri"/>
                <w:color w:val="232323"/>
                <w:sz w:val="20"/>
              </w:rPr>
              <w:t>Barème clair, traçabilité, meilleure captation de la valeur événementielle.</w:t>
            </w:r>
          </w:p>
        </w:tc>
        <w:tc>
          <w:tcPr>
            <w:tcW w:type="dxa" w:w="1860"/>
            <w:tcMar>
              <w:top w:w="120" w:type="dxa"/>
              <w:start w:w="120" w:type="dxa"/>
              <w:bottom w:w="120" w:type="dxa"/>
              <w:end w:w="120" w:type="dxa"/>
            </w:tcMar>
            <w:vAlign w:val="center"/>
          </w:tcPr>
          <w:p>
            <w:pPr>
              <w:spacing w:after="40" w:line="240" w:lineRule="auto" w:before="0"/>
            </w:pPr>
            <w:r>
              <w:rPr>
                <w:rFonts w:ascii="Calibri" w:hAnsi="Calibri"/>
                <w:color w:val="232323"/>
                <w:sz w:val="20"/>
              </w:rPr>
              <w:t>Recettes nouvelles et meilleure organisation des événements.</w:t>
            </w:r>
          </w:p>
        </w:tc>
      </w:tr>
      <w:tr>
        <w:tc>
          <w:tcPr>
            <w:tcW w:type="dxa" w:w="1700"/>
            <w:tcMar>
              <w:top w:w="120" w:type="dxa"/>
              <w:start w:w="120" w:type="dxa"/>
              <w:bottom w:w="120" w:type="dxa"/>
              <w:end w:w="120" w:type="dxa"/>
            </w:tcMar>
            <w:vAlign w:val="center"/>
          </w:tcPr>
          <w:p>
            <w:pPr>
              <w:spacing w:after="40" w:line="240" w:lineRule="auto" w:before="0"/>
            </w:pPr>
            <w:r>
              <w:rPr>
                <w:rFonts w:ascii="Calibri" w:hAnsi="Calibri"/>
                <w:color w:val="232323"/>
                <w:sz w:val="20"/>
              </w:rPr>
              <w:t>Audit RH et GPEC</w:t>
            </w:r>
          </w:p>
        </w:tc>
        <w:tc>
          <w:tcPr>
            <w:tcW w:type="dxa" w:w="1450"/>
            <w:tcMar>
              <w:top w:w="120" w:type="dxa"/>
              <w:start w:w="120" w:type="dxa"/>
              <w:bottom w:w="120" w:type="dxa"/>
              <w:end w:w="120" w:type="dxa"/>
            </w:tcMar>
            <w:vAlign w:val="center"/>
          </w:tcPr>
          <w:p>
            <w:pPr>
              <w:spacing w:after="40" w:line="240" w:lineRule="auto" w:before="0"/>
            </w:pPr>
            <w:r>
              <w:rPr>
                <w:rFonts w:ascii="Calibri" w:hAnsi="Calibri"/>
                <w:color w:val="232323"/>
                <w:sz w:val="20"/>
              </w:rPr>
              <w:t>40-100 M FCFA</w:t>
            </w:r>
          </w:p>
        </w:tc>
        <w:tc>
          <w:tcPr>
            <w:tcW w:type="dxa" w:w="2100"/>
            <w:tcMar>
              <w:top w:w="120" w:type="dxa"/>
              <w:start w:w="120" w:type="dxa"/>
              <w:bottom w:w="120" w:type="dxa"/>
              <w:end w:w="120" w:type="dxa"/>
            </w:tcMar>
            <w:vAlign w:val="center"/>
          </w:tcPr>
          <w:p>
            <w:pPr>
              <w:spacing w:after="40" w:line="240" w:lineRule="auto" w:before="0"/>
            </w:pPr>
            <w:r>
              <w:rPr>
                <w:rFonts w:ascii="Calibri" w:hAnsi="Calibri"/>
                <w:color w:val="232323"/>
                <w:sz w:val="20"/>
              </w:rPr>
              <w:t>Budget municipal, CNFPLF, coopération formation</w:t>
            </w:r>
          </w:p>
        </w:tc>
        <w:tc>
          <w:tcPr>
            <w:tcW w:type="dxa" w:w="2250"/>
            <w:tcMar>
              <w:top w:w="120" w:type="dxa"/>
              <w:start w:w="120" w:type="dxa"/>
              <w:bottom w:w="120" w:type="dxa"/>
              <w:end w:w="120" w:type="dxa"/>
            </w:tcMar>
            <w:vAlign w:val="center"/>
          </w:tcPr>
          <w:p>
            <w:pPr>
              <w:spacing w:after="40" w:line="240" w:lineRule="auto" w:before="0"/>
            </w:pPr>
            <w:r>
              <w:rPr>
                <w:rFonts w:ascii="Calibri" w:hAnsi="Calibri"/>
                <w:color w:val="232323"/>
                <w:sz w:val="20"/>
              </w:rPr>
              <w:t>Cartographie des compétences, plan de formation et mobilité interne.</w:t>
            </w:r>
          </w:p>
        </w:tc>
        <w:tc>
          <w:tcPr>
            <w:tcW w:type="dxa" w:w="1860"/>
            <w:tcMar>
              <w:top w:w="120" w:type="dxa"/>
              <w:start w:w="120" w:type="dxa"/>
              <w:bottom w:w="120" w:type="dxa"/>
              <w:end w:w="120" w:type="dxa"/>
            </w:tcMar>
            <w:vAlign w:val="center"/>
          </w:tcPr>
          <w:p>
            <w:pPr>
              <w:spacing w:after="40" w:line="240" w:lineRule="auto" w:before="0"/>
            </w:pPr>
            <w:r>
              <w:rPr>
                <w:rFonts w:ascii="Calibri" w:hAnsi="Calibri"/>
                <w:color w:val="232323"/>
                <w:sz w:val="20"/>
              </w:rPr>
              <w:t>Administration mieux alignée sur les projets structurants.</w:t>
            </w:r>
          </w:p>
        </w:tc>
      </w:tr>
      <w:tr>
        <w:tc>
          <w:tcPr>
            <w:tcW w:type="dxa" w:w="1700"/>
            <w:tcMar>
              <w:top w:w="120" w:type="dxa"/>
              <w:start w:w="120" w:type="dxa"/>
              <w:bottom w:w="120" w:type="dxa"/>
              <w:end w:w="120" w:type="dxa"/>
            </w:tcMar>
          </w:tcPr>
          <w:p>
            <w:pPr>
              <w:spacing w:after="40" w:line="240" w:lineRule="auto" w:before="0"/>
            </w:pPr>
            <w:r>
              <w:rPr>
                <w:sz w:val="20"/>
              </w:rPr>
              <w:t>Pacte de compétences Acte IV</w:t>
            </w:r>
          </w:p>
        </w:tc>
        <w:tc>
          <w:tcPr>
            <w:tcW w:type="dxa" w:w="1450"/>
            <w:tcMar>
              <w:top w:w="120" w:type="dxa"/>
              <w:start w:w="120" w:type="dxa"/>
              <w:bottom w:w="120" w:type="dxa"/>
              <w:end w:w="120" w:type="dxa"/>
            </w:tcMar>
          </w:tcPr>
          <w:p>
            <w:pPr>
              <w:spacing w:after="40" w:line="240" w:lineRule="auto" w:before="0"/>
            </w:pPr>
            <w:r>
              <w:rPr>
                <w:sz w:val="20"/>
              </w:rPr>
              <w:t>15-40 M FCFA</w:t>
            </w:r>
          </w:p>
        </w:tc>
        <w:tc>
          <w:tcPr>
            <w:tcW w:type="dxa" w:w="2100"/>
            <w:tcMar>
              <w:top w:w="120" w:type="dxa"/>
              <w:start w:w="120" w:type="dxa"/>
              <w:bottom w:w="120" w:type="dxa"/>
              <w:end w:w="120" w:type="dxa"/>
            </w:tcMar>
          </w:tcPr>
          <w:p>
            <w:pPr>
              <w:spacing w:after="40" w:line="240" w:lineRule="auto" w:before="0"/>
            </w:pPr>
            <w:r>
              <w:rPr>
                <w:sz w:val="20"/>
              </w:rPr>
              <w:t>Budget municipal, coopération institutionnelle, expertise juridique</w:t>
            </w:r>
          </w:p>
        </w:tc>
        <w:tc>
          <w:tcPr>
            <w:tcW w:type="dxa" w:w="2250"/>
            <w:tcMar>
              <w:top w:w="120" w:type="dxa"/>
              <w:start w:w="120" w:type="dxa"/>
              <w:bottom w:w="120" w:type="dxa"/>
              <w:end w:w="120" w:type="dxa"/>
            </w:tcMar>
          </w:tcPr>
          <w:p>
            <w:pPr>
              <w:spacing w:after="40" w:line="240" w:lineRule="auto" w:before="0"/>
            </w:pPr>
            <w:r>
              <w:rPr>
                <w:sz w:val="20"/>
              </w:rPr>
              <w:t>Clarification des compétences fiscales, transport, données, PPP, climat et levée de fonds.</w:t>
            </w:r>
          </w:p>
        </w:tc>
        <w:tc>
          <w:tcPr>
            <w:tcW w:type="dxa" w:w="1860"/>
            <w:tcMar>
              <w:top w:w="120" w:type="dxa"/>
              <w:start w:w="120" w:type="dxa"/>
              <w:bottom w:w="120" w:type="dxa"/>
              <w:end w:w="120" w:type="dxa"/>
            </w:tcMar>
          </w:tcPr>
          <w:p>
            <w:pPr>
              <w:spacing w:after="40" w:line="240" w:lineRule="auto" w:before="0"/>
            </w:pPr>
            <w:r>
              <w:rPr>
                <w:sz w:val="20"/>
              </w:rPr>
              <w:t>Base solide pour le plaidoyer et réduction des chevauchements.</w:t>
            </w:r>
          </w:p>
        </w:tc>
      </w:tr>
    </w:tbl>
    <w:p>
      <w:pPr>
        <w:pStyle w:val="Heading2"/>
      </w:pPr>
      <w:r>
        <w:t>Risques de non-mise en œuvre</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100"/>
        <w:gridCol w:w="2500"/>
        <w:gridCol w:w="3000"/>
        <w:gridCol w:w="1760"/>
      </w:tblGrid>
      <w:tr>
        <w:trPr>
          <w:tblHeader w:val="true"/>
        </w:trPr>
        <w:tc>
          <w:tcPr>
            <w:tcW w:type="dxa" w:w="21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Risque</w:t>
            </w:r>
          </w:p>
        </w:tc>
        <w:tc>
          <w:tcPr>
            <w:tcW w:type="dxa" w:w="25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Conséquence</w:t>
            </w:r>
          </w:p>
        </w:tc>
        <w:tc>
          <w:tcPr>
            <w:tcW w:type="dxa" w:w="3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Mesure de mitigation</w:t>
            </w:r>
          </w:p>
        </w:tc>
        <w:tc>
          <w:tcPr>
            <w:tcW w:type="dxa" w:w="17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Signal d’alerte</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Rapport non arbitré</w:t>
            </w:r>
          </w:p>
        </w:tc>
        <w:tc>
          <w:tcPr>
            <w:tcW w:type="dxa" w:w="2500"/>
            <w:tcMar>
              <w:top w:w="80" w:type="dxa"/>
              <w:start w:w="120" w:type="dxa"/>
              <w:bottom w:w="80" w:type="dxa"/>
              <w:end w:w="120" w:type="dxa"/>
            </w:tcMar>
            <w:vAlign w:val="center"/>
          </w:tcPr>
          <w:p>
            <w:pPr>
              <w:spacing w:after="40" w:line="240" w:lineRule="auto" w:before="0"/>
            </w:pPr>
            <w:r>
              <w:rPr>
                <w:rFonts w:ascii="Calibri" w:hAnsi="Calibri"/>
                <w:color w:val="232323"/>
                <w:sz w:val="20"/>
              </w:rPr>
              <w:t>Le document reste une capitalisation sans effet administratif.</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Note de décision, comité de suivi, mandat écrit.</w:t>
            </w:r>
          </w:p>
        </w:tc>
        <w:tc>
          <w:tcPr>
            <w:tcW w:type="dxa" w:w="1760"/>
            <w:tcMar>
              <w:top w:w="80" w:type="dxa"/>
              <w:start w:w="120" w:type="dxa"/>
              <w:bottom w:w="80" w:type="dxa"/>
              <w:end w:w="120" w:type="dxa"/>
            </w:tcMar>
            <w:vAlign w:val="center"/>
          </w:tcPr>
          <w:p>
            <w:pPr>
              <w:spacing w:after="40" w:line="240" w:lineRule="auto" w:before="0"/>
            </w:pPr>
            <w:r>
              <w:rPr>
                <w:rFonts w:ascii="Calibri" w:hAnsi="Calibri"/>
                <w:color w:val="232323"/>
                <w:sz w:val="20"/>
              </w:rPr>
              <w:t>Aucune décision dans les 60 jours.</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Recommandations trop nombreuses</w:t>
            </w:r>
          </w:p>
        </w:tc>
        <w:tc>
          <w:tcPr>
            <w:tcW w:type="dxa" w:w="2500"/>
            <w:tcMar>
              <w:top w:w="80" w:type="dxa"/>
              <w:start w:w="120" w:type="dxa"/>
              <w:bottom w:w="80" w:type="dxa"/>
              <w:end w:w="120" w:type="dxa"/>
            </w:tcMar>
            <w:vAlign w:val="center"/>
          </w:tcPr>
          <w:p>
            <w:pPr>
              <w:spacing w:after="40" w:line="240" w:lineRule="auto" w:before="0"/>
            </w:pPr>
            <w:r>
              <w:rPr>
                <w:rFonts w:ascii="Calibri" w:hAnsi="Calibri"/>
                <w:color w:val="232323"/>
                <w:sz w:val="20"/>
              </w:rPr>
              <w:t>Dispersion des directions et perte de priorité.</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Limiter le suivi initial aux 8 actions SMART.</w:t>
            </w:r>
          </w:p>
        </w:tc>
        <w:tc>
          <w:tcPr>
            <w:tcW w:type="dxa" w:w="1760"/>
            <w:tcMar>
              <w:top w:w="80" w:type="dxa"/>
              <w:start w:w="120" w:type="dxa"/>
              <w:bottom w:w="80" w:type="dxa"/>
              <w:end w:w="120" w:type="dxa"/>
            </w:tcMar>
            <w:vAlign w:val="center"/>
          </w:tcPr>
          <w:p>
            <w:pPr>
              <w:spacing w:after="40" w:line="240" w:lineRule="auto" w:before="0"/>
            </w:pPr>
            <w:r>
              <w:rPr>
                <w:rFonts w:ascii="Calibri" w:hAnsi="Calibri"/>
                <w:color w:val="232323"/>
                <w:sz w:val="20"/>
              </w:rPr>
              <w:t>Plus de 20 actions ouvertes sans responsable.</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Absence de données fiables</w:t>
            </w:r>
          </w:p>
        </w:tc>
        <w:tc>
          <w:tcPr>
            <w:tcW w:type="dxa" w:w="2500"/>
            <w:tcMar>
              <w:top w:w="80" w:type="dxa"/>
              <w:start w:w="120" w:type="dxa"/>
              <w:bottom w:w="80" w:type="dxa"/>
              <w:end w:w="120" w:type="dxa"/>
            </w:tcMar>
            <w:vAlign w:val="center"/>
          </w:tcPr>
          <w:p>
            <w:pPr>
              <w:spacing w:after="40" w:line="240" w:lineRule="auto" w:before="0"/>
            </w:pPr>
            <w:r>
              <w:rPr>
                <w:rFonts w:ascii="Calibri" w:hAnsi="Calibri"/>
                <w:color w:val="232323"/>
                <w:sz w:val="20"/>
              </w:rPr>
              <w:t>Impossibilité de piloter la GAR, l’e-taxe et les projets verts.</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Data room, référentiel de données, points focaux.</w:t>
            </w:r>
          </w:p>
        </w:tc>
        <w:tc>
          <w:tcPr>
            <w:tcW w:type="dxa" w:w="1760"/>
            <w:tcMar>
              <w:top w:w="80" w:type="dxa"/>
              <w:start w:w="120" w:type="dxa"/>
              <w:bottom w:w="80" w:type="dxa"/>
              <w:end w:w="120" w:type="dxa"/>
            </w:tcMar>
            <w:vAlign w:val="center"/>
          </w:tcPr>
          <w:p>
            <w:pPr>
              <w:spacing w:after="40" w:line="240" w:lineRule="auto" w:before="0"/>
            </w:pPr>
            <w:r>
              <w:rPr>
                <w:rFonts w:ascii="Calibri" w:hAnsi="Calibri"/>
                <w:color w:val="232323"/>
                <w:sz w:val="20"/>
              </w:rPr>
              <w:t>Indicateurs non renseignés au trimestre 1.</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Blocage État-Ville</w:t>
            </w:r>
          </w:p>
        </w:tc>
        <w:tc>
          <w:tcPr>
            <w:tcW w:type="dxa" w:w="2500"/>
            <w:tcMar>
              <w:top w:w="80" w:type="dxa"/>
              <w:start w:w="120" w:type="dxa"/>
              <w:bottom w:w="80" w:type="dxa"/>
              <w:end w:w="120" w:type="dxa"/>
            </w:tcMar>
            <w:vAlign w:val="center"/>
          </w:tcPr>
          <w:p>
            <w:pPr>
              <w:spacing w:after="40" w:line="240" w:lineRule="auto" w:before="0"/>
            </w:pPr>
            <w:r>
              <w:rPr>
                <w:rFonts w:ascii="Calibri" w:hAnsi="Calibri"/>
                <w:color w:val="232323"/>
                <w:sz w:val="20"/>
              </w:rPr>
              <w:t>Retard sur fiscalité, statut, emprunt, données et Acte IV.</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Cadre de dialogue formel et notes de position.</w:t>
            </w:r>
          </w:p>
        </w:tc>
        <w:tc>
          <w:tcPr>
            <w:tcW w:type="dxa" w:w="1760"/>
            <w:tcMar>
              <w:top w:w="80" w:type="dxa"/>
              <w:start w:w="120" w:type="dxa"/>
              <w:bottom w:w="80" w:type="dxa"/>
              <w:end w:w="120" w:type="dxa"/>
            </w:tcMar>
            <w:vAlign w:val="center"/>
          </w:tcPr>
          <w:p>
            <w:pPr>
              <w:spacing w:after="40" w:line="240" w:lineRule="auto" w:before="0"/>
            </w:pPr>
            <w:r>
              <w:rPr>
                <w:rFonts w:ascii="Calibri" w:hAnsi="Calibri"/>
                <w:color w:val="232323"/>
                <w:sz w:val="20"/>
              </w:rPr>
              <w:t>Aucune réunion technique État-Ville.</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Faible implication des communes</w:t>
            </w:r>
          </w:p>
        </w:tc>
        <w:tc>
          <w:tcPr>
            <w:tcW w:type="dxa" w:w="2500"/>
            <w:tcMar>
              <w:top w:w="80" w:type="dxa"/>
              <w:start w:w="120" w:type="dxa"/>
              <w:bottom w:w="80" w:type="dxa"/>
              <w:end w:w="120" w:type="dxa"/>
            </w:tcMar>
            <w:vAlign w:val="center"/>
          </w:tcPr>
          <w:p>
            <w:pPr>
              <w:spacing w:after="40" w:line="240" w:lineRule="auto" w:before="0"/>
            </w:pPr>
            <w:r>
              <w:rPr>
                <w:rFonts w:ascii="Calibri" w:hAnsi="Calibri"/>
                <w:color w:val="232323"/>
                <w:sz w:val="20"/>
              </w:rPr>
              <w:t>Cadastre, événements, services urbains et proximité restent fragmentés.</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Conventions Ville-communes et reporting simplifié.</w:t>
            </w:r>
          </w:p>
        </w:tc>
        <w:tc>
          <w:tcPr>
            <w:tcW w:type="dxa" w:w="1760"/>
            <w:tcMar>
              <w:top w:w="80" w:type="dxa"/>
              <w:start w:w="120" w:type="dxa"/>
              <w:bottom w:w="80" w:type="dxa"/>
              <w:end w:w="120" w:type="dxa"/>
            </w:tcMar>
            <w:vAlign w:val="center"/>
          </w:tcPr>
          <w:p>
            <w:pPr>
              <w:spacing w:after="40" w:line="240" w:lineRule="auto" w:before="0"/>
            </w:pPr>
            <w:r>
              <w:rPr>
                <w:rFonts w:ascii="Calibri" w:hAnsi="Calibri"/>
                <w:color w:val="232323"/>
                <w:sz w:val="20"/>
              </w:rPr>
              <w:t>Données communales non transmises.</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Projets non bancables</w:t>
            </w:r>
          </w:p>
        </w:tc>
        <w:tc>
          <w:tcPr>
            <w:tcW w:type="dxa" w:w="2500"/>
            <w:tcMar>
              <w:top w:w="80" w:type="dxa"/>
              <w:start w:w="120" w:type="dxa"/>
              <w:bottom w:w="80" w:type="dxa"/>
              <w:end w:w="120" w:type="dxa"/>
            </w:tcMar>
            <w:vAlign w:val="center"/>
          </w:tcPr>
          <w:p>
            <w:pPr>
              <w:spacing w:after="40" w:line="240" w:lineRule="auto" w:before="0"/>
            </w:pPr>
            <w:r>
              <w:rPr>
                <w:rFonts w:ascii="Calibri" w:hAnsi="Calibri"/>
                <w:color w:val="232323"/>
                <w:sz w:val="20"/>
              </w:rPr>
              <w:t>Perte d’opportunités PPP, climat et bailleurs.</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Classification par maturité, études, fiches bancables.</w:t>
            </w:r>
          </w:p>
        </w:tc>
        <w:tc>
          <w:tcPr>
            <w:tcW w:type="dxa" w:w="1760"/>
            <w:tcMar>
              <w:top w:w="80" w:type="dxa"/>
              <w:start w:w="120" w:type="dxa"/>
              <w:bottom w:w="80" w:type="dxa"/>
              <w:end w:w="120" w:type="dxa"/>
            </w:tcMar>
            <w:vAlign w:val="center"/>
          </w:tcPr>
          <w:p>
            <w:pPr>
              <w:spacing w:after="40" w:line="240" w:lineRule="auto" w:before="0"/>
            </w:pPr>
            <w:r>
              <w:rPr>
                <w:rFonts w:ascii="Calibri" w:hAnsi="Calibri"/>
                <w:color w:val="232323"/>
                <w:sz w:val="20"/>
              </w:rPr>
              <w:t>Projets soumis sans coûts ni risques.</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Communication sans transformation</w:t>
            </w:r>
          </w:p>
        </w:tc>
        <w:tc>
          <w:tcPr>
            <w:tcW w:type="dxa" w:w="2500"/>
            <w:tcMar>
              <w:top w:w="80" w:type="dxa"/>
              <w:start w:w="120" w:type="dxa"/>
              <w:bottom w:w="80" w:type="dxa"/>
              <w:end w:w="120" w:type="dxa"/>
            </w:tcMar>
            <w:vAlign w:val="center"/>
          </w:tcPr>
          <w:p>
            <w:pPr>
              <w:spacing w:after="40" w:line="240" w:lineRule="auto" w:before="0"/>
            </w:pPr>
            <w:r>
              <w:rPr>
                <w:rFonts w:ascii="Calibri" w:hAnsi="Calibri"/>
                <w:color w:val="232323"/>
                <w:sz w:val="20"/>
              </w:rPr>
              <w:t>Dakar Brand perd en crédibilité.</w:t>
            </w:r>
          </w:p>
        </w:tc>
        <w:tc>
          <w:tcPr>
            <w:tcW w:type="dxa" w:w="3000"/>
            <w:tcMar>
              <w:top w:w="80" w:type="dxa"/>
              <w:start w:w="120" w:type="dxa"/>
              <w:bottom w:w="80" w:type="dxa"/>
              <w:end w:w="120" w:type="dxa"/>
            </w:tcMar>
            <w:vAlign w:val="center"/>
          </w:tcPr>
          <w:p>
            <w:pPr>
              <w:spacing w:after="40" w:line="240" w:lineRule="auto" w:before="0"/>
            </w:pPr>
            <w:r>
              <w:rPr>
                <w:rFonts w:ascii="Calibri" w:hAnsi="Calibri"/>
                <w:color w:val="232323"/>
                <w:sz w:val="20"/>
              </w:rPr>
              <w:t>Relier attractivité à propreté, patrimoine, circuits et services.</w:t>
            </w:r>
          </w:p>
        </w:tc>
        <w:tc>
          <w:tcPr>
            <w:tcW w:type="dxa" w:w="1760"/>
            <w:tcMar>
              <w:top w:w="80" w:type="dxa"/>
              <w:start w:w="120" w:type="dxa"/>
              <w:bottom w:w="80" w:type="dxa"/>
              <w:end w:w="120" w:type="dxa"/>
            </w:tcMar>
            <w:vAlign w:val="center"/>
          </w:tcPr>
          <w:p>
            <w:pPr>
              <w:spacing w:after="40" w:line="240" w:lineRule="auto" w:before="0"/>
            </w:pPr>
            <w:r>
              <w:rPr>
                <w:rFonts w:ascii="Calibri" w:hAnsi="Calibri"/>
                <w:color w:val="232323"/>
                <w:sz w:val="20"/>
              </w:rPr>
              <w:t>Lancement communication sans livrables urbains.</w:t>
            </w:r>
          </w:p>
        </w:tc>
      </w:tr>
    </w:tbl>
    <w:p>
      <w:pPr>
        <w:pStyle w:val="Heading1"/>
      </w:pPr>
      <w:r>
        <w:t>Matrice globale opérationnelle d’action</w:t>
      </w:r>
    </w:p>
    <w:p>
      <w:r>
        <w:t>La matrice ci-dessous traduit les recommandations en responsabilités par niveau d’acteur. Elle permet de distinguer ce qui relève de la Ville, de l’État, des communes, de l’APEC et des partenaires techniques, financiers ou privés. Elle doit servir de base à un comité de suivi, à une programmation annuelle et à une revue périodique de l’avancement.</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050"/>
        <w:gridCol w:w="2150"/>
        <w:gridCol w:w="2450"/>
        <w:gridCol w:w="1900"/>
        <w:gridCol w:w="1810"/>
      </w:tblGrid>
      <w:tr>
        <w:trPr>
          <w:tblHeader w:val="true"/>
        </w:trPr>
        <w:tc>
          <w:tcPr>
            <w:tcW w:type="dxa" w:w="105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Niveau</w:t>
            </w:r>
          </w:p>
        </w:tc>
        <w:tc>
          <w:tcPr>
            <w:tcW w:type="dxa" w:w="215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Actions prioritaires 0-6 mois</w:t>
            </w:r>
          </w:p>
        </w:tc>
        <w:tc>
          <w:tcPr>
            <w:tcW w:type="dxa" w:w="245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Actions structurantes 6-18 mois</w:t>
            </w:r>
          </w:p>
        </w:tc>
        <w:tc>
          <w:tcPr>
            <w:tcW w:type="dxa" w:w="19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Livrables attendus</w:t>
            </w:r>
          </w:p>
        </w:tc>
        <w:tc>
          <w:tcPr>
            <w:tcW w:type="dxa" w:w="181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Indicateurs de suivi</w:t>
            </w:r>
          </w:p>
        </w:tc>
      </w:tr>
      <w:tr>
        <w:tc>
          <w:tcPr>
            <w:tcW w:type="dxa" w:w="1050"/>
            <w:tcMar>
              <w:top w:w="80" w:type="dxa"/>
              <w:start w:w="120" w:type="dxa"/>
              <w:bottom w:w="80" w:type="dxa"/>
              <w:end w:w="120" w:type="dxa"/>
            </w:tcMar>
            <w:vAlign w:val="center"/>
          </w:tcPr>
          <w:p>
            <w:pPr>
              <w:spacing w:after="40" w:line="240" w:lineRule="auto" w:before="0"/>
            </w:pPr>
            <w:r>
              <w:rPr>
                <w:rFonts w:ascii="Calibri" w:hAnsi="Calibri"/>
                <w:color w:val="232323"/>
                <w:sz w:val="20"/>
              </w:rPr>
              <w:t>Ville de Dakar</w:t>
            </w:r>
          </w:p>
        </w:tc>
        <w:tc>
          <w:tcPr>
            <w:tcW w:type="dxa" w:w="2150"/>
            <w:tcMar>
              <w:top w:w="80" w:type="dxa"/>
              <w:start w:w="120" w:type="dxa"/>
              <w:bottom w:w="80" w:type="dxa"/>
              <w:end w:w="120" w:type="dxa"/>
            </w:tcMar>
            <w:vAlign w:val="center"/>
          </w:tcPr>
          <w:p>
            <w:pPr>
              <w:spacing w:after="40" w:line="240" w:lineRule="auto" w:before="0"/>
            </w:pPr>
            <w:r>
              <w:rPr>
                <w:rFonts w:ascii="Calibri" w:hAnsi="Calibri"/>
                <w:color w:val="232323"/>
                <w:sz w:val="20"/>
              </w:rPr>
              <w:t>Cadrer le Plan stratégique Dakar 2035-2050 ; installer la cellule GAR-données-projets ; valider le portefeuille initial ; cadrer les réformes fiscales territoriales ; lancer les programmes numérique municipal et transition écologique-PCET.</w:t>
            </w:r>
          </w:p>
        </w:tc>
        <w:tc>
          <w:tcPr>
            <w:tcW w:type="dxa" w:w="2450"/>
            <w:tcMar>
              <w:top w:w="80" w:type="dxa"/>
              <w:start w:w="120" w:type="dxa"/>
              <w:bottom w:w="80" w:type="dxa"/>
              <w:end w:w="120" w:type="dxa"/>
            </w:tcMar>
            <w:vAlign w:val="center"/>
          </w:tcPr>
          <w:p>
            <w:pPr>
              <w:spacing w:after="40" w:line="240" w:lineRule="auto" w:before="0"/>
            </w:pPr>
            <w:r>
              <w:rPr>
                <w:rFonts w:ascii="Calibri" w:hAnsi="Calibri"/>
                <w:color w:val="232323"/>
                <w:sz w:val="20"/>
              </w:rPr>
              <w:t>Déployer le tableau de bord GAR ; mettre en service la data room du programme GAR-données ; lancer le cadastre fiscal géolocalisé ; préparer au moins trois projets bancables ; structurer une fiscalité événementielle ; intégrer l’histoire de Dakar dans la stratégie d’attractivité.</w:t>
            </w:r>
          </w:p>
        </w:tc>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Cellule opérationnelle ; portefeuille de projets ; tableau de bord ; feuille de route e-taxe ; calendrier événementiel fiscal ; pipeline climat ; récit historique institutionnel.</w:t>
            </w:r>
          </w:p>
        </w:tc>
        <w:tc>
          <w:tcPr>
            <w:tcW w:type="dxa" w:w="1810"/>
            <w:tcMar>
              <w:top w:w="80" w:type="dxa"/>
              <w:start w:w="120" w:type="dxa"/>
              <w:bottom w:w="80" w:type="dxa"/>
              <w:end w:w="120" w:type="dxa"/>
            </w:tcMar>
            <w:vAlign w:val="center"/>
          </w:tcPr>
          <w:p>
            <w:pPr>
              <w:spacing w:after="40" w:line="240" w:lineRule="auto" w:before="0"/>
            </w:pPr>
            <w:r>
              <w:rPr>
                <w:rFonts w:ascii="Calibri" w:hAnsi="Calibri"/>
                <w:color w:val="232323"/>
                <w:sz w:val="20"/>
              </w:rPr>
              <w:t>Nombre de projets classés ; taux de renseignement des données ; recettes suivies par e-taxe ; projets bancables ; indicateurs GAR publiés ; indicateurs MRV PCET renseignés.</w:t>
            </w:r>
          </w:p>
        </w:tc>
      </w:tr>
      <w:tr>
        <w:tc>
          <w:tcPr>
            <w:tcW w:type="dxa" w:w="1050"/>
            <w:tcMar>
              <w:top w:w="80" w:type="dxa"/>
              <w:start w:w="120" w:type="dxa"/>
              <w:bottom w:w="80" w:type="dxa"/>
              <w:end w:w="120" w:type="dxa"/>
            </w:tcMar>
            <w:vAlign w:val="center"/>
          </w:tcPr>
          <w:p>
            <w:pPr>
              <w:spacing w:after="40" w:line="240" w:lineRule="auto" w:before="0"/>
            </w:pPr>
            <w:r>
              <w:rPr>
                <w:rFonts w:ascii="Calibri" w:hAnsi="Calibri"/>
                <w:color w:val="232323"/>
                <w:sz w:val="20"/>
              </w:rPr>
              <w:t>État</w:t>
            </w:r>
          </w:p>
        </w:tc>
        <w:tc>
          <w:tcPr>
            <w:tcW w:type="dxa" w:w="2150"/>
            <w:tcMar>
              <w:top w:w="80" w:type="dxa"/>
              <w:start w:w="120" w:type="dxa"/>
              <w:bottom w:w="80" w:type="dxa"/>
              <w:end w:w="120" w:type="dxa"/>
            </w:tcMar>
            <w:vAlign w:val="center"/>
          </w:tcPr>
          <w:p>
            <w:pPr>
              <w:spacing w:after="40" w:line="240" w:lineRule="auto" w:before="0"/>
            </w:pPr>
            <w:r>
              <w:rPr>
                <w:rFonts w:ascii="Calibri" w:hAnsi="Calibri"/>
                <w:color w:val="232323"/>
                <w:sz w:val="20"/>
              </w:rPr>
              <w:t>Ouvrir le dialogue Acte IV sur statut, GAR, numérique et partage des données ; identifier les textes nécessaires pour e-taxe, interopérabilité et financement local.</w:t>
            </w:r>
          </w:p>
        </w:tc>
        <w:tc>
          <w:tcPr>
            <w:tcW w:type="dxa" w:w="2450"/>
            <w:tcMar>
              <w:top w:w="80" w:type="dxa"/>
              <w:start w:w="120" w:type="dxa"/>
              <w:bottom w:w="80" w:type="dxa"/>
              <w:end w:w="120" w:type="dxa"/>
            </w:tcMar>
            <w:vAlign w:val="center"/>
          </w:tcPr>
          <w:p>
            <w:pPr>
              <w:spacing w:after="40" w:line="240" w:lineRule="auto" w:before="0"/>
            </w:pPr>
            <w:r>
              <w:rPr>
                <w:rFonts w:ascii="Calibri" w:hAnsi="Calibri"/>
                <w:color w:val="232323"/>
                <w:sz w:val="20"/>
              </w:rPr>
              <w:t>Intégrer GAR et numérique comme normes de l’Acte IV ; organiser l’accès des grandes collectivités aux données fiscales et foncières ; sécuriser les cadres PPP et finance climat.</w:t>
            </w:r>
          </w:p>
        </w:tc>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Dispositions Acte IV ; protocole de partage de données ; cadre e-taxe ; mécanisme d’appui à l’ingénierie territoriale.</w:t>
            </w:r>
          </w:p>
        </w:tc>
        <w:tc>
          <w:tcPr>
            <w:tcW w:type="dxa" w:w="1810"/>
            <w:tcMar>
              <w:top w:w="80" w:type="dxa"/>
              <w:start w:w="120" w:type="dxa"/>
              <w:bottom w:w="80" w:type="dxa"/>
              <w:end w:w="120" w:type="dxa"/>
            </w:tcMar>
            <w:vAlign w:val="center"/>
          </w:tcPr>
          <w:p>
            <w:pPr>
              <w:spacing w:after="40" w:line="240" w:lineRule="auto" w:before="0"/>
            </w:pPr>
            <w:r>
              <w:rPr>
                <w:rFonts w:ascii="Calibri" w:hAnsi="Calibri"/>
                <w:color w:val="232323"/>
                <w:sz w:val="20"/>
              </w:rPr>
              <w:t>Textes adoptés ; données partagées ; collectivités pilotes ; projets appuyés ; montants mobilisés pour les collectivités.</w:t>
            </w:r>
          </w:p>
        </w:tc>
      </w:tr>
      <w:tr>
        <w:tc>
          <w:tcPr>
            <w:tcW w:type="dxa" w:w="1050"/>
            <w:tcMar>
              <w:top w:w="80" w:type="dxa"/>
              <w:start w:w="120" w:type="dxa"/>
              <w:bottom w:w="80" w:type="dxa"/>
              <w:end w:w="120" w:type="dxa"/>
            </w:tcMar>
            <w:vAlign w:val="center"/>
          </w:tcPr>
          <w:p>
            <w:pPr>
              <w:spacing w:after="40" w:line="240" w:lineRule="auto" w:before="0"/>
            </w:pPr>
            <w:r>
              <w:rPr>
                <w:rFonts w:ascii="Calibri" w:hAnsi="Calibri"/>
                <w:color w:val="232323"/>
                <w:sz w:val="20"/>
              </w:rPr>
              <w:t>Communes de Dakar</w:t>
            </w:r>
          </w:p>
        </w:tc>
        <w:tc>
          <w:tcPr>
            <w:tcW w:type="dxa" w:w="2150"/>
            <w:tcMar>
              <w:top w:w="80" w:type="dxa"/>
              <w:start w:w="120" w:type="dxa"/>
              <w:bottom w:w="80" w:type="dxa"/>
              <w:end w:w="120" w:type="dxa"/>
            </w:tcMar>
            <w:vAlign w:val="center"/>
          </w:tcPr>
          <w:p>
            <w:pPr>
              <w:spacing w:after="40" w:line="240" w:lineRule="auto" w:before="0"/>
            </w:pPr>
            <w:r>
              <w:rPr>
                <w:rFonts w:ascii="Calibri" w:hAnsi="Calibri"/>
                <w:color w:val="232323"/>
                <w:sz w:val="20"/>
              </w:rPr>
              <w:t>Désigner des points focaux données et fiscalité ; partager les informations d’adressage, marchés, occupations du domaine public et événements de proximité.</w:t>
            </w:r>
          </w:p>
        </w:tc>
        <w:tc>
          <w:tcPr>
            <w:tcW w:type="dxa" w:w="2450"/>
            <w:tcMar>
              <w:top w:w="80" w:type="dxa"/>
              <w:start w:w="120" w:type="dxa"/>
              <w:bottom w:w="80" w:type="dxa"/>
              <w:end w:w="120" w:type="dxa"/>
            </w:tcMar>
            <w:vAlign w:val="center"/>
          </w:tcPr>
          <w:p>
            <w:pPr>
              <w:spacing w:after="40" w:line="240" w:lineRule="auto" w:before="0"/>
            </w:pPr>
            <w:r>
              <w:rPr>
                <w:rFonts w:ascii="Calibri" w:hAnsi="Calibri"/>
                <w:color w:val="232323"/>
                <w:sz w:val="20"/>
              </w:rPr>
              <w:t>Contribuer au cadastre fiscal métropolitain ; aligner les projets de proximité sur les programmes GAR ; appliquer les standards numériques communs.</w:t>
            </w:r>
          </w:p>
        </w:tc>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Référentiels locaux ; données d’assiette consolidées ; conventions Ville-communes ; projets communs priorisés.</w:t>
            </w:r>
          </w:p>
        </w:tc>
        <w:tc>
          <w:tcPr>
            <w:tcW w:type="dxa" w:w="1810"/>
            <w:tcMar>
              <w:top w:w="80" w:type="dxa"/>
              <w:start w:w="120" w:type="dxa"/>
              <w:bottom w:w="80" w:type="dxa"/>
              <w:end w:w="120" w:type="dxa"/>
            </w:tcMar>
            <w:vAlign w:val="center"/>
          </w:tcPr>
          <w:p>
            <w:pPr>
              <w:spacing w:after="40" w:line="240" w:lineRule="auto" w:before="0"/>
            </w:pPr>
            <w:r>
              <w:rPr>
                <w:rFonts w:ascii="Calibri" w:hAnsi="Calibri"/>
                <w:color w:val="232323"/>
                <w:sz w:val="20"/>
              </w:rPr>
              <w:t>Taux de données transmises ; conventions signées ; recettes de proximité suivies ; projets mutualisés.</w:t>
            </w:r>
          </w:p>
        </w:tc>
      </w:tr>
      <w:tr>
        <w:tc>
          <w:tcPr>
            <w:tcW w:type="dxa" w:w="1050"/>
            <w:tcMar>
              <w:top w:w="80" w:type="dxa"/>
              <w:start w:w="120" w:type="dxa"/>
              <w:bottom w:w="80" w:type="dxa"/>
              <w:end w:w="120" w:type="dxa"/>
            </w:tcMar>
            <w:vAlign w:val="center"/>
          </w:tcPr>
          <w:p>
            <w:pPr>
              <w:spacing w:after="40" w:line="240" w:lineRule="auto" w:before="0"/>
            </w:pPr>
            <w:r>
              <w:rPr>
                <w:rFonts w:ascii="Calibri" w:hAnsi="Calibri"/>
                <w:color w:val="232323"/>
                <w:sz w:val="20"/>
              </w:rPr>
              <w:t>APEC</w:t>
            </w:r>
          </w:p>
        </w:tc>
        <w:tc>
          <w:tcPr>
            <w:tcW w:type="dxa" w:w="2150"/>
            <w:tcMar>
              <w:top w:w="80" w:type="dxa"/>
              <w:start w:w="120" w:type="dxa"/>
              <w:bottom w:w="80" w:type="dxa"/>
              <w:end w:w="120" w:type="dxa"/>
            </w:tcMar>
            <w:vAlign w:val="center"/>
          </w:tcPr>
          <w:p>
            <w:pPr>
              <w:spacing w:after="40" w:line="240" w:lineRule="auto" w:before="0"/>
            </w:pPr>
            <w:r>
              <w:rPr>
                <w:rFonts w:ascii="Calibri" w:hAnsi="Calibri"/>
                <w:color w:val="232323"/>
                <w:sz w:val="20"/>
              </w:rPr>
              <w:t>Assurer la capitalisation du rapport ; proposer une matrice de suivi annuelle ; animer des groupes de travail sur GAR, données, fiscalité, projet et climat.</w:t>
            </w:r>
          </w:p>
        </w:tc>
        <w:tc>
          <w:tcPr>
            <w:tcW w:type="dxa" w:w="2450"/>
            <w:tcMar>
              <w:top w:w="80" w:type="dxa"/>
              <w:start w:w="120" w:type="dxa"/>
              <w:bottom w:w="80" w:type="dxa"/>
              <w:end w:w="120" w:type="dxa"/>
            </w:tcMar>
            <w:vAlign w:val="center"/>
          </w:tcPr>
          <w:p>
            <w:pPr>
              <w:spacing w:after="40" w:line="240" w:lineRule="auto" w:before="0"/>
            </w:pPr>
            <w:r>
              <w:rPr>
                <w:rFonts w:ascii="Calibri" w:hAnsi="Calibri"/>
                <w:color w:val="232323"/>
                <w:sz w:val="20"/>
              </w:rPr>
              <w:t>Produire des notes de plaidoyer Acte IV ; organiser une revue annuelle des recommandations ; documenter les bonnes pratiques municipales.</w:t>
            </w:r>
          </w:p>
        </w:tc>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Matrice de suivi ; notes APEC ; ateliers techniques ; rapport annuel de capitalisation.</w:t>
            </w:r>
          </w:p>
        </w:tc>
        <w:tc>
          <w:tcPr>
            <w:tcW w:type="dxa" w:w="1810"/>
            <w:tcMar>
              <w:top w:w="80" w:type="dxa"/>
              <w:start w:w="120" w:type="dxa"/>
              <w:bottom w:w="80" w:type="dxa"/>
              <w:end w:w="120" w:type="dxa"/>
            </w:tcMar>
            <w:vAlign w:val="center"/>
          </w:tcPr>
          <w:p>
            <w:pPr>
              <w:spacing w:after="40" w:line="240" w:lineRule="auto" w:before="0"/>
            </w:pPr>
            <w:r>
              <w:rPr>
                <w:rFonts w:ascii="Calibri" w:hAnsi="Calibri"/>
                <w:color w:val="232323"/>
                <w:sz w:val="20"/>
              </w:rPr>
              <w:t>Nombre de notes produites ; recommandations suivies ; ateliers tenus ; décisions influencées.</w:t>
            </w:r>
          </w:p>
        </w:tc>
      </w:tr>
      <w:tr>
        <w:tc>
          <w:tcPr>
            <w:tcW w:type="dxa" w:w="1050"/>
            <w:tcMar>
              <w:top w:w="80" w:type="dxa"/>
              <w:start w:w="120" w:type="dxa"/>
              <w:bottom w:w="80" w:type="dxa"/>
              <w:end w:w="120" w:type="dxa"/>
            </w:tcMar>
            <w:vAlign w:val="center"/>
          </w:tcPr>
          <w:p>
            <w:pPr>
              <w:spacing w:after="40" w:line="240" w:lineRule="auto" w:before="0"/>
            </w:pPr>
            <w:r>
              <w:rPr>
                <w:rFonts w:ascii="Calibri" w:hAnsi="Calibri"/>
                <w:color w:val="232323"/>
                <w:sz w:val="20"/>
              </w:rPr>
              <w:t>Partenaires techniques et financiers</w:t>
            </w:r>
          </w:p>
        </w:tc>
        <w:tc>
          <w:tcPr>
            <w:tcW w:type="dxa" w:w="2150"/>
            <w:tcMar>
              <w:top w:w="80" w:type="dxa"/>
              <w:start w:w="120" w:type="dxa"/>
              <w:bottom w:w="80" w:type="dxa"/>
              <w:end w:w="120" w:type="dxa"/>
            </w:tcMar>
            <w:vAlign w:val="center"/>
          </w:tcPr>
          <w:p>
            <w:pPr>
              <w:spacing w:after="40" w:line="240" w:lineRule="auto" w:before="0"/>
            </w:pPr>
            <w:r>
              <w:rPr>
                <w:rFonts w:ascii="Calibri" w:hAnsi="Calibri"/>
                <w:color w:val="232323"/>
                <w:sz w:val="20"/>
              </w:rPr>
              <w:t>Financer les études, diagnostics et outils de données ; appuyer la préparation des projets ; accompagner la formation des cadres.</w:t>
            </w:r>
          </w:p>
        </w:tc>
        <w:tc>
          <w:tcPr>
            <w:tcW w:type="dxa" w:w="2450"/>
            <w:tcMar>
              <w:top w:w="80" w:type="dxa"/>
              <w:start w:w="120" w:type="dxa"/>
              <w:bottom w:w="80" w:type="dxa"/>
              <w:end w:w="120" w:type="dxa"/>
            </w:tcMar>
            <w:vAlign w:val="center"/>
          </w:tcPr>
          <w:p>
            <w:pPr>
              <w:spacing w:after="40" w:line="240" w:lineRule="auto" w:before="0"/>
            </w:pPr>
            <w:r>
              <w:rPr>
                <w:rFonts w:ascii="Calibri" w:hAnsi="Calibri"/>
                <w:color w:val="232323"/>
                <w:sz w:val="20"/>
              </w:rPr>
              <w:t>Soutenir le programme GAR-données, l’e-taxe, le SIG, la GAR, les projets climat et les montages PPP ; cofinancer les projets bancables.</w:t>
            </w:r>
          </w:p>
        </w:tc>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Assistance technique ; études de faisabilité ; financements de préparation ; conventions de partenariat.</w:t>
            </w:r>
          </w:p>
        </w:tc>
        <w:tc>
          <w:tcPr>
            <w:tcW w:type="dxa" w:w="1810"/>
            <w:tcMar>
              <w:top w:w="80" w:type="dxa"/>
              <w:start w:w="120" w:type="dxa"/>
              <w:bottom w:w="80" w:type="dxa"/>
              <w:end w:w="120" w:type="dxa"/>
            </w:tcMar>
            <w:vAlign w:val="center"/>
          </w:tcPr>
          <w:p>
            <w:pPr>
              <w:spacing w:after="40" w:line="240" w:lineRule="auto" w:before="0"/>
            </w:pPr>
            <w:r>
              <w:rPr>
                <w:rFonts w:ascii="Calibri" w:hAnsi="Calibri"/>
                <w:color w:val="232323"/>
                <w:sz w:val="20"/>
              </w:rPr>
              <w:t>Montants mobilisés ; études finalisées ; projets soumis ; projets financés ; agents formés.</w:t>
            </w:r>
          </w:p>
        </w:tc>
      </w:tr>
      <w:tr>
        <w:tc>
          <w:tcPr>
            <w:tcW w:type="dxa" w:w="1050"/>
            <w:tcMar>
              <w:top w:w="80" w:type="dxa"/>
              <w:start w:w="120" w:type="dxa"/>
              <w:bottom w:w="80" w:type="dxa"/>
              <w:end w:w="120" w:type="dxa"/>
            </w:tcMar>
            <w:vAlign w:val="center"/>
          </w:tcPr>
          <w:p>
            <w:pPr>
              <w:spacing w:after="40" w:line="240" w:lineRule="auto" w:before="0"/>
            </w:pPr>
            <w:r>
              <w:rPr>
                <w:rFonts w:ascii="Calibri" w:hAnsi="Calibri"/>
                <w:color w:val="232323"/>
                <w:sz w:val="20"/>
              </w:rPr>
              <w:t>Secteur privé</w:t>
            </w:r>
          </w:p>
        </w:tc>
        <w:tc>
          <w:tcPr>
            <w:tcW w:type="dxa" w:w="2150"/>
            <w:tcMar>
              <w:top w:w="80" w:type="dxa"/>
              <w:start w:w="120" w:type="dxa"/>
              <w:bottom w:w="80" w:type="dxa"/>
              <w:end w:w="120" w:type="dxa"/>
            </w:tcMar>
            <w:vAlign w:val="center"/>
          </w:tcPr>
          <w:p>
            <w:pPr>
              <w:spacing w:after="40" w:line="240" w:lineRule="auto" w:before="0"/>
            </w:pPr>
            <w:r>
              <w:rPr>
                <w:rFonts w:ascii="Calibri" w:hAnsi="Calibri"/>
                <w:color w:val="232323"/>
                <w:sz w:val="20"/>
              </w:rPr>
              <w:t>Participer au dialogue public-privé ; exprimer les conditions de bancabilité ; contribuer à l’identification des projets à potentiel économique.</w:t>
            </w:r>
          </w:p>
        </w:tc>
        <w:tc>
          <w:tcPr>
            <w:tcW w:type="dxa" w:w="2450"/>
            <w:tcMar>
              <w:top w:w="80" w:type="dxa"/>
              <w:start w:w="120" w:type="dxa"/>
              <w:bottom w:w="80" w:type="dxa"/>
              <w:end w:w="120" w:type="dxa"/>
            </w:tcMar>
            <w:vAlign w:val="center"/>
          </w:tcPr>
          <w:p>
            <w:pPr>
              <w:spacing w:after="40" w:line="240" w:lineRule="auto" w:before="0"/>
            </w:pPr>
            <w:r>
              <w:rPr>
                <w:rFonts w:ascii="Calibri" w:hAnsi="Calibri"/>
                <w:color w:val="232323"/>
                <w:sz w:val="20"/>
              </w:rPr>
              <w:t>Investir dans les projets PPP équilibrés ; soutenir l’événementiel, les équipements, les services urbains, l’énergie et la valorisation patrimoniale.</w:t>
            </w:r>
          </w:p>
        </w:tc>
        <w:tc>
          <w:tcPr>
            <w:tcW w:type="dxa" w:w="1900"/>
            <w:tcMar>
              <w:top w:w="80" w:type="dxa"/>
              <w:start w:w="120" w:type="dxa"/>
              <w:bottom w:w="80" w:type="dxa"/>
              <w:end w:w="120" w:type="dxa"/>
            </w:tcMar>
            <w:vAlign w:val="center"/>
          </w:tcPr>
          <w:p>
            <w:pPr>
              <w:spacing w:after="40" w:line="240" w:lineRule="auto" w:before="0"/>
            </w:pPr>
            <w:r>
              <w:rPr>
                <w:rFonts w:ascii="Calibri" w:hAnsi="Calibri"/>
                <w:color w:val="232323"/>
                <w:sz w:val="20"/>
              </w:rPr>
              <w:t>Manifestations d’intérêt ; contrats équilibrés ; projets d’investissement ; retombées fiscales et économiques.</w:t>
            </w:r>
          </w:p>
        </w:tc>
        <w:tc>
          <w:tcPr>
            <w:tcW w:type="dxa" w:w="1810"/>
            <w:tcMar>
              <w:top w:w="80" w:type="dxa"/>
              <w:start w:w="120" w:type="dxa"/>
              <w:bottom w:w="80" w:type="dxa"/>
              <w:end w:w="120" w:type="dxa"/>
            </w:tcMar>
            <w:vAlign w:val="center"/>
          </w:tcPr>
          <w:p>
            <w:pPr>
              <w:spacing w:after="40" w:line="240" w:lineRule="auto" w:before="0"/>
            </w:pPr>
            <w:r>
              <w:rPr>
                <w:rFonts w:ascii="Calibri" w:hAnsi="Calibri"/>
                <w:color w:val="232323"/>
                <w:sz w:val="20"/>
              </w:rPr>
              <w:t>Investissements engagés ; redevances ; emplois créés ; qualité de service ; risques maîtrisés.</w:t>
            </w:r>
          </w:p>
        </w:tc>
      </w:tr>
    </w:tbl>
    <w:p>
      <w:pPr>
        <w:pStyle w:val="Heading2"/>
      </w:pPr>
      <w:r>
        <w:t>Matrice thématique de responsabilité</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2100"/>
        <w:gridCol w:w="1800"/>
        <w:gridCol w:w="2750"/>
        <w:gridCol w:w="2710"/>
      </w:tblGrid>
      <w:tr>
        <w:trPr>
          <w:tblHeader w:val="true"/>
        </w:trPr>
        <w:tc>
          <w:tcPr>
            <w:tcW w:type="dxa" w:w="21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Chantier</w:t>
            </w:r>
          </w:p>
        </w:tc>
        <w:tc>
          <w:tcPr>
            <w:tcW w:type="dxa" w:w="18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Chef de file</w:t>
            </w:r>
          </w:p>
        </w:tc>
        <w:tc>
          <w:tcPr>
            <w:tcW w:type="dxa" w:w="275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Contributeurs</w:t>
            </w:r>
          </w:p>
        </w:tc>
        <w:tc>
          <w:tcPr>
            <w:tcW w:type="dxa" w:w="271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Preuve de démarrage</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GAR normalisée</w:t>
            </w:r>
          </w:p>
        </w:tc>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État et Ville</w:t>
            </w:r>
          </w:p>
        </w:tc>
        <w:tc>
          <w:tcPr>
            <w:tcW w:type="dxa" w:w="2750"/>
            <w:tcMar>
              <w:top w:w="80" w:type="dxa"/>
              <w:start w:w="120" w:type="dxa"/>
              <w:bottom w:w="80" w:type="dxa"/>
              <w:end w:w="120" w:type="dxa"/>
            </w:tcMar>
            <w:vAlign w:val="center"/>
          </w:tcPr>
          <w:p>
            <w:pPr>
              <w:spacing w:after="40" w:line="240" w:lineRule="auto" w:before="0"/>
            </w:pPr>
            <w:r>
              <w:rPr>
                <w:rFonts w:ascii="Calibri" w:hAnsi="Calibri"/>
                <w:color w:val="232323"/>
                <w:sz w:val="20"/>
              </w:rPr>
              <w:t>APEC, communes, partenaires</w:t>
            </w:r>
          </w:p>
        </w:tc>
        <w:tc>
          <w:tcPr>
            <w:tcW w:type="dxa" w:w="2710"/>
            <w:tcMar>
              <w:top w:w="80" w:type="dxa"/>
              <w:start w:w="120" w:type="dxa"/>
              <w:bottom w:w="80" w:type="dxa"/>
              <w:end w:w="120" w:type="dxa"/>
            </w:tcMar>
            <w:vAlign w:val="center"/>
          </w:tcPr>
          <w:p>
            <w:pPr>
              <w:spacing w:after="40" w:line="240" w:lineRule="auto" w:before="0"/>
            </w:pPr>
            <w:r>
              <w:rPr>
                <w:rFonts w:ascii="Calibri" w:hAnsi="Calibri"/>
                <w:color w:val="232323"/>
                <w:sz w:val="20"/>
              </w:rPr>
              <w:t>Disposition Acte IV ou décision municipale ; programmes pilotes ; indicateurs validés.</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Programme GAR-données</w:t>
            </w:r>
          </w:p>
        </w:tc>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Ville</w:t>
            </w:r>
          </w:p>
        </w:tc>
        <w:tc>
          <w:tcPr>
            <w:tcW w:type="dxa" w:w="2750"/>
            <w:tcMar>
              <w:top w:w="80" w:type="dxa"/>
              <w:start w:w="120" w:type="dxa"/>
              <w:bottom w:w="80" w:type="dxa"/>
              <w:end w:w="120" w:type="dxa"/>
            </w:tcMar>
            <w:vAlign w:val="center"/>
          </w:tcPr>
          <w:p>
            <w:pPr>
              <w:spacing w:after="40" w:line="240" w:lineRule="auto" w:before="0"/>
            </w:pPr>
            <w:r>
              <w:rPr>
                <w:rFonts w:ascii="Calibri" w:hAnsi="Calibri"/>
                <w:color w:val="232323"/>
                <w:sz w:val="20"/>
              </w:rPr>
              <w:t>État, communes, partenaires</w:t>
            </w:r>
          </w:p>
        </w:tc>
        <w:tc>
          <w:tcPr>
            <w:tcW w:type="dxa" w:w="2710"/>
            <w:tcMar>
              <w:top w:w="80" w:type="dxa"/>
              <w:start w:w="120" w:type="dxa"/>
              <w:bottom w:w="80" w:type="dxa"/>
              <w:end w:w="120" w:type="dxa"/>
            </w:tcMar>
            <w:vAlign w:val="center"/>
          </w:tcPr>
          <w:p>
            <w:pPr>
              <w:spacing w:after="40" w:line="240" w:lineRule="auto" w:before="0"/>
            </w:pPr>
            <w:r>
              <w:rPr>
                <w:rFonts w:ascii="Calibri" w:hAnsi="Calibri"/>
                <w:color w:val="232323"/>
                <w:sz w:val="20"/>
              </w:rPr>
              <w:t>Référentiel de données, data room, gouvernance définie et tableau de bord initial.</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E-taxe et assiette</w:t>
            </w:r>
          </w:p>
        </w:tc>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Ville et État</w:t>
            </w:r>
          </w:p>
        </w:tc>
        <w:tc>
          <w:tcPr>
            <w:tcW w:type="dxa" w:w="2750"/>
            <w:tcMar>
              <w:top w:w="80" w:type="dxa"/>
              <w:start w:w="120" w:type="dxa"/>
              <w:bottom w:w="80" w:type="dxa"/>
              <w:end w:w="120" w:type="dxa"/>
            </w:tcMar>
            <w:vAlign w:val="center"/>
          </w:tcPr>
          <w:p>
            <w:pPr>
              <w:spacing w:after="40" w:line="240" w:lineRule="auto" w:before="0"/>
            </w:pPr>
            <w:r>
              <w:rPr>
                <w:rFonts w:ascii="Calibri" w:hAnsi="Calibri"/>
                <w:color w:val="232323"/>
                <w:sz w:val="20"/>
              </w:rPr>
              <w:t>Communes, DGID, Trésor, prestataires numériques</w:t>
            </w:r>
          </w:p>
        </w:tc>
        <w:tc>
          <w:tcPr>
            <w:tcW w:type="dxa" w:w="2710"/>
            <w:tcMar>
              <w:top w:w="80" w:type="dxa"/>
              <w:start w:w="120" w:type="dxa"/>
              <w:bottom w:w="80" w:type="dxa"/>
              <w:end w:w="120" w:type="dxa"/>
            </w:tcMar>
            <w:vAlign w:val="center"/>
          </w:tcPr>
          <w:p>
            <w:pPr>
              <w:spacing w:after="40" w:line="240" w:lineRule="auto" w:before="0"/>
            </w:pPr>
            <w:r>
              <w:rPr>
                <w:rFonts w:ascii="Calibri" w:hAnsi="Calibri"/>
                <w:color w:val="232323"/>
                <w:sz w:val="20"/>
              </w:rPr>
              <w:t>Cadastre fiscal géolocalisé, compte contribuable et canaux de paiement.</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Fiscalité événementielle</w:t>
            </w:r>
          </w:p>
        </w:tc>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Ville</w:t>
            </w:r>
          </w:p>
        </w:tc>
        <w:tc>
          <w:tcPr>
            <w:tcW w:type="dxa" w:w="2750"/>
            <w:tcMar>
              <w:top w:w="80" w:type="dxa"/>
              <w:start w:w="120" w:type="dxa"/>
              <w:bottom w:w="80" w:type="dxa"/>
              <w:end w:w="120" w:type="dxa"/>
            </w:tcMar>
            <w:vAlign w:val="center"/>
          </w:tcPr>
          <w:p>
            <w:pPr>
              <w:spacing w:after="40" w:line="240" w:lineRule="auto" w:before="0"/>
            </w:pPr>
            <w:r>
              <w:rPr>
                <w:rFonts w:ascii="Calibri" w:hAnsi="Calibri"/>
                <w:color w:val="232323"/>
                <w:sz w:val="20"/>
              </w:rPr>
              <w:t>Communes, secteur privé, organisateurs, services de sécurité et propreté</w:t>
            </w:r>
          </w:p>
        </w:tc>
        <w:tc>
          <w:tcPr>
            <w:tcW w:type="dxa" w:w="2710"/>
            <w:tcMar>
              <w:top w:w="80" w:type="dxa"/>
              <w:start w:w="120" w:type="dxa"/>
              <w:bottom w:w="80" w:type="dxa"/>
              <w:end w:w="120" w:type="dxa"/>
            </w:tcMar>
            <w:vAlign w:val="center"/>
          </w:tcPr>
          <w:p>
            <w:pPr>
              <w:spacing w:after="40" w:line="240" w:lineRule="auto" w:before="0"/>
            </w:pPr>
            <w:r>
              <w:rPr>
                <w:rFonts w:ascii="Calibri" w:hAnsi="Calibri"/>
                <w:color w:val="232323"/>
                <w:sz w:val="20"/>
              </w:rPr>
              <w:t>Barème, procédure numérique, calendrier et traçabilité des paiements.</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Portefeuille de projets</w:t>
            </w:r>
          </w:p>
        </w:tc>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Ville</w:t>
            </w:r>
          </w:p>
        </w:tc>
        <w:tc>
          <w:tcPr>
            <w:tcW w:type="dxa" w:w="2750"/>
            <w:tcMar>
              <w:top w:w="80" w:type="dxa"/>
              <w:start w:w="120" w:type="dxa"/>
              <w:bottom w:w="80" w:type="dxa"/>
              <w:end w:w="120" w:type="dxa"/>
            </w:tcMar>
            <w:vAlign w:val="center"/>
          </w:tcPr>
          <w:p>
            <w:pPr>
              <w:spacing w:after="40" w:line="240" w:lineRule="auto" w:before="0"/>
            </w:pPr>
            <w:r>
              <w:rPr>
                <w:rFonts w:ascii="Calibri" w:hAnsi="Calibri"/>
                <w:color w:val="232323"/>
                <w:sz w:val="20"/>
              </w:rPr>
              <w:t>APEC, partenaires, secteur privé</w:t>
            </w:r>
          </w:p>
        </w:tc>
        <w:tc>
          <w:tcPr>
            <w:tcW w:type="dxa" w:w="2710"/>
            <w:tcMar>
              <w:top w:w="80" w:type="dxa"/>
              <w:start w:w="120" w:type="dxa"/>
              <w:bottom w:w="80" w:type="dxa"/>
              <w:end w:w="120" w:type="dxa"/>
            </w:tcMar>
            <w:vAlign w:val="center"/>
          </w:tcPr>
          <w:p>
            <w:pPr>
              <w:spacing w:after="40" w:line="240" w:lineRule="auto" w:before="0"/>
            </w:pPr>
            <w:r>
              <w:rPr>
                <w:rFonts w:ascii="Calibri" w:hAnsi="Calibri"/>
                <w:color w:val="232323"/>
                <w:sz w:val="20"/>
              </w:rPr>
              <w:t>Liste classée par maturité, fiches projets et data room de financement.</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Programme numérique municipal</w:t>
            </w:r>
          </w:p>
        </w:tc>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Ville</w:t>
            </w:r>
          </w:p>
        </w:tc>
        <w:tc>
          <w:tcPr>
            <w:tcW w:type="dxa" w:w="2750"/>
            <w:tcMar>
              <w:top w:w="80" w:type="dxa"/>
              <w:start w:w="120" w:type="dxa"/>
              <w:bottom w:w="80" w:type="dxa"/>
              <w:end w:w="120" w:type="dxa"/>
            </w:tcMar>
            <w:vAlign w:val="center"/>
          </w:tcPr>
          <w:p>
            <w:pPr>
              <w:spacing w:after="40" w:line="240" w:lineRule="auto" w:before="0"/>
            </w:pPr>
            <w:r>
              <w:rPr>
                <w:rFonts w:ascii="Calibri" w:hAnsi="Calibri"/>
                <w:color w:val="232323"/>
                <w:sz w:val="20"/>
              </w:rPr>
              <w:t>État, communes, partenaires numériques, secteur privé</w:t>
            </w:r>
          </w:p>
        </w:tc>
        <w:tc>
          <w:tcPr>
            <w:tcW w:type="dxa" w:w="2710"/>
            <w:tcMar>
              <w:top w:w="80" w:type="dxa"/>
              <w:start w:w="120" w:type="dxa"/>
              <w:bottom w:w="80" w:type="dxa"/>
              <w:end w:w="120" w:type="dxa"/>
            </w:tcMar>
            <w:vAlign w:val="center"/>
          </w:tcPr>
          <w:p>
            <w:pPr>
              <w:spacing w:after="40" w:line="240" w:lineRule="auto" w:before="0"/>
            </w:pPr>
            <w:r>
              <w:rPr>
                <w:rFonts w:ascii="Calibri" w:hAnsi="Calibri"/>
                <w:color w:val="232323"/>
                <w:sz w:val="20"/>
              </w:rPr>
              <w:t>Feuille de route numérique, services prioritaires, SIG, e-taxe et standards d’interopérabilité.</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Transition écologique-PCET</w:t>
            </w:r>
          </w:p>
        </w:tc>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Ville</w:t>
            </w:r>
          </w:p>
        </w:tc>
        <w:tc>
          <w:tcPr>
            <w:tcW w:type="dxa" w:w="2750"/>
            <w:tcMar>
              <w:top w:w="80" w:type="dxa"/>
              <w:start w:w="120" w:type="dxa"/>
              <w:bottom w:w="80" w:type="dxa"/>
              <w:end w:w="120" w:type="dxa"/>
            </w:tcMar>
            <w:vAlign w:val="center"/>
          </w:tcPr>
          <w:p>
            <w:pPr>
              <w:spacing w:after="40" w:line="240" w:lineRule="auto" w:before="0"/>
            </w:pPr>
            <w:r>
              <w:rPr>
                <w:rFonts w:ascii="Calibri" w:hAnsi="Calibri"/>
                <w:color w:val="232323"/>
                <w:sz w:val="20"/>
              </w:rPr>
              <w:t>État, communes, C40, bailleurs, secteur privé</w:t>
            </w:r>
          </w:p>
        </w:tc>
        <w:tc>
          <w:tcPr>
            <w:tcW w:type="dxa" w:w="2710"/>
            <w:tcMar>
              <w:top w:w="80" w:type="dxa"/>
              <w:start w:w="120" w:type="dxa"/>
              <w:bottom w:w="80" w:type="dxa"/>
              <w:end w:w="120" w:type="dxa"/>
            </w:tcMar>
            <w:vAlign w:val="center"/>
          </w:tcPr>
          <w:p>
            <w:pPr>
              <w:spacing w:after="40" w:line="240" w:lineRule="auto" w:before="0"/>
            </w:pPr>
            <w:r>
              <w:rPr>
                <w:rFonts w:ascii="Calibri" w:hAnsi="Calibri"/>
                <w:color w:val="232323"/>
                <w:sz w:val="20"/>
              </w:rPr>
              <w:t>Pipeline climat, tableau MRV, projets eaux pluviales, littoral, espaces verts, énergie et déchets.</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Numérique Acte IV</w:t>
            </w:r>
          </w:p>
        </w:tc>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État</w:t>
            </w:r>
          </w:p>
        </w:tc>
        <w:tc>
          <w:tcPr>
            <w:tcW w:type="dxa" w:w="2750"/>
            <w:tcMar>
              <w:top w:w="80" w:type="dxa"/>
              <w:start w:w="120" w:type="dxa"/>
              <w:bottom w:w="80" w:type="dxa"/>
              <w:end w:w="120" w:type="dxa"/>
            </w:tcMar>
            <w:vAlign w:val="center"/>
          </w:tcPr>
          <w:p>
            <w:pPr>
              <w:spacing w:after="40" w:line="240" w:lineRule="auto" w:before="0"/>
            </w:pPr>
            <w:r>
              <w:rPr>
                <w:rFonts w:ascii="Calibri" w:hAnsi="Calibri"/>
                <w:color w:val="232323"/>
                <w:sz w:val="20"/>
              </w:rPr>
              <w:t>Ville, communes, agences numériques, partenaires</w:t>
            </w:r>
          </w:p>
        </w:tc>
        <w:tc>
          <w:tcPr>
            <w:tcW w:type="dxa" w:w="2710"/>
            <w:tcMar>
              <w:top w:w="80" w:type="dxa"/>
              <w:start w:w="120" w:type="dxa"/>
              <w:bottom w:w="80" w:type="dxa"/>
              <w:end w:w="120" w:type="dxa"/>
            </w:tcMar>
            <w:vAlign w:val="center"/>
          </w:tcPr>
          <w:p>
            <w:pPr>
              <w:spacing w:after="40" w:line="240" w:lineRule="auto" w:before="0"/>
            </w:pPr>
            <w:r>
              <w:rPr>
                <w:rFonts w:ascii="Calibri" w:hAnsi="Calibri"/>
                <w:color w:val="232323"/>
                <w:sz w:val="20"/>
              </w:rPr>
              <w:t>Standards d’interopérabilité, reporting numérique et obligations minimales.</w:t>
            </w:r>
          </w:p>
        </w:tc>
      </w:tr>
      <w:tr>
        <w:tc>
          <w:tcPr>
            <w:tcW w:type="dxa" w:w="2100"/>
            <w:tcMar>
              <w:top w:w="80" w:type="dxa"/>
              <w:start w:w="120" w:type="dxa"/>
              <w:bottom w:w="80" w:type="dxa"/>
              <w:end w:w="120" w:type="dxa"/>
            </w:tcMar>
            <w:vAlign w:val="center"/>
          </w:tcPr>
          <w:p>
            <w:pPr>
              <w:spacing w:after="40" w:line="240" w:lineRule="auto" w:before="0"/>
            </w:pPr>
            <w:r>
              <w:rPr>
                <w:rFonts w:ascii="Calibri" w:hAnsi="Calibri"/>
                <w:color w:val="232323"/>
                <w:sz w:val="20"/>
              </w:rPr>
              <w:t>Attractivité historique</w:t>
            </w:r>
          </w:p>
        </w:tc>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Ville</w:t>
            </w:r>
          </w:p>
        </w:tc>
        <w:tc>
          <w:tcPr>
            <w:tcW w:type="dxa" w:w="2750"/>
            <w:tcMar>
              <w:top w:w="80" w:type="dxa"/>
              <w:start w:w="120" w:type="dxa"/>
              <w:bottom w:w="80" w:type="dxa"/>
              <w:end w:w="120" w:type="dxa"/>
            </w:tcMar>
            <w:vAlign w:val="center"/>
          </w:tcPr>
          <w:p>
            <w:pPr>
              <w:spacing w:after="40" w:line="240" w:lineRule="auto" w:before="0"/>
            </w:pPr>
            <w:r>
              <w:rPr>
                <w:rFonts w:ascii="Calibri" w:hAnsi="Calibri"/>
                <w:color w:val="232323"/>
                <w:sz w:val="20"/>
              </w:rPr>
              <w:t>Communes, acteurs culturels, tourisme, universités, secteur privé</w:t>
            </w:r>
          </w:p>
        </w:tc>
        <w:tc>
          <w:tcPr>
            <w:tcW w:type="dxa" w:w="2710"/>
            <w:tcMar>
              <w:top w:w="80" w:type="dxa"/>
              <w:start w:w="120" w:type="dxa"/>
              <w:bottom w:w="80" w:type="dxa"/>
              <w:end w:w="120" w:type="dxa"/>
            </w:tcMar>
            <w:vAlign w:val="center"/>
          </w:tcPr>
          <w:p>
            <w:pPr>
              <w:spacing w:after="40" w:line="240" w:lineRule="auto" w:before="0"/>
            </w:pPr>
            <w:r>
              <w:rPr>
                <w:rFonts w:ascii="Calibri" w:hAnsi="Calibri"/>
                <w:color w:val="232323"/>
                <w:sz w:val="20"/>
              </w:rPr>
              <w:t>Récit historique, circuits mémoriels, signalétique et calendrier culturel valorisant l’histoire de Dakar.</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USAGE DE LA MATRICE</w:t>
            </w:r>
          </w:p>
          <w:p>
            <w:pPr>
              <w:spacing w:after="40" w:line="252" w:lineRule="auto"/>
            </w:pPr>
            <w:r>
              <w:rPr>
                <w:sz w:val="20"/>
              </w:rPr>
              <w:t>Cette matrice doit être actualisée tous les trimestres. Chaque action doit avoir un responsable, une date cible, un indicateur, un état d’avancement et une décision attendue.</w:t>
            </w:r>
          </w:p>
        </w:tc>
      </w:tr>
    </w:tbl>
    <w:p>
      <w:pPr>
        <w:pStyle w:val="Heading1"/>
      </w:pPr>
      <w:r>
        <w:t>Matrice consolidée des risques de mise en œuvre</w:t>
      </w:r>
    </w:p>
    <w:p>
      <w:r>
        <w:t>La mise en œuvre des recommandations comporte des risques institutionnels, financiers, politiques, sociaux et techniques. Les anticiper permet d’éviter que le rapport reste un document intellectuel sans traduction administrative. La matrice ci-dessous doit être revue à chaque réunion du comité de pilotage.</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3300"/>
        <w:gridCol w:w="1100"/>
        <w:gridCol w:w="1100"/>
        <w:gridCol w:w="3860"/>
      </w:tblGrid>
      <w:tr>
        <w:trPr>
          <w:tblHeader w:val="true"/>
        </w:trPr>
        <w:tc>
          <w:tcPr>
            <w:tcW w:type="dxa" w:w="33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Risque</w:t>
            </w:r>
          </w:p>
        </w:tc>
        <w:tc>
          <w:tcPr>
            <w:tcW w:type="dxa" w:w="11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Probabilité</w:t>
            </w:r>
          </w:p>
        </w:tc>
        <w:tc>
          <w:tcPr>
            <w:tcW w:type="dxa" w:w="11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Impact</w:t>
            </w:r>
          </w:p>
        </w:tc>
        <w:tc>
          <w:tcPr>
            <w:tcW w:type="dxa" w:w="38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Mesure d’atténuation</w:t>
            </w:r>
          </w:p>
        </w:tc>
      </w:tr>
      <w:tr>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Institutionnel : ambiguïté persistante sur les compétences entre État, Ville, communes, pôles et agences.</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Élevée</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Très élevé</w:t>
            </w:r>
          </w:p>
        </w:tc>
        <w:tc>
          <w:tcPr>
            <w:tcW w:type="dxa" w:w="3860"/>
            <w:tcMar>
              <w:top w:w="80" w:type="dxa"/>
              <w:start w:w="120" w:type="dxa"/>
              <w:bottom w:w="80" w:type="dxa"/>
              <w:end w:w="120" w:type="dxa"/>
            </w:tcMar>
            <w:vAlign w:val="center"/>
          </w:tcPr>
          <w:p>
            <w:pPr>
              <w:spacing w:after="40" w:line="240" w:lineRule="auto" w:before="0"/>
            </w:pPr>
            <w:r>
              <w:rPr>
                <w:rFonts w:ascii="Calibri" w:hAnsi="Calibri"/>
                <w:color w:val="232323"/>
                <w:sz w:val="20"/>
              </w:rPr>
              <w:t>Préparer une note Acte IV fondée sur le Code des CL ; cartographier les compétences ; formaliser les conventions Ville-communes.</w:t>
            </w:r>
          </w:p>
        </w:tc>
      </w:tr>
      <w:tr>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Financier : insuffisance de ressources pour lancer data room, e-taxe, études et portefeuille de projets.</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Moyenne</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Élevé</w:t>
            </w:r>
          </w:p>
        </w:tc>
        <w:tc>
          <w:tcPr>
            <w:tcW w:type="dxa" w:w="3860"/>
            <w:tcMar>
              <w:top w:w="80" w:type="dxa"/>
              <w:start w:w="120" w:type="dxa"/>
              <w:bottom w:w="80" w:type="dxa"/>
              <w:end w:w="120" w:type="dxa"/>
            </w:tcMar>
            <w:vAlign w:val="center"/>
          </w:tcPr>
          <w:p>
            <w:pPr>
              <w:spacing w:after="40" w:line="240" w:lineRule="auto" w:before="0"/>
            </w:pPr>
            <w:r>
              <w:rPr>
                <w:rFonts w:ascii="Calibri" w:hAnsi="Calibri"/>
                <w:color w:val="232323"/>
                <w:sz w:val="20"/>
              </w:rPr>
              <w:t>Distinguer coûts de démarrage et investissements lourds ; mobiliser budget municipal, partenaires, fonds de préparation et coopération.</w:t>
            </w:r>
          </w:p>
        </w:tc>
      </w:tr>
      <w:tr>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Politique : arbitrages retardés ou changement de priorité après diffusion du rapport.</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Moyenne</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Élevé</w:t>
            </w:r>
          </w:p>
        </w:tc>
        <w:tc>
          <w:tcPr>
            <w:tcW w:type="dxa" w:w="3860"/>
            <w:tcMar>
              <w:top w:w="80" w:type="dxa"/>
              <w:start w:w="120" w:type="dxa"/>
              <w:bottom w:w="80" w:type="dxa"/>
              <w:end w:w="120" w:type="dxa"/>
            </w:tcMar>
            <w:vAlign w:val="center"/>
          </w:tcPr>
          <w:p>
            <w:pPr>
              <w:spacing w:after="40" w:line="240" w:lineRule="auto" w:before="0"/>
            </w:pPr>
            <w:r>
              <w:rPr>
                <w:rFonts w:ascii="Calibri" w:hAnsi="Calibri"/>
                <w:color w:val="232323"/>
                <w:sz w:val="20"/>
              </w:rPr>
              <w:t>Faire valider la note de décision ; limiter le paquet initial à huit actions ; organiser une revue trimestrielle.</w:t>
            </w:r>
          </w:p>
        </w:tc>
      </w:tr>
      <w:tr>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Social : défiance citoyenne face à l’élargissement fiscal ou à la fiscalité événementielle.</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Moyenne</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Élevé</w:t>
            </w:r>
          </w:p>
        </w:tc>
        <w:tc>
          <w:tcPr>
            <w:tcW w:type="dxa" w:w="3860"/>
            <w:tcMar>
              <w:top w:w="80" w:type="dxa"/>
              <w:start w:w="120" w:type="dxa"/>
              <w:bottom w:w="80" w:type="dxa"/>
              <w:end w:w="120" w:type="dxa"/>
            </w:tcMar>
            <w:vAlign w:val="center"/>
          </w:tcPr>
          <w:p>
            <w:pPr>
              <w:spacing w:after="40" w:line="240" w:lineRule="auto" w:before="0"/>
            </w:pPr>
            <w:r>
              <w:rPr>
                <w:rFonts w:ascii="Calibri" w:hAnsi="Calibri"/>
                <w:color w:val="232323"/>
                <w:sz w:val="20"/>
              </w:rPr>
              <w:t>Associer pédagogie fiscale, transparence sur l’usage des recettes, services visibles et mécanismes de réclamation.</w:t>
            </w:r>
          </w:p>
        </w:tc>
      </w:tr>
      <w:tr>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Technique : données incomplètes, systèmes non interopérables et faible capacité de maintenance.</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Élevée</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Élevé</w:t>
            </w:r>
          </w:p>
        </w:tc>
        <w:tc>
          <w:tcPr>
            <w:tcW w:type="dxa" w:w="3860"/>
            <w:tcMar>
              <w:top w:w="80" w:type="dxa"/>
              <w:start w:w="120" w:type="dxa"/>
              <w:bottom w:w="80" w:type="dxa"/>
              <w:end w:w="120" w:type="dxa"/>
            </w:tcMar>
            <w:vAlign w:val="center"/>
          </w:tcPr>
          <w:p>
            <w:pPr>
              <w:spacing w:after="40" w:line="240" w:lineRule="auto" w:before="0"/>
            </w:pPr>
            <w:r>
              <w:rPr>
                <w:rFonts w:ascii="Calibri" w:hAnsi="Calibri"/>
                <w:color w:val="232323"/>
                <w:sz w:val="20"/>
              </w:rPr>
              <w:t>Définir une gouvernance des données, des standards d’interopérabilité, des points focaux et un plan de formation.</w:t>
            </w:r>
          </w:p>
        </w:tc>
      </w:tr>
      <w:tr>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Opérationnel : projets non bancables faute d’études, de coûts, de risques et d’indicateurs.</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Élevée</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Très élevé</w:t>
            </w:r>
          </w:p>
        </w:tc>
        <w:tc>
          <w:tcPr>
            <w:tcW w:type="dxa" w:w="3860"/>
            <w:tcMar>
              <w:top w:w="80" w:type="dxa"/>
              <w:start w:w="120" w:type="dxa"/>
              <w:bottom w:w="80" w:type="dxa"/>
              <w:end w:w="120" w:type="dxa"/>
            </w:tcMar>
            <w:vAlign w:val="center"/>
          </w:tcPr>
          <w:p>
            <w:pPr>
              <w:spacing w:after="40" w:line="240" w:lineRule="auto" w:before="0"/>
            </w:pPr>
            <w:r>
              <w:rPr>
                <w:rFonts w:ascii="Calibri" w:hAnsi="Calibri"/>
                <w:color w:val="232323"/>
                <w:sz w:val="20"/>
              </w:rPr>
              <w:t>Appliquer le principe de maturité des projets et financer les études de préparation avant la recherche de financement.</w:t>
            </w:r>
          </w:p>
        </w:tc>
      </w:tr>
      <w:tr>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Partenarial : faible coordination avec l’État, DGID, Trésor, UNAPPP, communes et partenaires.</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Moyenne</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Élevé</w:t>
            </w:r>
          </w:p>
        </w:tc>
        <w:tc>
          <w:tcPr>
            <w:tcW w:type="dxa" w:w="3860"/>
            <w:tcMar>
              <w:top w:w="80" w:type="dxa"/>
              <w:start w:w="120" w:type="dxa"/>
              <w:bottom w:w="80" w:type="dxa"/>
              <w:end w:w="120" w:type="dxa"/>
            </w:tcMar>
            <w:vAlign w:val="center"/>
          </w:tcPr>
          <w:p>
            <w:pPr>
              <w:spacing w:after="40" w:line="240" w:lineRule="auto" w:before="0"/>
            </w:pPr>
            <w:r>
              <w:rPr>
                <w:rFonts w:ascii="Calibri" w:hAnsi="Calibri"/>
                <w:color w:val="232323"/>
                <w:sz w:val="20"/>
              </w:rPr>
              <w:t>Mettre en place un calendrier de réunions techniques et des protocoles de partage de données.</w:t>
            </w:r>
          </w:p>
        </w:tc>
      </w:tr>
      <w:tr>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Climatique : portefeuille vert insuffisamment documenté pour accéder aux fonds climat.</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Moyenne</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Moyen à élevé</w:t>
            </w:r>
          </w:p>
        </w:tc>
        <w:tc>
          <w:tcPr>
            <w:tcW w:type="dxa" w:w="3860"/>
            <w:tcMar>
              <w:top w:w="80" w:type="dxa"/>
              <w:start w:w="120" w:type="dxa"/>
              <w:bottom w:w="80" w:type="dxa"/>
              <w:end w:w="120" w:type="dxa"/>
            </w:tcMar>
            <w:vAlign w:val="center"/>
          </w:tcPr>
          <w:p>
            <w:pPr>
              <w:spacing w:after="40" w:line="240" w:lineRule="auto" w:before="0"/>
            </w:pPr>
            <w:r>
              <w:rPr>
                <w:rFonts w:ascii="Calibri" w:hAnsi="Calibri"/>
                <w:color w:val="232323"/>
                <w:sz w:val="20"/>
              </w:rPr>
              <w:t>Transformer le PCET en projets avec MRV, données de vulnérabilité, coûts, bénéficiaires et impacts.</w:t>
            </w:r>
          </w:p>
        </w:tc>
      </w:tr>
      <w:tr>
        <w:tc>
          <w:tcPr>
            <w:tcW w:type="dxa" w:w="3300"/>
            <w:tcMar>
              <w:top w:w="80" w:type="dxa"/>
              <w:start w:w="120" w:type="dxa"/>
              <w:bottom w:w="80" w:type="dxa"/>
              <w:end w:w="120" w:type="dxa"/>
            </w:tcMar>
            <w:vAlign w:val="center"/>
          </w:tcPr>
          <w:p>
            <w:pPr>
              <w:spacing w:after="40" w:line="240" w:lineRule="auto" w:before="0"/>
            </w:pPr>
            <w:r>
              <w:rPr>
                <w:rFonts w:ascii="Calibri" w:hAnsi="Calibri"/>
                <w:color w:val="232323"/>
                <w:sz w:val="20"/>
              </w:rPr>
              <w:t>Réputationnel : Dakar Brand perçu comme communicationnel si les services urbains ne progressent pas.</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Moyenne</w:t>
            </w:r>
          </w:p>
        </w:tc>
        <w:tc>
          <w:tcPr>
            <w:tcW w:type="dxa" w:w="1100"/>
            <w:tcMar>
              <w:top w:w="80" w:type="dxa"/>
              <w:start w:w="120" w:type="dxa"/>
              <w:bottom w:w="80" w:type="dxa"/>
              <w:end w:w="120" w:type="dxa"/>
            </w:tcMar>
            <w:vAlign w:val="center"/>
          </w:tcPr>
          <w:p>
            <w:pPr>
              <w:spacing w:after="40" w:line="240" w:lineRule="auto" w:before="0"/>
            </w:pPr>
            <w:r>
              <w:rPr>
                <w:rFonts w:ascii="Calibri" w:hAnsi="Calibri"/>
                <w:color w:val="232323"/>
                <w:sz w:val="20"/>
              </w:rPr>
              <w:t>Moyen</w:t>
            </w:r>
          </w:p>
        </w:tc>
        <w:tc>
          <w:tcPr>
            <w:tcW w:type="dxa" w:w="3860"/>
            <w:tcMar>
              <w:top w:w="80" w:type="dxa"/>
              <w:start w:w="120" w:type="dxa"/>
              <w:bottom w:w="80" w:type="dxa"/>
              <w:end w:w="120" w:type="dxa"/>
            </w:tcMar>
            <w:vAlign w:val="center"/>
          </w:tcPr>
          <w:p>
            <w:pPr>
              <w:spacing w:after="40" w:line="240" w:lineRule="auto" w:before="0"/>
            </w:pPr>
            <w:r>
              <w:rPr>
                <w:rFonts w:ascii="Calibri" w:hAnsi="Calibri"/>
                <w:color w:val="232323"/>
                <w:sz w:val="20"/>
              </w:rPr>
              <w:t>Relier attractivité à propreté, mobilité, patrimoine, circuits historiques, sécurité et qualité de l’accueil.</w:t>
            </w:r>
          </w:p>
        </w:tc>
      </w:tr>
    </w:tbl>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POINT D’ATTENTION</w:t>
            </w:r>
          </w:p>
          <w:p>
            <w:pPr>
              <w:spacing w:after="40" w:line="252" w:lineRule="auto"/>
            </w:pPr>
            <w:r>
              <w:rPr>
                <w:sz w:val="20"/>
              </w:rPr>
              <w:t>Le risque le plus critique est le risque d’inexécution : de bonnes recommandations sans responsable, budget de démarrage, calendrier, indicateur et preuve de suivi. C’est pourquoi le rapport insiste désormais sur les matrices SMART et les moyens de vérification.</w:t>
            </w:r>
          </w:p>
        </w:tc>
      </w:tr>
    </w:tbl>
    <w:p>
      <w:pPr>
        <w:pStyle w:val="Heading1"/>
      </w:pPr>
      <w:r>
        <w:t>Feuille de route opérationnelle</w:t>
      </w:r>
    </w:p>
    <w:p>
      <w:r>
        <w:t>La feuille de route proposée distingue trois horizons. Elle ne remplace pas une programmation municipale détaillée ; elle identifie les premières séquences permettant de transformer les recommandations en décisions, puis en actions suivies.</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700"/>
        <w:gridCol w:w="5000"/>
        <w:gridCol w:w="2660"/>
      </w:tblGrid>
      <w:tr>
        <w:trPr>
          <w:tblHeader w:val="true"/>
        </w:trPr>
        <w:tc>
          <w:tcPr>
            <w:tcW w:type="dxa" w:w="17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Horizon</w:t>
            </w:r>
          </w:p>
        </w:tc>
        <w:tc>
          <w:tcPr>
            <w:tcW w:type="dxa" w:w="50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Actions prioritaires</w:t>
            </w:r>
          </w:p>
        </w:tc>
        <w:tc>
          <w:tcPr>
            <w:tcW w:type="dxa" w:w="26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Indicateurs de suivi</w:t>
            </w:r>
          </w:p>
        </w:tc>
      </w:tr>
      <w:tr>
        <w:tc>
          <w:tcPr>
            <w:tcW w:type="dxa" w:w="1700"/>
            <w:tcMar>
              <w:top w:w="80" w:type="dxa"/>
              <w:start w:w="120" w:type="dxa"/>
              <w:bottom w:w="80" w:type="dxa"/>
              <w:end w:w="120" w:type="dxa"/>
            </w:tcMar>
            <w:vAlign w:val="center"/>
          </w:tcPr>
          <w:p>
            <w:pPr>
              <w:spacing w:after="40" w:line="240" w:lineRule="auto" w:before="0"/>
            </w:pPr>
            <w:r>
              <w:rPr>
                <w:rFonts w:ascii="Calibri" w:hAnsi="Calibri"/>
                <w:color w:val="232323"/>
                <w:sz w:val="20"/>
              </w:rPr>
              <w:t>Court terme 0-6 mois</w:t>
            </w:r>
          </w:p>
        </w:tc>
        <w:tc>
          <w:tcPr>
            <w:tcW w:type="dxa" w:w="5000"/>
            <w:tcMar>
              <w:top w:w="80" w:type="dxa"/>
              <w:start w:w="120" w:type="dxa"/>
              <w:bottom w:w="80" w:type="dxa"/>
              <w:end w:w="120" w:type="dxa"/>
            </w:tcMar>
            <w:vAlign w:val="center"/>
          </w:tcPr>
          <w:p>
            <w:pPr>
              <w:spacing w:after="40" w:line="240" w:lineRule="auto" w:before="0"/>
            </w:pPr>
            <w:r>
              <w:rPr>
                <w:rFonts w:ascii="Calibri" w:hAnsi="Calibri"/>
                <w:color w:val="232323"/>
                <w:sz w:val="20"/>
              </w:rPr>
              <w:t>Adopter le rapport ; créer un comité de suivi ; valider la matrice des recommandations ; cadrer le Plan stratégique Dakar 2035-2050 ; lancer la cellule GAR-données-projets ; recenser les projets structurants ; cadrer les réformes fiscales territoriales ; définir les programmes numérique municipal et transition écologique-PCET.</w:t>
            </w:r>
          </w:p>
        </w:tc>
        <w:tc>
          <w:tcPr>
            <w:tcW w:type="dxa" w:w="2660"/>
            <w:tcMar>
              <w:top w:w="80" w:type="dxa"/>
              <w:start w:w="120" w:type="dxa"/>
              <w:bottom w:w="80" w:type="dxa"/>
              <w:end w:w="120" w:type="dxa"/>
            </w:tcMar>
            <w:vAlign w:val="center"/>
          </w:tcPr>
          <w:p>
            <w:pPr>
              <w:spacing w:after="40" w:line="240" w:lineRule="auto" w:before="0"/>
            </w:pPr>
            <w:r>
              <w:rPr>
                <w:rFonts w:ascii="Calibri" w:hAnsi="Calibri"/>
                <w:color w:val="232323"/>
                <w:sz w:val="20"/>
              </w:rPr>
              <w:t>Comité installé ; matrice validée ; feuille de route adoptée ; note Plan stratégique validée ; premiers indicateurs définis ; cadrage fiscal validé ; notes de cadrage numérique et PCET disponibles.</w:t>
            </w:r>
          </w:p>
        </w:tc>
      </w:tr>
      <w:tr>
        <w:tc>
          <w:tcPr>
            <w:tcW w:type="dxa" w:w="1700"/>
            <w:tcMar>
              <w:top w:w="80" w:type="dxa"/>
              <w:start w:w="120" w:type="dxa"/>
              <w:bottom w:w="80" w:type="dxa"/>
              <w:end w:w="120" w:type="dxa"/>
            </w:tcMar>
            <w:vAlign w:val="center"/>
          </w:tcPr>
          <w:p>
            <w:pPr>
              <w:spacing w:after="40" w:line="240" w:lineRule="auto" w:before="0"/>
            </w:pPr>
            <w:r>
              <w:rPr>
                <w:rFonts w:ascii="Calibri" w:hAnsi="Calibri"/>
                <w:color w:val="232323"/>
                <w:sz w:val="20"/>
              </w:rPr>
              <w:t>Moyen terme 6-18 mois</w:t>
            </w:r>
          </w:p>
        </w:tc>
        <w:tc>
          <w:tcPr>
            <w:tcW w:type="dxa" w:w="5000"/>
            <w:tcMar>
              <w:top w:w="80" w:type="dxa"/>
              <w:start w:w="120" w:type="dxa"/>
              <w:bottom w:w="80" w:type="dxa"/>
              <w:end w:w="120" w:type="dxa"/>
            </w:tcMar>
            <w:vAlign w:val="center"/>
          </w:tcPr>
          <w:p>
            <w:pPr>
              <w:spacing w:after="40" w:line="240" w:lineRule="auto" w:before="0"/>
            </w:pPr>
            <w:r>
              <w:rPr>
                <w:rFonts w:ascii="Calibri" w:hAnsi="Calibri"/>
                <w:color w:val="232323"/>
                <w:sz w:val="20"/>
              </w:rPr>
              <w:t>Mettre en place la cellule interdirectionnelle ; produire un premier tableau de bord municipal ; lancer l’audit des ressources fiscales et RH ; préparer trois projets bancables ; engager la stratégie Dakar Brand ; intégrer l’histoire de Dakar dans les circuits d’attractivité ; mettre en place la data room GAR-données et le cadastre fiscal géolocalisé.</w:t>
            </w:r>
          </w:p>
        </w:tc>
        <w:tc>
          <w:tcPr>
            <w:tcW w:type="dxa" w:w="2660"/>
            <w:tcMar>
              <w:top w:w="80" w:type="dxa"/>
              <w:start w:w="120" w:type="dxa"/>
              <w:bottom w:w="80" w:type="dxa"/>
              <w:end w:w="120" w:type="dxa"/>
            </w:tcMar>
            <w:vAlign w:val="center"/>
          </w:tcPr>
          <w:p>
            <w:pPr>
              <w:spacing w:after="40" w:line="240" w:lineRule="auto" w:before="0"/>
            </w:pPr>
            <w:r>
              <w:rPr>
                <w:rFonts w:ascii="Calibri" w:hAnsi="Calibri"/>
                <w:color w:val="232323"/>
                <w:sz w:val="20"/>
              </w:rPr>
              <w:t>Tableau de bord publié ; audit fiscal et RH avancé ; fiches projets finalisées ; stratégie de marque en cours ; récit historique produit ; formations lancées ; data room GAR-données et base fiscale pilotes opérationnelles.</w:t>
            </w:r>
          </w:p>
        </w:tc>
      </w:tr>
      <w:tr>
        <w:tc>
          <w:tcPr>
            <w:tcW w:type="dxa" w:w="1700"/>
            <w:tcMar>
              <w:top w:w="80" w:type="dxa"/>
              <w:start w:w="120" w:type="dxa"/>
              <w:bottom w:w="80" w:type="dxa"/>
              <w:end w:w="120" w:type="dxa"/>
            </w:tcMar>
            <w:vAlign w:val="center"/>
          </w:tcPr>
          <w:p>
            <w:pPr>
              <w:spacing w:after="40" w:line="240" w:lineRule="auto" w:before="0"/>
            </w:pPr>
            <w:r>
              <w:rPr>
                <w:rFonts w:ascii="Calibri" w:hAnsi="Calibri"/>
                <w:color w:val="232323"/>
                <w:sz w:val="20"/>
              </w:rPr>
              <w:t>Long terme 18-36 mois</w:t>
            </w:r>
          </w:p>
        </w:tc>
        <w:tc>
          <w:tcPr>
            <w:tcW w:type="dxa" w:w="5000"/>
            <w:tcMar>
              <w:top w:w="80" w:type="dxa"/>
              <w:start w:w="120" w:type="dxa"/>
              <w:bottom w:w="80" w:type="dxa"/>
              <w:end w:w="120" w:type="dxa"/>
            </w:tcMar>
            <w:vAlign w:val="center"/>
          </w:tcPr>
          <w:p>
            <w:pPr>
              <w:spacing w:after="40" w:line="240" w:lineRule="auto" w:before="0"/>
            </w:pPr>
            <w:r>
              <w:rPr>
                <w:rFonts w:ascii="Calibri" w:hAnsi="Calibri"/>
                <w:color w:val="232323"/>
                <w:sz w:val="20"/>
              </w:rPr>
              <w:t>Généraliser le budget-programme ; publier un rapport annuel de performance ; opérationnaliser les PPP prioritaires ; accéder aux financements climat ; installer l’observatoire de l’attractivité ; faire fonctionner le tableau MRV PCET ; intégrer les normes numériques et GAR dans les pratiques issues de l’Acte IV.</w:t>
            </w:r>
          </w:p>
        </w:tc>
        <w:tc>
          <w:tcPr>
            <w:tcW w:type="dxa" w:w="2660"/>
            <w:tcMar>
              <w:top w:w="80" w:type="dxa"/>
              <w:start w:w="120" w:type="dxa"/>
              <w:bottom w:w="80" w:type="dxa"/>
              <w:end w:w="120" w:type="dxa"/>
            </w:tcMar>
            <w:vAlign w:val="center"/>
          </w:tcPr>
          <w:p>
            <w:pPr>
              <w:spacing w:after="40" w:line="240" w:lineRule="auto" w:before="0"/>
            </w:pPr>
            <w:r>
              <w:rPr>
                <w:rFonts w:ascii="Calibri" w:hAnsi="Calibri"/>
                <w:color w:val="232323"/>
                <w:sz w:val="20"/>
              </w:rPr>
              <w:t>Budget-programme adopté ; rapport de performance publié ; projets PPP en transaction ; financements climat soumis ; observatoire fonctionnel ; tableau MRV PCET renseigné ; normes numériques et GAR appliquées.</w:t>
            </w:r>
          </w:p>
        </w:tc>
      </w:tr>
    </w:tbl>
    <w:p>
      <w:pPr>
        <w:pStyle w:val="Heading2"/>
      </w:pPr>
      <w:r>
        <w:t>Conditions de réussite</w:t>
      </w:r>
    </w:p>
    <w:p>
      <w:pPr>
        <w:pStyle w:val="ListBullet"/>
      </w:pPr>
      <w:r>
        <w:t>Un portage politique clair par l’autorité municipale, le conseil municipal et l’administration municipale.</w:t>
      </w:r>
    </w:p>
    <w:p>
      <w:pPr>
        <w:pStyle w:val="ListBullet"/>
      </w:pPr>
      <w:r>
        <w:t>Une implication effective des communes dans les projets à échelle métropolitaine.</w:t>
      </w:r>
    </w:p>
    <w:p>
      <w:pPr>
        <w:pStyle w:val="ListBullet"/>
      </w:pPr>
      <w:r>
        <w:t>Une coordination continue avec l’État sur le statut, les compétences, la fiscalité et les financements.</w:t>
      </w:r>
    </w:p>
    <w:p>
      <w:pPr>
        <w:pStyle w:val="ListBullet"/>
      </w:pPr>
      <w:r>
        <w:t>Une communication régulière avec les citoyens pour restaurer la confiance et rendre visibles les résultats.</w:t>
      </w:r>
    </w:p>
    <w:p>
      <w:pPr>
        <w:pStyle w:val="ListBullet"/>
      </w:pPr>
      <w:r>
        <w:t>Une montée en compétence rapide des agents sur les outils de planification, de données, de financement et d’évaluation.</w:t>
      </w:r>
    </w:p>
    <w:p>
      <w:pPr>
        <w:pStyle w:val="ListBullet"/>
      </w:pPr>
      <w:r>
        <w:t>Une gouvernance des données acceptée par l’État, la Ville et les communes, afin d’éviter les bases isolées et les pertes d’information.</w:t>
      </w:r>
    </w:p>
    <w:p>
      <w:pPr>
        <w:pStyle w:val="ListBullet"/>
      </w:pPr>
      <w:r>
        <w:t>Un portefeuille de projets classé par maturité, permettant de distinguer les idées, les projets à étudier et les projets réellement bancables.</w:t>
      </w:r>
    </w:p>
    <w:p>
      <w:pPr>
        <w:pStyle w:val="ListBullet"/>
      </w:pPr>
      <w:r>
        <w:t>Deux programmes distincts, numérique municipal et transition écologique-PCET, dotés chacun d’un mandat clair, de référents techniques, d’indicateurs et d’un reporting régulier.</w:t>
      </w:r>
    </w:p>
    <w:p>
      <w:pPr>
        <w:pStyle w:val="Heading2"/>
      </w:pPr>
      <w:r>
        <w:t>Risques à maîtriser</w:t>
      </w:r>
    </w:p>
    <w:p>
      <w:pPr>
        <w:pStyle w:val="ListBullet"/>
      </w:pPr>
      <w:r>
        <w:t>Risque de réforme institutionnelle incomplète ou ambiguë.</w:t>
      </w:r>
    </w:p>
    <w:p>
      <w:pPr>
        <w:pStyle w:val="ListBullet"/>
      </w:pPr>
      <w:r>
        <w:t>Risque de résistance au changement dans les directions et services.</w:t>
      </w:r>
    </w:p>
    <w:p>
      <w:pPr>
        <w:pStyle w:val="ListBullet"/>
      </w:pPr>
      <w:r>
        <w:t>Risque de projets non bancables faute d’études et de données suffisantes.</w:t>
      </w:r>
    </w:p>
    <w:p>
      <w:pPr>
        <w:pStyle w:val="ListBullet"/>
      </w:pPr>
      <w:r>
        <w:t>Risque de dispersion des initiatives si la vision métropolitaine n’est pas formalisée.</w:t>
      </w:r>
    </w:p>
    <w:p>
      <w:pPr>
        <w:pStyle w:val="ListBullet"/>
      </w:pPr>
      <w:r>
        <w:t>Risque de perte de confiance citoyenne si les recommandations ne sont pas suivies d’effets visibles.</w:t>
      </w:r>
    </w:p>
    <w:p>
      <w:pPr>
        <w:pStyle w:val="ListBullet"/>
      </w:pPr>
      <w:r>
        <w:t>Risque de digitalisation superficielle si l’e-taxe, le SIG, le SIRH, la GAR et les projets ne sont pas interopérables.</w:t>
      </w:r>
    </w:p>
    <w:p>
      <w:pPr>
        <w:pStyle w:val="ListBullet"/>
      </w:pPr>
      <w:r>
        <w:t>Risque de confusion si le numérique municipal et la transition écologique-PCET ne sont pas pilotés par des programmes séparés, avec livrables, responsables, indicateurs et financements propres.</w:t>
      </w:r>
    </w:p>
    <w:p>
      <w:pPr>
        <w:pStyle w:val="ListBullet"/>
      </w:pPr>
      <w:r>
        <w:t>Risque d’événementiel peu rentable si les autorisations, redevances, coûts de propreté et retombées économiques ne sont pas suivis.</w:t>
      </w:r>
    </w:p>
    <w:p>
      <w:pPr>
        <w:pStyle w:val="Heading1"/>
      </w:pPr>
      <w:r>
        <w:t>Dispositif de gouvernance et de suivi</w:t>
      </w:r>
    </w:p>
    <w:p>
      <w:r>
        <w:t>La valeur du rapport dépendra moins de sa diffusion que de son usage. Les Journées scientifiques ont produit une matière riche ; le risque serait qu’elle demeure dans un document de capitalisation sans traduction administrative. Le dispositif de suivi proposé vise à installer une chaîne simple : validation politique, pilotage technique, responsabilisation des directions, information des cadres, dialogue avec les partenaires et revue périodique des résultats.</w:t>
      </w:r>
    </w:p>
    <w:p>
      <w:r>
        <w:t>Le suivi doit être léger mais régulier. Un dispositif trop lourd serait difficile à maintenir ; un dispositif trop informel perdrait rapidement sa force. Il est donc recommandé de créer un comité de suivi adossé au Secrétariat général, associant l’APEC, les directions concernées et, selon les sujets, des représentants des communes, de l’État, du secteur privé, des partenaires techniques et du monde académique.</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800"/>
        <w:gridCol w:w="3800"/>
        <w:gridCol w:w="3760"/>
      </w:tblGrid>
      <w:tr>
        <w:trPr>
          <w:tblHeader w:val="true"/>
        </w:trPr>
        <w:tc>
          <w:tcPr>
            <w:tcW w:type="dxa" w:w="18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Instance</w:t>
            </w:r>
          </w:p>
        </w:tc>
        <w:tc>
          <w:tcPr>
            <w:tcW w:type="dxa" w:w="38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Composition indicative</w:t>
            </w:r>
          </w:p>
        </w:tc>
        <w:tc>
          <w:tcPr>
            <w:tcW w:type="dxa" w:w="37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Rôle</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Comité de pilotage</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Autorité municipale ou représentant ; Secrétariat général ; directions stratégiques ; APEC ; partenaires selon l’ordre du jour.</w:t>
            </w:r>
          </w:p>
        </w:tc>
        <w:tc>
          <w:tcPr>
            <w:tcW w:type="dxa" w:w="3760"/>
            <w:tcMar>
              <w:top w:w="80" w:type="dxa"/>
              <w:start w:w="120" w:type="dxa"/>
              <w:bottom w:w="80" w:type="dxa"/>
              <w:end w:w="120" w:type="dxa"/>
            </w:tcMar>
            <w:vAlign w:val="center"/>
          </w:tcPr>
          <w:p>
            <w:pPr>
              <w:spacing w:after="40" w:line="240" w:lineRule="auto" w:before="0"/>
            </w:pPr>
            <w:r>
              <w:rPr>
                <w:rFonts w:ascii="Calibri" w:hAnsi="Calibri"/>
                <w:color w:val="232323"/>
                <w:sz w:val="20"/>
              </w:rPr>
              <w:t>Valider les priorités, arbitrer les blocages, assurer le portage politique et suivre les décisions structurantes.</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Secrétariat technique</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Cellule GAR et grands projets ; représentants des finances, RH, coopération, planification et affaires juridiques.</w:t>
            </w:r>
          </w:p>
        </w:tc>
        <w:tc>
          <w:tcPr>
            <w:tcW w:type="dxa" w:w="3760"/>
            <w:tcMar>
              <w:top w:w="80" w:type="dxa"/>
              <w:start w:w="120" w:type="dxa"/>
              <w:bottom w:w="80" w:type="dxa"/>
              <w:end w:w="120" w:type="dxa"/>
            </w:tcMar>
            <w:vAlign w:val="center"/>
          </w:tcPr>
          <w:p>
            <w:pPr>
              <w:spacing w:after="40" w:line="240" w:lineRule="auto" w:before="0"/>
            </w:pPr>
            <w:r>
              <w:rPr>
                <w:rFonts w:ascii="Calibri" w:hAnsi="Calibri"/>
                <w:color w:val="232323"/>
                <w:sz w:val="20"/>
              </w:rPr>
              <w:t>Mettre à jour la matrice des recommandations, préparer les tableaux de bord et consolider les informations des directions.</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Groupes de travail</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Cadres municipaux, experts, universitaires, représentants des communes et partenaires ciblés.</w:t>
            </w:r>
          </w:p>
        </w:tc>
        <w:tc>
          <w:tcPr>
            <w:tcW w:type="dxa" w:w="3760"/>
            <w:tcMar>
              <w:top w:w="80" w:type="dxa"/>
              <w:start w:w="120" w:type="dxa"/>
              <w:bottom w:w="80" w:type="dxa"/>
              <w:end w:w="120" w:type="dxa"/>
            </w:tcMar>
            <w:vAlign w:val="center"/>
          </w:tcPr>
          <w:p>
            <w:pPr>
              <w:spacing w:after="40" w:line="240" w:lineRule="auto" w:before="0"/>
            </w:pPr>
            <w:r>
              <w:rPr>
                <w:rFonts w:ascii="Calibri" w:hAnsi="Calibri"/>
                <w:color w:val="232323"/>
                <w:sz w:val="20"/>
              </w:rPr>
              <w:t>Approfondir les sujets techniques : statut, fiscalité, PPP, climat, RH, attractivité, données et suivi-évaluation.</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Revue annuelle</w:t>
            </w:r>
          </w:p>
        </w:tc>
        <w:tc>
          <w:tcPr>
            <w:tcW w:type="dxa" w:w="3800"/>
            <w:tcMar>
              <w:top w:w="80" w:type="dxa"/>
              <w:start w:w="120" w:type="dxa"/>
              <w:bottom w:w="80" w:type="dxa"/>
              <w:end w:w="120" w:type="dxa"/>
            </w:tcMar>
            <w:vAlign w:val="center"/>
          </w:tcPr>
          <w:p>
            <w:pPr>
              <w:spacing w:after="40" w:line="240" w:lineRule="auto" w:before="0"/>
            </w:pPr>
            <w:r>
              <w:rPr>
                <w:rFonts w:ascii="Calibri" w:hAnsi="Calibri"/>
                <w:color w:val="232323"/>
                <w:sz w:val="20"/>
              </w:rPr>
              <w:t>Autorités municipales, APEC, directions, communes, partenaires et parties prenantes.</w:t>
            </w:r>
          </w:p>
        </w:tc>
        <w:tc>
          <w:tcPr>
            <w:tcW w:type="dxa" w:w="3760"/>
            <w:tcMar>
              <w:top w:w="80" w:type="dxa"/>
              <w:start w:w="120" w:type="dxa"/>
              <w:bottom w:w="80" w:type="dxa"/>
              <w:end w:w="120" w:type="dxa"/>
            </w:tcMar>
            <w:vAlign w:val="center"/>
          </w:tcPr>
          <w:p>
            <w:pPr>
              <w:spacing w:after="40" w:line="240" w:lineRule="auto" w:before="0"/>
            </w:pPr>
            <w:r>
              <w:rPr>
                <w:rFonts w:ascii="Calibri" w:hAnsi="Calibri"/>
                <w:color w:val="232323"/>
                <w:sz w:val="20"/>
              </w:rPr>
              <w:t>Présenter les progrès, identifier les retards, actualiser la feuille de route et maintenir la mobilisation collective.</w:t>
            </w:r>
          </w:p>
        </w:tc>
      </w:tr>
    </w:tbl>
    <w:p>
      <w:pPr>
        <w:pStyle w:val="Heading2"/>
      </w:pPr>
      <w:r>
        <w:t>Matrice minimale de suivi</w:t>
      </w:r>
    </w:p>
    <w:p>
      <w:r>
        <w:t>Une matrice de suivi efficace doit rester compréhensible. Elle ne doit pas reproduire toute la complexité des débats ; elle doit identifier ce qui doit être fait, par qui, quand et avec quel indicateur. La matrice peut être tenue par le secrétariat technique et présentée à chaque réunion du comité de pilotage.</w:t>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750"/>
        <w:gridCol w:w="4300"/>
        <w:gridCol w:w="3310"/>
      </w:tblGrid>
      <w:tr>
        <w:trPr>
          <w:tblHeader w:val="true"/>
        </w:trPr>
        <w:tc>
          <w:tcPr>
            <w:tcW w:type="dxa" w:w="175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Champ</w:t>
            </w:r>
          </w:p>
        </w:tc>
        <w:tc>
          <w:tcPr>
            <w:tcW w:type="dxa" w:w="43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Question de suivi</w:t>
            </w:r>
          </w:p>
        </w:tc>
        <w:tc>
          <w:tcPr>
            <w:tcW w:type="dxa" w:w="331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Trace attendue</w:t>
            </w:r>
          </w:p>
        </w:tc>
      </w:tr>
      <w:tr>
        <w:tc>
          <w:tcPr>
            <w:tcW w:type="dxa" w:w="1750"/>
            <w:tcMar>
              <w:top w:w="80" w:type="dxa"/>
              <w:start w:w="120" w:type="dxa"/>
              <w:bottom w:w="80" w:type="dxa"/>
              <w:end w:w="120" w:type="dxa"/>
            </w:tcMar>
            <w:vAlign w:val="center"/>
          </w:tcPr>
          <w:p>
            <w:pPr>
              <w:spacing w:after="40" w:line="240" w:lineRule="auto" w:before="0"/>
            </w:pPr>
            <w:r>
              <w:rPr>
                <w:rFonts w:ascii="Calibri" w:hAnsi="Calibri"/>
                <w:color w:val="232323"/>
                <w:sz w:val="20"/>
              </w:rPr>
              <w:t>Décision</w:t>
            </w:r>
          </w:p>
        </w:tc>
        <w:tc>
          <w:tcPr>
            <w:tcW w:type="dxa" w:w="4300"/>
            <w:tcMar>
              <w:top w:w="80" w:type="dxa"/>
              <w:start w:w="120" w:type="dxa"/>
              <w:bottom w:w="80" w:type="dxa"/>
              <w:end w:w="120" w:type="dxa"/>
            </w:tcMar>
            <w:vAlign w:val="center"/>
          </w:tcPr>
          <w:p>
            <w:pPr>
              <w:spacing w:after="40" w:line="240" w:lineRule="auto" w:before="0"/>
            </w:pPr>
            <w:r>
              <w:rPr>
                <w:rFonts w:ascii="Calibri" w:hAnsi="Calibri"/>
                <w:color w:val="232323"/>
                <w:sz w:val="20"/>
              </w:rPr>
              <w:t>La recommandation a-t-elle été validée, rejetée, différée ou reformulée ?</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Relevé de décision et responsable désigné.</w:t>
            </w:r>
          </w:p>
        </w:tc>
      </w:tr>
      <w:tr>
        <w:tc>
          <w:tcPr>
            <w:tcW w:type="dxa" w:w="1750"/>
            <w:tcMar>
              <w:top w:w="80" w:type="dxa"/>
              <w:start w:w="120" w:type="dxa"/>
              <w:bottom w:w="80" w:type="dxa"/>
              <w:end w:w="120" w:type="dxa"/>
            </w:tcMar>
            <w:vAlign w:val="center"/>
          </w:tcPr>
          <w:p>
            <w:pPr>
              <w:spacing w:after="40" w:line="240" w:lineRule="auto" w:before="0"/>
            </w:pPr>
            <w:r>
              <w:rPr>
                <w:rFonts w:ascii="Calibri" w:hAnsi="Calibri"/>
                <w:color w:val="232323"/>
                <w:sz w:val="20"/>
              </w:rPr>
              <w:t>Responsabilité</w:t>
            </w:r>
          </w:p>
        </w:tc>
        <w:tc>
          <w:tcPr>
            <w:tcW w:type="dxa" w:w="4300"/>
            <w:tcMar>
              <w:top w:w="80" w:type="dxa"/>
              <w:start w:w="120" w:type="dxa"/>
              <w:bottom w:w="80" w:type="dxa"/>
              <w:end w:w="120" w:type="dxa"/>
            </w:tcMar>
            <w:vAlign w:val="center"/>
          </w:tcPr>
          <w:p>
            <w:pPr>
              <w:spacing w:after="40" w:line="240" w:lineRule="auto" w:before="0"/>
            </w:pPr>
            <w:r>
              <w:rPr>
                <w:rFonts w:ascii="Calibri" w:hAnsi="Calibri"/>
                <w:color w:val="232323"/>
                <w:sz w:val="20"/>
              </w:rPr>
              <w:t>Quelle direction ou instance porte l’action ?</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Nom du responsable, équipe d’appui et calendrier.</w:t>
            </w:r>
          </w:p>
        </w:tc>
      </w:tr>
      <w:tr>
        <w:tc>
          <w:tcPr>
            <w:tcW w:type="dxa" w:w="1750"/>
            <w:tcMar>
              <w:top w:w="80" w:type="dxa"/>
              <w:start w:w="120" w:type="dxa"/>
              <w:bottom w:w="80" w:type="dxa"/>
              <w:end w:w="120" w:type="dxa"/>
            </w:tcMar>
            <w:vAlign w:val="center"/>
          </w:tcPr>
          <w:p>
            <w:pPr>
              <w:spacing w:after="40" w:line="240" w:lineRule="auto" w:before="0"/>
            </w:pPr>
            <w:r>
              <w:rPr>
                <w:rFonts w:ascii="Calibri" w:hAnsi="Calibri"/>
                <w:color w:val="232323"/>
                <w:sz w:val="20"/>
              </w:rPr>
              <w:t>Ressources</w:t>
            </w:r>
          </w:p>
        </w:tc>
        <w:tc>
          <w:tcPr>
            <w:tcW w:type="dxa" w:w="4300"/>
            <w:tcMar>
              <w:top w:w="80" w:type="dxa"/>
              <w:start w:w="120" w:type="dxa"/>
              <w:bottom w:w="80" w:type="dxa"/>
              <w:end w:w="120" w:type="dxa"/>
            </w:tcMar>
            <w:vAlign w:val="center"/>
          </w:tcPr>
          <w:p>
            <w:pPr>
              <w:spacing w:after="40" w:line="240" w:lineRule="auto" w:before="0"/>
            </w:pPr>
            <w:r>
              <w:rPr>
                <w:rFonts w:ascii="Calibri" w:hAnsi="Calibri"/>
                <w:color w:val="232323"/>
                <w:sz w:val="20"/>
              </w:rPr>
              <w:t>Quels moyens humains, financiers ou techniques sont nécessaires ?</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Budget indicatif, assistance requise et partenaires ciblés.</w:t>
            </w:r>
          </w:p>
        </w:tc>
      </w:tr>
      <w:tr>
        <w:tc>
          <w:tcPr>
            <w:tcW w:type="dxa" w:w="1750"/>
            <w:tcMar>
              <w:top w:w="80" w:type="dxa"/>
              <w:start w:w="120" w:type="dxa"/>
              <w:bottom w:w="80" w:type="dxa"/>
              <w:end w:w="120" w:type="dxa"/>
            </w:tcMar>
            <w:vAlign w:val="center"/>
          </w:tcPr>
          <w:p>
            <w:pPr>
              <w:spacing w:after="40" w:line="240" w:lineRule="auto" w:before="0"/>
            </w:pPr>
            <w:r>
              <w:rPr>
                <w:rFonts w:ascii="Calibri" w:hAnsi="Calibri"/>
                <w:color w:val="232323"/>
                <w:sz w:val="20"/>
              </w:rPr>
              <w:t>Avancement</w:t>
            </w:r>
          </w:p>
        </w:tc>
        <w:tc>
          <w:tcPr>
            <w:tcW w:type="dxa" w:w="4300"/>
            <w:tcMar>
              <w:top w:w="80" w:type="dxa"/>
              <w:start w:w="120" w:type="dxa"/>
              <w:bottom w:w="80" w:type="dxa"/>
              <w:end w:w="120" w:type="dxa"/>
            </w:tcMar>
            <w:vAlign w:val="center"/>
          </w:tcPr>
          <w:p>
            <w:pPr>
              <w:spacing w:after="40" w:line="240" w:lineRule="auto" w:before="0"/>
            </w:pPr>
            <w:r>
              <w:rPr>
                <w:rFonts w:ascii="Calibri" w:hAnsi="Calibri"/>
                <w:color w:val="232323"/>
                <w:sz w:val="20"/>
              </w:rPr>
              <w:t>L’action est-elle lancée, en cours, bloquée ou achevée ?</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Tableau de bord actualisé avec jalons.</w:t>
            </w:r>
          </w:p>
        </w:tc>
      </w:tr>
      <w:tr>
        <w:tc>
          <w:tcPr>
            <w:tcW w:type="dxa" w:w="1750"/>
            <w:tcMar>
              <w:top w:w="80" w:type="dxa"/>
              <w:start w:w="120" w:type="dxa"/>
              <w:bottom w:w="80" w:type="dxa"/>
              <w:end w:w="120" w:type="dxa"/>
            </w:tcMar>
            <w:vAlign w:val="center"/>
          </w:tcPr>
          <w:p>
            <w:pPr>
              <w:spacing w:after="40" w:line="240" w:lineRule="auto" w:before="0"/>
            </w:pPr>
            <w:r>
              <w:rPr>
                <w:rFonts w:ascii="Calibri" w:hAnsi="Calibri"/>
                <w:color w:val="232323"/>
                <w:sz w:val="20"/>
              </w:rPr>
              <w:t>Résultat</w:t>
            </w:r>
          </w:p>
        </w:tc>
        <w:tc>
          <w:tcPr>
            <w:tcW w:type="dxa" w:w="4300"/>
            <w:tcMar>
              <w:top w:w="80" w:type="dxa"/>
              <w:start w:w="120" w:type="dxa"/>
              <w:bottom w:w="80" w:type="dxa"/>
              <w:end w:w="120" w:type="dxa"/>
            </w:tcMar>
            <w:vAlign w:val="center"/>
          </w:tcPr>
          <w:p>
            <w:pPr>
              <w:spacing w:after="40" w:line="240" w:lineRule="auto" w:before="0"/>
            </w:pPr>
            <w:r>
              <w:rPr>
                <w:rFonts w:ascii="Calibri" w:hAnsi="Calibri"/>
                <w:color w:val="232323"/>
                <w:sz w:val="20"/>
              </w:rPr>
              <w:t>Quel changement concret peut être observé ?</w:t>
            </w:r>
          </w:p>
        </w:tc>
        <w:tc>
          <w:tcPr>
            <w:tcW w:type="dxa" w:w="3310"/>
            <w:tcMar>
              <w:top w:w="80" w:type="dxa"/>
              <w:start w:w="120" w:type="dxa"/>
              <w:bottom w:w="80" w:type="dxa"/>
              <w:end w:w="120" w:type="dxa"/>
            </w:tcMar>
            <w:vAlign w:val="center"/>
          </w:tcPr>
          <w:p>
            <w:pPr>
              <w:spacing w:after="40" w:line="240" w:lineRule="auto" w:before="0"/>
            </w:pPr>
            <w:r>
              <w:rPr>
                <w:rFonts w:ascii="Calibri" w:hAnsi="Calibri"/>
                <w:color w:val="232323"/>
                <w:sz w:val="20"/>
              </w:rPr>
              <w:t>Indicateur renseigné, livrable produit ou décision obtenue.</w:t>
            </w:r>
          </w:p>
        </w:tc>
      </w:tr>
    </w:tbl>
    <w:p>
      <w:pPr>
        <w:pStyle w:val="Heading2"/>
      </w:pPr>
      <w:r>
        <w:t>Principe de redevabilité</w:t>
      </w:r>
    </w:p>
    <w:p>
      <w:r>
        <w:t>La redevabilité doit être pensée à plusieurs niveaux. D’abord, une redevabilité interne : chaque direction doit savoir ce qui est attendu d’elle et pouvoir rendre compte des progrès. Ensuite, une redevabilité institutionnelle : le Conseil municipal et le Secrétariat général doivent disposer d’informations consolidées pour arbitrer. Enfin, une redevabilité citoyenne : les résultats majeurs doivent être communiqués de manière claire, accessible et vérifiable.</w:t>
      </w:r>
    </w:p>
    <w:p>
      <w:r>
        <w:t>Cette redevabilité ne doit pas être vécue comme une logique de sanction permanente. Elle doit être présentée comme une culture de progrès : identifier les blocages, comprendre les retards, documenter les réussites, corriger les trajectoires et partager les apprentissages. Dans une administration municipale, la qualité du suivi dépend fortement de la confiance entre les services ; il faut donc construire un langage commun de performance plutôt qu’une compétition entre directions.</w:t>
      </w:r>
    </w:p>
    <w:p>
      <w:pPr>
        <w:pStyle w:val="Heading2"/>
      </w:pPr>
      <w:r>
        <w:t>Indicateurs prioritaires proposés</w:t>
      </w:r>
    </w:p>
    <w:p>
      <w:pPr>
        <w:pStyle w:val="ListBullet"/>
      </w:pPr>
      <w:r>
        <w:t>Statut et gouvernance : nombre de propositions institutionnelles formalisées, réunions de coordination tenues, compétences clarifiées et conventions signées.</w:t>
      </w:r>
    </w:p>
    <w:p>
      <w:pPr>
        <w:pStyle w:val="ListBullet"/>
      </w:pPr>
      <w:r>
        <w:t>GAR : nombre de programmes dotés d’objectifs et d’indicateurs, taux de renseignement du tableau de bord, publication d’un rapport de performance.</w:t>
      </w:r>
    </w:p>
    <w:p>
      <w:pPr>
        <w:pStyle w:val="ListBullet"/>
      </w:pPr>
      <w:r>
        <w:t>Ressources : évolution de l’assiette connue, taux de recouvrement, part des paiements digitaux, rendement des niches fiscales ciblées.</w:t>
      </w:r>
    </w:p>
    <w:p>
      <w:pPr>
        <w:pStyle w:val="ListBullet"/>
      </w:pPr>
      <w:r>
        <w:t>E-taxe : nombre de contribuables géolocalisés, comptes contribuables ouverts, notifications envoyées, paiements numériques et relances suivies.</w:t>
      </w:r>
    </w:p>
    <w:p>
      <w:pPr>
        <w:pStyle w:val="ListBullet"/>
      </w:pPr>
      <w:r>
        <w:t>Financements innovants : nombre de projets bancables préparés, financements soumis, financements obtenus et contrats suivis par indicateurs.</w:t>
      </w:r>
    </w:p>
    <w:p>
      <w:pPr>
        <w:pStyle w:val="ListBullet"/>
      </w:pPr>
      <w:r>
        <w:t>Portefeuille de projets : nombre de projets par niveau de maturité, fiches finalisées, études lancées, projets soumis et projets financés.</w:t>
      </w:r>
    </w:p>
    <w:p>
      <w:pPr>
        <w:pStyle w:val="ListBullet"/>
      </w:pPr>
      <w:r>
        <w:t>Événementiel : événements déclarés, occupations temporaires autorisées, redevances collectées, coûts de propreté et sécurité suivis, retombées économiques estimées.</w:t>
      </w:r>
    </w:p>
    <w:p>
      <w:pPr>
        <w:pStyle w:val="ListBullet"/>
      </w:pPr>
      <w:r>
        <w:t>Numérique : nombre de systèmes interopérables, services municipaux en ligne, délais réduits, données partagées avec l’État et les communes.</w:t>
      </w:r>
    </w:p>
    <w:p>
      <w:pPr>
        <w:pStyle w:val="ListBullet"/>
      </w:pPr>
      <w:r>
        <w:t>Transition écologique : projets climat documentés, espaces verts créés ou réhabilités, zones d’inondation traitées, financements verts obtenus.</w:t>
      </w:r>
    </w:p>
    <w:p>
      <w:pPr>
        <w:pStyle w:val="ListBullet"/>
      </w:pPr>
      <w:r>
        <w:t>Capital humain : taux de réalisation de l’audit RH, agents formés, métiers cartographiés, mobilités internes et satisfaction des agents.</w:t>
      </w:r>
    </w:p>
    <w:p>
      <w:pPr>
        <w:pStyle w:val="ListBullet"/>
      </w:pPr>
      <w:r>
        <w:t>Attractivité : partenariats internationaux actifs, événements accueillis, projets issus des réseaux, fréquentation des sites et indicateurs de perception.</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RÔLE POSSIBLE DE L’APEC</w:t>
            </w:r>
          </w:p>
          <w:p>
            <w:pPr>
              <w:spacing w:after="40" w:line="252" w:lineRule="auto"/>
            </w:pPr>
            <w:r>
              <w:rPr>
                <w:sz w:val="20"/>
              </w:rPr>
              <w:t>L’APEC peut devenir l’un des gardiens de la continuité intellectuelle des recommandations : suivi des engagements, production de notes, mobilisation de l’expertise interne, animation de cercles de réflexion et contribution au rapport annuel de performance.</w:t>
            </w:r>
          </w:p>
        </w:tc>
      </w:tr>
    </w:tbl>
    <w:p>
      <w:pPr>
        <w:pStyle w:val="Heading1"/>
      </w:pPr>
      <w:r>
        <w:t>Conclusion générale</w:t>
      </w:r>
    </w:p>
    <w:p>
      <w:r>
        <w:t>Les Journées scientifiques de contribution de l’APEC ont confirmé que Dakar se trouve à un moment charnière. Les réformes territoriales en cours, les contraintes financières, les exigences citoyennes, la compétition entre métropoles et les défis climatiques imposent une transformation profonde de la gouvernance municipale. Cette transformation ne doit pas être fragmentée ; elle doit être pensée comme une stratégie intégrée.</w:t>
      </w:r>
    </w:p>
    <w:p>
      <w:r>
        <w:t>Le rapport met en évidence des leviers indissociables : un statut clarifié, une GAR normalisée, une gouvernance des données, une autonomie financière renforcée, une ingénierie de portefeuille de projets, un numérique intégré à l’Acte IV, une transition écologique finançable, un capital humain valorisé et un rayonnement international organisé. Le Plan stratégique Dakar 2035-2050 doit servir de cadre d’intégration, tandis que le programme numérique municipal et le programme transition écologique-PCET doivent rester séparés pour conserver des objectifs et des moyens lisibles.</w:t>
      </w:r>
    </w:p>
    <w:p>
      <w:r>
        <w:t>La recommandation centrale est désormais plus ferme : Dakar doit passer d’une logique de ressources dispersées à une logique de performance documentée. Cela suppose de gérer les données comme un actif stratégique dans le programme GAR-données, de généraliser la GAR, d’adopter des réformes fiscales territoriales, de déployer l’e-taxe, d’élargir l’assiette par le foncier, l’événementiel et le patrimoine, de classer les projets par maturité et de financer la transition écologique par des dossiers techniquement crédibles.</w:t>
      </w:r>
    </w:p>
    <w:p>
      <w:r>
        <w:t>Les Journées scientifiques constituent un cadre de capitalisation institutionnelle. Elles consolident des constats, des données, des options de réforme et des recommandations qui doivent désormais être transformés en décisions, puis en projets, puis en résultats mesurables.</w:t>
      </w:r>
    </w:p>
    <w:p>
      <w:r>
        <w:t>Dakar a l’histoire, les ressources humaines, la position, les réseaux et l’énergie nécessaires pour tenir son rang. Le défi est désormais de donner à cette ambition les institutions, les outils et la discipline de mise en œuvre qu’elle mérite.</w:t>
      </w:r>
    </w:p>
    <w:p>
      <w:r>
        <w:t>Dakar dispose aujourd’hui des compétences, des ressources humaines et des opportunités nécessaires pour devenir une métropole africaine de référence. Le principal défi n’est plus d’identifier les solutions, mais de transformer les recommandations en décisions, puis les décisions en résultats mesurables.</w:t>
      </w:r>
    </w:p>
    <w:tbl>
      <w:tblPr>
        <w:tblW w:type="dxa" w:w="9360"/>
        <w:jc w:val="left"/>
        <w:tblLook w:firstColumn="1" w:firstRow="1" w:lastColumn="0" w:lastRow="0" w:noHBand="0" w:noVBand="1" w:val="04A0"/>
        <w:tblInd w:w="120" w:type="dxa"/>
        <w:tblLayout w:type="fixed"/>
        <w:tblBorders>
          <w:top w:val="single" w:sz="4" w:space="0" w:color="D9D9D9"/>
          <w:bottom w:val="single" w:sz="4" w:space="0" w:color="D9D9D9"/>
          <w:right w:val="single" w:sz="4" w:space="0" w:color="D9D9D9"/>
          <w:left w:val="single" w:sz="24" w:space="0" w:color="1F4E79"/>
        </w:tblBorders>
        <w:tblCellMar>
          <w:top w:w="80" w:type="dxa"/>
          <w:left w:w="160" w:type="dxa"/>
          <w:bottom w:w="80" w:type="dxa"/>
          <w:right w:w="160" w:type="dxa"/>
        </w:tblCellMar>
      </w:tblPr>
      <w:tblGrid>
        <w:gridCol w:w="9360"/>
      </w:tblGrid>
      <w:tr>
        <w:tc>
          <w:tcPr>
            <w:tcW w:type="dxa" w:w="9360"/>
            <w:tcMar>
              <w:top w:w="80" w:type="dxa"/>
              <w:start w:w="120" w:type="dxa"/>
              <w:bottom w:w="80" w:type="dxa"/>
              <w:end w:w="120" w:type="dxa"/>
            </w:tcMar>
            <w:vAlign w:val="center"/>
            <w:shd w:fill="F2F6FA" w:val="clear" w:color="auto"/>
          </w:tcPr>
          <w:p>
            <w:pPr>
              <w:spacing w:after="40" w:line="252" w:lineRule="auto"/>
            </w:pPr>
            <w:r>
              <w:rPr>
                <w:rFonts w:ascii="Calibri" w:hAnsi="Calibri"/>
                <w:b/>
                <w:color w:val="1F4E79"/>
                <w:sz w:val="20"/>
              </w:rPr>
              <w:t>CONCLUSION INSTITUTIONNELLE</w:t>
            </w:r>
          </w:p>
          <w:p>
            <w:pPr>
              <w:spacing w:after="40" w:line="252" w:lineRule="auto"/>
            </w:pPr>
            <w:r>
              <w:rPr>
                <w:sz w:val="20"/>
              </w:rPr>
              <w:t>Financer, gouverner et transformer Dakar n’est pas seulement un thème de réflexion : c’est une trajectoire d’action collective pour faire de la capitale une métropole durable, compétitive, inclusive et performante.</w:t>
            </w:r>
          </w:p>
        </w:tc>
      </w:tr>
    </w:tbl>
    <w:p>
      <w:pPr>
        <w:pStyle w:val="Heading1"/>
      </w:pPr>
      <w:r>
        <w:t>Références bibliographiques et documentaires</w:t>
      </w:r>
    </w:p>
    <w:p>
      <w:r>
        <w:t>Les références ci-dessous constituent l’appareil documentaire principal utilisé pour consolider le rapport. Elles regroupent les sources internes des Journées scientifiques, les présentations, les transcriptions, les documents de soutien institutionnels et les référentiels juridiques ou techniques mobilisés dans l’analyse.</w:t>
      </w:r>
      <w:r>
        <w:rPr>
          <w:rStyle w:val="FootnoteReference"/>
        </w:rPr>
        <w:footnoteReference w:id="15"/>
      </w:r>
    </w:p>
    <w:tbl>
      <w:tblPr>
        <w:tblW w:type="dxa" w:w="9360"/>
        <w:jc w:val="left"/>
        <w:tblLook w:firstColumn="1" w:firstRow="1" w:lastColumn="0" w:lastRow="0" w:noHBand="0" w:noVBand="1" w:val="04A0"/>
        <w:tblInd w:w="120" w:type="dxa"/>
        <w:tblLayout w:type="fixed"/>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CellMar>
          <w:top w:w="40" w:type="dxa"/>
          <w:left w:w="100" w:type="dxa"/>
          <w:bottom w:w="40" w:type="dxa"/>
          <w:right w:w="100" w:type="dxa"/>
        </w:tblCellMar>
      </w:tblPr>
      <w:tblGrid>
        <w:gridCol w:w="1800"/>
        <w:gridCol w:w="4360"/>
        <w:gridCol w:w="3200"/>
      </w:tblGrid>
      <w:tr>
        <w:trPr>
          <w:tblHeader w:val="true"/>
        </w:trPr>
        <w:tc>
          <w:tcPr>
            <w:tcW w:type="dxa" w:w="18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Catégorie</w:t>
            </w:r>
          </w:p>
        </w:tc>
        <w:tc>
          <w:tcPr>
            <w:tcW w:type="dxa" w:w="436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Référence documentaire</w:t>
            </w:r>
          </w:p>
        </w:tc>
        <w:tc>
          <w:tcPr>
            <w:tcW w:type="dxa" w:w="3200"/>
            <w:tcMar>
              <w:top w:w="80" w:type="dxa"/>
              <w:start w:w="120" w:type="dxa"/>
              <w:bottom w:w="80" w:type="dxa"/>
              <w:end w:w="120" w:type="dxa"/>
            </w:tcMar>
            <w:vAlign w:val="center"/>
            <w:shd w:fill="1F4E79" w:val="clear" w:color="auto"/>
          </w:tcPr>
          <w:p>
            <w:pPr>
              <w:spacing w:after="40" w:before="0" w:line="240" w:lineRule="auto"/>
            </w:pPr>
            <w:r>
              <w:rPr>
                <w:rFonts w:ascii="Calibri" w:hAnsi="Calibri"/>
                <w:b/>
                <w:color w:val="FFFFFF"/>
                <w:sz w:val="20"/>
              </w:rPr>
              <w:t>Utilisation dans le rapport</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Sources des Journées scientifiques</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Agenda validé des Journées scientifiques de contribution de l’APEC ; pré-rapport ; synthèse des recommandations ; documents préparatoires.</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Définition du périmètre, des panels, des thèmes abordés, des séquences de travail et des recommandations initiales.</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Présentations des panels</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Supports relatifs à l’Acte IV, aux pôles territoriaux, à la GAR, aux ressources locales, aux financements innovants, aux PPP, au capital humain, au rayonnement international et à l’attractivité.</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Base principale de structuration des analyses par panel, des messages clés et des recommandations opérationnelles.</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Transcriptions</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Transcriptions longues des panels et synthèse des cinq vidéos disponibles dans le corpus.</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Vérification des échanges, identification des préoccupations récurrentes, consolidation des points de convergence et enrichissement des risques à maîtriser.</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Budget municipal</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Ville de Dakar, Rapport Budget 2024 ; Budget 2024 VD ; éléments détaillés du budget d’investissement 2024.</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Cadrage des recettes, dépenses, impôts locaux, investissement, dépenses de personnel, potentiel fiscal et priorités budgétaires.</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Planification municipale</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Ville de Dakar, Système de planification de la Ville de Dakar.</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Justification de la cellule horizontale de planification, du tableau de bord, des points focaux et du suivi interdirectionnel.</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Climat et transition écologique</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Ville de Dakar, Plan Climat Énergie Territorial : vision 2050, 7 axes, 22 actions, gouvernance climatique, MRV, finance verte et progiciel de suivi.</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Fondement du programme transition écologique-PCET, du portefeuille climat et des recommandations sur la finance verte.</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Aménagement du territoire</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Plan national d’aménagement et de développement territorial.</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Cadrage du poids national de Dakar, de sa fonction métropolitaine, de la cohérence territoriale et de la maîtrise de l’information territoriale.</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Décentralisation</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Rapport d’évaluation de l’Acte III de la décentralisation.</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Appui aux recommandations sur l’Acte IV, la cohérence territoriale, la fiscalité locale, les compétences, l’emprunt et les PPP territoriaux.</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Collectivités locales</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Loi n° 2013-10 du 28 décembre 2013 portant Code général des Collectivités locales, fichier code_general6119.pdf.</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Fondement juridique sur la libre administration, la création de la ville, la mutualisation des compétences, les finances de la ville, les relations ville-communes, les emprunts et la coopération.</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GAR et performance</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Guide GAR UEMOA 2021 ; fascicule sur la gestion axée sur les résultats ; supports sur le budget-programme, les indicateurs, les PAP, RAP, PTA et contrats de performance.</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Fondement normatif des propositions sur la GAR, le budget-programme, les indicateurs, la redevabilité et les rapports de performance.</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Finances publiques</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Présentation DCP sur la réforme comptable ; directives et référentiels UEMOA relatifs à la transparence, au plan comptable, au reporting et à la comparabilité des données.</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Renforcement des recommandations sur la qualité du reporting, la crédibilité budgétaire et la transparence financière.</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PPP et investissement</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Loi n° 2021-23 du 02 mars 2021 relative aux contrats de partenariat public-privé ; Code des investissements.</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Encadrement des propositions relatives aux PPP, aux offres d’initiative privée, à la maturation des projets et aux instruments de financement.</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Fiscalité et collectivités</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Code général des impôts ; Code général des Collectivités locales ; référentiels relatifs aux collectivités territoriales et aux finances locales.</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Appui à l’analyse de l’assiette fiscale, de l’e-taxe, de la fiscalité foncière, des recettes propres et de la coopération avec la DGID.</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Attractivité et histoire de Dakar</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Présentations et transcriptions relatives au rayonnement international, à Dakar Brand, aux JOJ 2026, au patrimoine, aux réseaux internationaux et aux circuits culturels.</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Intégration de l’histoire de Dakar dans le programme attractivité : récit institutionnel, mémoire urbaine, circuits patrimoniaux et tourisme culturel.</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Benchmark international</w:t>
            </w:r>
          </w:p>
        </w:tc>
        <w:tc>
          <w:tcPr>
            <w:tcW w:type="dxa" w:w="4360"/>
            <w:tcMar>
              <w:top w:w="80" w:type="dxa"/>
              <w:start w:w="120" w:type="dxa"/>
              <w:bottom w:w="80" w:type="dxa"/>
              <w:end w:w="120" w:type="dxa"/>
            </w:tcMar>
            <w:vAlign w:val="center"/>
          </w:tcPr>
          <w:p>
            <w:pPr>
              <w:spacing w:after="40" w:before="0" w:line="240" w:lineRule="auto"/>
            </w:pPr>
            <w:r>
              <w:rPr>
                <w:sz w:val="20"/>
              </w:rPr>
              <w:t>City of Kigali / Imihigo et City Development Strategy 2024-2029 ; Accra Metropolitan Assembly ; South African Government sur les municipalités métropolitaines ; City of Johannesburg / Johannesburg Stock Exchange ; City of Cape Town ; Cairo Governorate Portal ; District Autonome d’Abidjan.</w:t>
            </w:r>
          </w:p>
        </w:tc>
        <w:tc>
          <w:tcPr>
            <w:tcW w:type="dxa" w:w="3200"/>
            <w:tcMar>
              <w:top w:w="80" w:type="dxa"/>
              <w:start w:w="120" w:type="dxa"/>
              <w:bottom w:w="80" w:type="dxa"/>
              <w:end w:w="120" w:type="dxa"/>
            </w:tcMar>
            <w:vAlign w:val="center"/>
          </w:tcPr>
          <w:p>
            <w:pPr>
              <w:spacing w:after="40" w:before="0" w:line="240" w:lineRule="auto"/>
            </w:pPr>
            <w:r>
              <w:rPr>
                <w:sz w:val="20"/>
              </w:rPr>
              <w:t>Comparaison ciblée sur les contrats de performance, départements métropolitains, budget unique, assiette fiscale, emprunt municipal, gouvernorat-capitale, districts spéciaux et coordination des fonctions urbaines.</w:t>
            </w:r>
          </w:p>
        </w:tc>
      </w:tr>
      <w:tr>
        <w:tc>
          <w:tcPr>
            <w:tcW w:type="dxa" w:w="1800"/>
            <w:tcMar>
              <w:top w:w="80" w:type="dxa"/>
              <w:start w:w="120" w:type="dxa"/>
              <w:bottom w:w="80" w:type="dxa"/>
              <w:end w:w="120" w:type="dxa"/>
            </w:tcMar>
            <w:vAlign w:val="center"/>
          </w:tcPr>
          <w:p>
            <w:pPr>
              <w:spacing w:after="40" w:line="240" w:lineRule="auto" w:before="0"/>
            </w:pPr>
            <w:r>
              <w:rPr>
                <w:rFonts w:ascii="Calibri" w:hAnsi="Calibri"/>
                <w:color w:val="232323"/>
                <w:sz w:val="20"/>
              </w:rPr>
              <w:t>Benchmark fiscal territorial</w:t>
            </w:r>
          </w:p>
        </w:tc>
        <w:tc>
          <w:tcPr>
            <w:tcW w:type="dxa" w:w="4360"/>
            <w:tcMar>
              <w:top w:w="80" w:type="dxa"/>
              <w:start w:w="120" w:type="dxa"/>
              <w:bottom w:w="80" w:type="dxa"/>
              <w:end w:w="120" w:type="dxa"/>
            </w:tcMar>
            <w:vAlign w:val="center"/>
          </w:tcPr>
          <w:p>
            <w:pPr>
              <w:spacing w:after="40" w:line="240" w:lineRule="auto" w:before="0"/>
            </w:pPr>
            <w:r>
              <w:rPr>
                <w:rFonts w:ascii="Calibri" w:hAnsi="Calibri"/>
                <w:color w:val="232323"/>
                <w:sz w:val="20"/>
              </w:rPr>
              <w:t>TABLEU VILLE.docx : comparaison Dakar, Abidjan, Kigali, Nairobi, Lagos, Johannesburg, Casablanca, Rabat, Tunis, Le Caire, Port-Louis et Paris.</w:t>
            </w:r>
          </w:p>
        </w:tc>
        <w:tc>
          <w:tcPr>
            <w:tcW w:type="dxa" w:w="3200"/>
            <w:tcMar>
              <w:top w:w="80" w:type="dxa"/>
              <w:start w:w="120" w:type="dxa"/>
              <w:bottom w:w="80" w:type="dxa"/>
              <w:end w:w="120" w:type="dxa"/>
            </w:tcMar>
            <w:vAlign w:val="center"/>
          </w:tcPr>
          <w:p>
            <w:pPr>
              <w:spacing w:after="40" w:line="240" w:lineRule="auto" w:before="0"/>
            </w:pPr>
            <w:r>
              <w:rPr>
                <w:rFonts w:ascii="Calibri" w:hAnsi="Calibri"/>
                <w:color w:val="232323"/>
                <w:sz w:val="20"/>
              </w:rPr>
              <w:t>Appui à la section sur les réformes fiscales territoriales, l’assiette, le recouvrement, la fiscalité foncière, l’accès au marché financier et la digitalisation fiscale.</w:t>
            </w:r>
          </w:p>
        </w:tc>
      </w:tr>
    </w:tbl>
    <w:p>
      <w:pPr>
        <w:pStyle w:val="Heading2"/>
      </w:pPr>
      <w:r>
        <w:t>Notes de bas de page</w:t>
      </w:r>
    </w:p>
    <w:p>
      <w:pPr/>
      <w:r>
        <w:t>Les notes de bas de page distinguent les sources documentaires internes, les transcriptions nettoyées et les références comparatives utilisées pour le benchmark. Les extraits de discussions sont volontairement courts et recoupés avec les supports écrits.</w:t>
      </w:r>
      <w:r>
        <w:rPr>
          <w:rStyle w:val="FootnoteReference"/>
        </w:rPr>
        <w:footnoteReference w:id="19"/>
      </w:r>
    </w:p>
    <w:p>
      <w:r>
        <w:t>Des notes de bas de page ont été ajoutées dans les sections de méthode, de cadrage documentaire, de budget, de transition écologique, de GAR, de fiscalité territoriale et de benchmark. Elles permettent de signaler les familles de sources utilisées sans alourdir le corps du rapport.</w:t>
      </w:r>
    </w:p>
    <w:p>
      <w:pPr>
        <w:pStyle w:val="Heading1"/>
      </w:pPr>
      <w:r>
        <w:t>Annexe – Documents exploités</w:t>
      </w:r>
    </w:p>
    <w:p>
      <w:r>
        <w:t>Cette annexe rappelle les principales familles de documents utilisées pour la préparation du rapport. Les fichiers doublons n’ont pas été retraités séparément. Le fichier TDR JSC APEC 2026.pdf semble être un scan non textuel et n’a pas pu être exploité sans OCR.</w:t>
      </w:r>
    </w:p>
    <w:p>
      <w:pPr>
        <w:pStyle w:val="ListBullet"/>
      </w:pPr>
      <w:r>
        <w:t>Agenda validé des Journées scientifiques de contribution de l’APEC.</w:t>
      </w:r>
    </w:p>
    <w:p>
      <w:pPr>
        <w:pStyle w:val="ListBullet"/>
      </w:pPr>
      <w:r>
        <w:t>Pré-rapport existant et synthèse des recommandations.</w:t>
      </w:r>
    </w:p>
    <w:p>
      <w:pPr>
        <w:pStyle w:val="ListBullet"/>
      </w:pPr>
      <w:r>
        <w:t>Supports des panels : gouvernance et GAR ; mobilisation des ressources ; PPP et financements innovants ; capital humain ; rayonnement international.</w:t>
      </w:r>
    </w:p>
    <w:p>
      <w:pPr>
        <w:pStyle w:val="ListBullet"/>
      </w:pPr>
      <w:r>
        <w:t>Notes d’intervention relatives au capital humain municipal, à la fonction publique locale, à la gouvernance, aux ressources et aux financements.</w:t>
      </w:r>
    </w:p>
    <w:p>
      <w:pPr>
        <w:pStyle w:val="ListBullet"/>
      </w:pPr>
      <w:r>
        <w:t>Transcriptions longues des panels et synthèse des cinq vidéos.</w:t>
      </w:r>
    </w:p>
    <w:p>
      <w:pPr>
        <w:pStyle w:val="ListBullet"/>
      </w:pPr>
      <w:r>
        <w:t>Documents de soutien nouvellement intégrés : Budget 2024 de la Ville de Dakar, détail du budget d’investissement, système de planification municipale, Plan Climat Énergie Territorial, Plan national d’aménagement et de développement territorial, rapport d’évaluation de l’Acte III, guides GAR UEMOA, réforme comptable, loi n° 2021-23 relative aux PPP, Loi n° 2013-10 portant Code général des Collectivités locales (code_general6119.pdf), Code général des impôts, Code des investissements et référentiels relatifs aux collectivités territoriales.</w:t>
      </w:r>
    </w:p>
    <w:p>
      <w:pPr>
        <w:pStyle w:val="ListBullet"/>
      </w:pPr>
      <w:r>
        <w:t>Benchmark fiscal territorial transmis dans TABLEU VILLE.docx.</w:t>
      </w:r>
    </w:p>
    <w:sectPr w:rsidR="00FC693F" w:rsidRPr="0006063C" w:rsidSect="00034616">
      <w:headerReference w:type="default" r:id="rId9"/>
      <w:footerReference w:type="default" r:id="rId10"/>
      <w:headerReference w:type="first" r:id="rId12"/>
      <w:footerReference w:type="first" r:id="rId13"/>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 xml:space="preserve">1</w:t>
    </w:r>
    <w:r>
      <w:rPr>
        <w:color w:val="595959"/>
        <w:sz w:val="18"/>
      </w:rPr>
      <w:fldChar w:fldCharType="end"/>
    </w:r>
    <w:r>
      <w:rPr>
        <w:color w:val="595959"/>
        <w:sz w:val="18"/>
      </w:rPr>
      <w:t xml:space="preserve"> sur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 xml:space="preserve">1</w: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Méthode de synthèse : analyse croisée de l’agenda, des supports de panels, des notes d’intervention, des transcriptions, du pré-rapport, de la synthèse des recommandations et des documents de soutien ajoutés au corpus.</w:t>
      </w:r>
    </w:p>
  </w:footnote>
  <w:footnote w:id="2">
    <w:p>
      <w:pPr>
        <w:pStyle w:val="FootnoteText"/>
      </w:pPr>
      <w:r>
        <w:rPr>
          <w:rStyle w:val="FootnoteReference"/>
        </w:rPr>
        <w:footnoteRef/>
      </w:r>
      <w:r>
        <w:t xml:space="preserve"> La note de décision répond à l’exigence d’opérationnalisation : identifier les décisions immédiates, les réformes nécessitant arbitrage politique, les mesures techniques internes, les actions dépendant de l’État et les actions directement portables par la Ville.</w:t>
      </w:r>
    </w:p>
  </w:footnote>
  <w:footnote w:id="3">
    <w:p>
      <w:pPr>
        <w:pStyle w:val="FootnoteText"/>
      </w:pPr>
      <w:r>
        <w:rPr>
          <w:rStyle w:val="FootnoteReference"/>
        </w:rPr>
        <w:footnoteRef/>
      </w:r>
      <w:r>
        <w:t xml:space="preserve"> Documents de soutien exploités : Budget 2024 de la Ville de Dakar, budget d’investissement, système de planification municipale, PCET, PNADT, rapport d’évaluation de l’Acte III, guides GAR/UEMOA, réforme comptable, loi PPP 2021-23, Code général des Collectivités locales, Code général des impôts et référentiels fiscaux et juridiques.</w:t>
      </w:r>
    </w:p>
  </w:footnote>
  <w:footnote w:id="4">
    <w:p>
      <w:pPr>
        <w:pStyle w:val="FootnoteText"/>
      </w:pPr>
      <w:r>
        <w:rPr>
          <w:rStyle w:val="FootnoteReference"/>
        </w:rPr>
        <w:footnoteRef/>
      </w:r>
      <w:r>
        <w:t xml:space="preserve"> Les transcriptions automatiques ont été utilisées avec prudence : elles servent à confirmer ou enrichir les constats, mais les formulations finales sont recoupées avec les supports écrits, l’agenda et les documents institutionnels.</w:t>
      </w:r>
    </w:p>
  </w:footnote>
  <w:footnote w:id="5">
    <w:p>
      <w:pPr>
        <w:pStyle w:val="FootnoteText"/>
      </w:pPr>
      <w:r>
        <w:rPr>
          <w:rStyle w:val="FootnoteReference"/>
        </w:rPr>
        <w:footnoteRef/>
      </w:r>
      <w:r>
        <w:t xml:space="preserve"> Ville de Dakar, Rapport Budget 2024 et Budget 2024 VD : données budgétaires relatives aux recettes, dépenses, impôts locaux, investissement et dépenses de personnel.</w:t>
      </w:r>
    </w:p>
  </w:footnote>
  <w:footnote w:id="6">
    <w:p>
      <w:pPr>
        <w:pStyle w:val="FootnoteText"/>
      </w:pPr>
      <w:r>
        <w:rPr>
          <w:rStyle w:val="FootnoteReference"/>
        </w:rPr>
        <w:footnoteRef/>
      </w:r>
      <w:r>
        <w:t xml:space="preserve"> Loi n° 2013-10 du 28 décembre 2013 portant Code général des Collectivités locales, fichier code_general6119.pdf fourni dans les documents de soutien. Le fichier code_general6119.pdf est identique au doublon code_general6119 (1).pdf déjà extrait.</w:t>
      </w:r>
    </w:p>
  </w:footnote>
  <w:footnote w:id="7">
    <w:p>
      <w:pPr>
        <w:pStyle w:val="FootnoteText"/>
      </w:pPr>
      <w:r>
        <w:rPr>
          <w:rStyle w:val="FootnoteReference"/>
        </w:rPr>
        <w:footnoteRef/>
      </w:r>
      <w:r>
        <w:t xml:space="preserve"> Plan national d’aménagement et de développement territorial : cadrage national de l’armature territoriale, du poids démographique et économique de Dakar et des enjeux de cohérence territoriale.</w:t>
      </w:r>
    </w:p>
  </w:footnote>
  <w:footnote w:id="8">
    <w:p>
      <w:pPr>
        <w:pStyle w:val="FootnoteText"/>
      </w:pPr>
      <w:r>
        <w:rPr>
          <w:rStyle w:val="FootnoteReference"/>
        </w:rPr>
        <w:footnoteRef/>
      </w:r>
      <w:r>
        <w:t xml:space="preserve"> Ville de Dakar, Plan Climat Énergie Territorial : vision Dakar 2050, axes d’adaptation et d’atténuation, dispositif MRV, gouvernance climatique, progiciel de suivi et finance verte.</w:t>
      </w:r>
    </w:p>
  </w:footnote>
  <w:footnote w:id="9">
    <w:p>
      <w:pPr>
        <w:pStyle w:val="FootnoteText"/>
      </w:pPr>
      <w:r>
        <w:rPr>
          <w:rStyle w:val="FootnoteReference"/>
        </w:rPr>
        <w:footnoteRef/>
      </w:r>
      <w:r>
        <w:t xml:space="preserve"> Guide GAR UEMOA 2021, fascicule sur la gestion axée sur les résultats et présentation DCP sur la réforme comptable : budget-programme, PAP, RAP, PTA, contrats de performance, indicateurs et transparence.</w:t>
      </w:r>
    </w:p>
  </w:footnote>
  <w:footnote w:id="10">
    <w:p>
      <w:pPr>
        <w:pStyle w:val="FootnoteText"/>
      </w:pPr>
      <w:r>
        <w:rPr>
          <w:rStyle w:val="FootnoteReference"/>
        </w:rPr>
        <w:footnoteRef/>
      </w:r>
      <w:r>
        <w:t xml:space="preserve"> Cette recommandation répond au besoin d’éviter la dispersion conceptuelle : le Plan stratégique Dakar 2035-2050 doit servir de cadre d’intégration entre les documents existants, les réformes nationales et les programmes municipaux.</w:t>
      </w:r>
    </w:p>
  </w:footnote>
  <w:footnote w:id="11">
    <w:p>
      <w:pPr>
        <w:pStyle w:val="FootnoteText"/>
      </w:pPr>
      <w:r>
        <w:rPr>
          <w:rStyle w:val="FootnoteReference"/>
        </w:rPr>
        <w:footnoteRef/>
      </w:r>
      <w:r>
        <w:t xml:space="preserve"> Les messages sont reformulés à partir des transcriptions et de la synthèse des vidéos. Les transcriptions automatiques comportant des imperfections, les formulations ont été nettoyées et recoupées avec les supports écrits.</w:t>
      </w:r>
    </w:p>
  </w:footnote>
  <w:footnote w:id="12">
    <w:p>
      <w:pPr>
        <w:pStyle w:val="FootnoteText"/>
      </w:pPr>
      <w:r>
        <w:rPr>
          <w:rStyle w:val="FootnoteReference"/>
        </w:rPr>
        <w:footnoteRef/>
      </w:r>
      <w:r>
        <w:t xml:space="preserve"> Références de benchmark consultées : City of Kigali / Imihigo et City Development Strategy 2024-2029 ; Ville de Casablanca et sociétés de développement local ; Johannesburg Stock Exchange et City of Johannesburg sur les obligations municipales ; Agence urbaine de Rabat-Salé et Rabat Région Patrimoine Historique ; District Autonome d’Abidjan.</w:t>
      </w:r>
    </w:p>
  </w:footnote>
  <w:footnote w:id="13">
    <w:p>
      <w:pPr>
        <w:pStyle w:val="FootnoteText"/>
      </w:pPr>
      <w:r>
        <w:rPr>
          <w:rStyle w:val="FootnoteReference"/>
        </w:rPr>
        <w:footnoteRef/>
      </w:r>
      <w:r>
        <w:t xml:space="preserve"> Ce programme transition écologique-PCET s’appuie notamment sur le PCET de Dakar, le système de planification municipale, les supports sur la GAR, les présentations relatives à l’e-taxe, aux données et aux financements climat.</w:t>
      </w:r>
    </w:p>
  </w:footnote>
  <w:footnote w:id="14">
    <w:p>
      <w:pPr>
        <w:pStyle w:val="FootnoteText"/>
      </w:pPr>
      <w:r>
        <w:rPr>
          <w:rStyle w:val="FootnoteReference"/>
        </w:rPr>
        <w:footnoteRef/>
      </w:r>
      <w:r>
        <w:t xml:space="preserve"> Cette section intègre le tableau comparatif fourni dans TABLEU VILLE.docx : Dakar y apparaît avec une assiette fiscale faible à moyenne, un taux de recouvrement estimatif de 50-70 %, une fiscalité foncière sous-exploitée et un accès très limité aux marchés financiers.</w:t>
      </w:r>
    </w:p>
  </w:footnote>
  <w:footnote w:id="15">
    <w:p>
      <w:pPr>
        <w:pStyle w:val="FootnoteText"/>
      </w:pPr>
      <w:r>
        <w:rPr>
          <w:rStyle w:val="FootnoteReference"/>
        </w:rPr>
        <w:footnoteRef/>
      </w:r>
      <w:r>
        <w:t xml:space="preserve"> Cette bibliographie est structurée comme une bibliographie de travail institutionnel : elle indique les documents exploités et leur usage analytique, y compris lorsque les documents proviennent du corpus interne fourni.</w:t>
      </w:r>
    </w:p>
  </w:footnote>
  <w:footnote w:id="16">
    <w:p>
      <w:pPr>
        <w:pStyle w:val="FootnoteText"/>
      </w:pPr>
      <w:r>
        <w:rPr>
          <w:rStyle w:val="FootnoteReference"/>
        </w:rPr>
        <w:footnoteRef/>
      </w:r>
      <w:r>
        <w:t> Lecture croisée du Code général des Collectivités territoriales, du Rapport d’évaluation de l’Acte III, du PNADT et des supports sur les pôles territoriaux.</w:t>
      </w:r>
    </w:p>
  </w:footnote>
  <w:footnote w:id="17">
    <w:p>
      <w:pPr>
        <w:pStyle w:val="FootnoteText"/>
      </w:pPr>
      <w:r>
        <w:rPr>
          <w:rStyle w:val="FootnoteReference"/>
        </w:rPr>
        <w:footnoteRef/>
      </w:r>
      <w:r>
        <w:t> Transcription des cinq vidéos, utilisée comme matériau de discussion. Les citations intégrées en encadré sont nettoyées pour corriger les hésitations de transcription sans modifier le sens.</w:t>
      </w:r>
    </w:p>
  </w:footnote>
  <w:footnote w:id="18">
    <w:p>
      <w:pPr>
        <w:pStyle w:val="FootnoteText"/>
      </w:pPr>
      <w:r>
        <w:rPr>
          <w:rStyle w:val="FootnoteReference"/>
        </w:rPr>
        <w:footnoteRef/>
      </w:r>
      <w:r>
        <w:t> Les scénarios sont construits à partir du corpus du dossier : Code général des Collectivités territoriales, rapport d’évaluation de l’Acte III, loi PPP 2021-23, Budget 2024, PNADT, PCET et présentations des panels.</w:t>
      </w:r>
    </w:p>
  </w:footnote>
  <w:footnote w:id="19">
    <w:p>
      <w:pPr>
        <w:pStyle w:val="FootnoteText"/>
      </w:pPr>
      <w:r>
        <w:rPr>
          <w:rStyle w:val="FootnoteReference"/>
        </w:rPr>
        <w:footnoteRef/>
      </w:r>
      <w:r>
        <w:t> Les références externes consultées pour sécuriser le benchmark sont signalées dans le tableau des sources : Accra Metropolitan Assembly, South African Government, Cairo Governorate Portal et sources déjà mentionnées pour Kigali, Johannesburg, Le Cap et Abidjan.</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8" w:space="1" w:color="D7DBE2"/>
      </w:pBdr>
      <w:pBdr>
        <w:bottom w:val="single" w:sz="4" w:space="4" w:color="BFBFBF"/>
      </w:pBdr>
    </w:pPr>
    <w:r/>
    <w:r>
      <w:rPr>
        <w:color w:val="595959"/>
        <w:sz w:val="18"/>
      </w:rPr>
      <w:t>Journées scientifiques de contribution de l’APEC – Ville de Dakar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before="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90" w:lineRule="auto"/>
      <w:outlineLvl w:val="0"/>
      <w:pBdr>
        <w:bottom w:val="single" w:sz="8" w:space="4" w:color="2E74B5"/>
      </w:pBdr>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line="290" w:lineRule="auto"/>
      <w:outlineLvl w:val="2"/>
    </w:pPr>
    <w:rPr>
      <w:rFonts w:asciiTheme="majorHAnsi" w:eastAsiaTheme="majorEastAsia" w:hAnsiTheme="majorHAnsi" w:cstheme="majorBidi" w:ascii="Calibri" w:hAnsi="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jc w:val="both"/>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TDM">
    <w:name w:val="Titre TDM"/>
    <w:basedOn w:val="Heading1"/>
    <w:qFormat/>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notes" Target="footnotes.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institutionnel – Journées scientifiques de contribution de l’APEC 2026</dc:title>
  <dc:subject>Financer, gouverner et transformer la Ville de Dakar à l’ère des pôles territoriaux et de l’Acte IV de la décentralisation</dc:subject>
  <dc:creator>APEC – Ville de Dakar</dc:creator>
  <cp:keywords>Dakar; APEC; décentralisation; Acte IV; GAR; finances locales</cp:keywords>
  <dc:description>generated by python-docx</dc:description>
  <cp:lastModifiedBy>APEC – Ville de Dakar</cp:lastModifiedBy>
  <cp:revision>1</cp:revision>
  <dcterms:created xsi:type="dcterms:W3CDTF">2013-12-23T23:15:00Z</dcterms:created>
  <dcterms:modified xsi:type="dcterms:W3CDTF">2013-12-23T23:15:00Z</dcterms:modified>
  <cp:category>Rapport institutionnel</cp:category>
  <dc:language>fr-FR</dc:language>
</cp:coreProperties>
</file>