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0F19" w14:textId="4609389A" w:rsidR="00EF5D16" w:rsidRDefault="00F2035D" w:rsidP="00B24C20">
      <w:pPr>
        <w:tabs>
          <w:tab w:val="left" w:pos="1418"/>
        </w:tabs>
        <w:rPr>
          <w:b/>
          <w:bCs/>
        </w:rPr>
      </w:pPr>
      <w:r>
        <w:rPr>
          <w:b/>
          <w:bCs/>
        </w:rPr>
        <w:t>V</w:t>
      </w:r>
      <w:r w:rsidR="00EF5D16">
        <w:rPr>
          <w:b/>
          <w:bCs/>
        </w:rPr>
        <w:t>ideoconference:</w:t>
      </w:r>
    </w:p>
    <w:p w14:paraId="5C92CD66" w14:textId="3DD50EFD" w:rsidR="00EF5D16" w:rsidRPr="00EF5D16" w:rsidRDefault="00EF5D16">
      <w:pPr>
        <w:rPr>
          <w:sz w:val="20"/>
          <w:szCs w:val="20"/>
        </w:rPr>
      </w:pPr>
      <w:r w:rsidRPr="00EF5D16">
        <w:rPr>
          <w:sz w:val="20"/>
          <w:szCs w:val="20"/>
        </w:rPr>
        <w:t xml:space="preserve">India Virtual Collaboration Team (IVCT) provides Videoconferencing as one of its services. In </w:t>
      </w:r>
      <w:proofErr w:type="gramStart"/>
      <w:r w:rsidRPr="00EF5D16">
        <w:rPr>
          <w:sz w:val="20"/>
          <w:szCs w:val="20"/>
        </w:rPr>
        <w:t>this services</w:t>
      </w:r>
      <w:proofErr w:type="gramEnd"/>
      <w:r w:rsidRPr="00EF5D16">
        <w:rPr>
          <w:sz w:val="20"/>
          <w:szCs w:val="20"/>
        </w:rPr>
        <w:t xml:space="preserve"> we provide end to end services for shared VC room which are supported by ISA. In most of the facilities we have 1 shared VC room which are chargeable.</w:t>
      </w:r>
    </w:p>
    <w:p w14:paraId="7F260D28" w14:textId="2F49E5B7" w:rsidR="00CF189A" w:rsidRDefault="00FA1C39" w:rsidP="00CF189A">
      <w:pPr>
        <w:rPr>
          <w:b/>
          <w:bCs/>
        </w:rPr>
      </w:pPr>
      <w:r>
        <w:rPr>
          <w:b/>
          <w:bCs/>
        </w:rPr>
        <w:t>Booking:</w:t>
      </w:r>
    </w:p>
    <w:p w14:paraId="04D84CEF" w14:textId="77777777" w:rsidR="00CF189A" w:rsidRDefault="00CF189A" w:rsidP="00CF189A">
      <w:pPr>
        <w:rPr>
          <w:sz w:val="20"/>
          <w:szCs w:val="20"/>
        </w:rPr>
      </w:pPr>
      <w:r w:rsidRPr="00CF189A">
        <w:rPr>
          <w:sz w:val="20"/>
          <w:szCs w:val="20"/>
        </w:rPr>
        <w:t xml:space="preserve">For utilizing shared VC rooms organizer needs to book VC room through Outlook using MS Teams. </w:t>
      </w:r>
    </w:p>
    <w:p w14:paraId="3D20B8CA" w14:textId="670A7DEC" w:rsidR="00EF5D16" w:rsidRDefault="00EF5D16">
      <w:pPr>
        <w:rPr>
          <w:b/>
          <w:bCs/>
        </w:rPr>
      </w:pPr>
      <w:r>
        <w:rPr>
          <w:b/>
          <w:bCs/>
        </w:rPr>
        <w:t>Cost:</w:t>
      </w:r>
    </w:p>
    <w:p w14:paraId="372082E4" w14:textId="669E096E" w:rsidR="00EF5D16" w:rsidRDefault="00EF5D16">
      <w:pPr>
        <w:rPr>
          <w:sz w:val="20"/>
          <w:szCs w:val="20"/>
        </w:rPr>
      </w:pPr>
      <w:r w:rsidRPr="00EF5D16">
        <w:rPr>
          <w:sz w:val="20"/>
          <w:szCs w:val="20"/>
        </w:rPr>
        <w:t xml:space="preserve">Shared VC rooms are charged with </w:t>
      </w:r>
      <w:r w:rsidRPr="00EF5D16">
        <w:rPr>
          <w:b/>
          <w:bCs/>
          <w:sz w:val="20"/>
          <w:szCs w:val="20"/>
        </w:rPr>
        <w:t>INR 1700/- Per Hour Per Room.</w:t>
      </w:r>
      <w:r w:rsidRPr="00EF5D16">
        <w:rPr>
          <w:sz w:val="20"/>
          <w:szCs w:val="20"/>
        </w:rPr>
        <w:t xml:space="preserve"> </w:t>
      </w:r>
    </w:p>
    <w:p w14:paraId="57DCA780" w14:textId="0B8104FA" w:rsidR="00FA1C39" w:rsidRDefault="00FA1C39">
      <w:pPr>
        <w:rPr>
          <w:b/>
          <w:bCs/>
        </w:rPr>
      </w:pPr>
      <w:r w:rsidRPr="00FA1C39">
        <w:rPr>
          <w:b/>
          <w:bCs/>
        </w:rPr>
        <w:t>Policy:</w:t>
      </w:r>
    </w:p>
    <w:p w14:paraId="3C664E4E" w14:textId="1C0B9561" w:rsidR="00640289" w:rsidRDefault="00640289">
      <w:pPr>
        <w:rPr>
          <w:sz w:val="20"/>
          <w:szCs w:val="20"/>
        </w:rPr>
      </w:pPr>
      <w:r>
        <w:rPr>
          <w:sz w:val="20"/>
          <w:szCs w:val="20"/>
        </w:rPr>
        <w:t xml:space="preserve">Scheduler needs to cancel/modify booking invite used at the time of booking needs to cancel original invite from his/her calendar 24 hours prior to start of VC meeting to avoid charges. </w:t>
      </w:r>
    </w:p>
    <w:p w14:paraId="3C351D99" w14:textId="77777777" w:rsidR="00640289" w:rsidRDefault="00640289">
      <w:pPr>
        <w:rPr>
          <w:sz w:val="20"/>
          <w:szCs w:val="20"/>
        </w:rPr>
      </w:pPr>
    </w:p>
    <w:p w14:paraId="12CF42AF" w14:textId="26D583D8" w:rsidR="00FA1C39" w:rsidRDefault="00D96FF4">
      <w:pPr>
        <w:rPr>
          <w:b/>
          <w:bCs/>
        </w:rPr>
      </w:pPr>
      <w:r>
        <w:rPr>
          <w:b/>
          <w:bCs/>
        </w:rPr>
        <w:t>Offsite Videoconference Event:</w:t>
      </w:r>
    </w:p>
    <w:p w14:paraId="682FC710" w14:textId="2644C4CB" w:rsidR="00D96FF4" w:rsidRDefault="00D96FF4">
      <w:pPr>
        <w:rPr>
          <w:b/>
          <w:bCs/>
        </w:rPr>
      </w:pPr>
      <w:r>
        <w:rPr>
          <w:b/>
          <w:bCs/>
        </w:rPr>
        <w:t xml:space="preserve">IVCT also provides offsite VC devices by configuring our Mobile VC Kit in any Hotels, Resorts etc with our Accenture offices. </w:t>
      </w:r>
    </w:p>
    <w:p w14:paraId="373E7431" w14:textId="7D6FEFFE" w:rsidR="00D96FF4" w:rsidRDefault="00D96FF4">
      <w:pPr>
        <w:rPr>
          <w:b/>
          <w:bCs/>
        </w:rPr>
      </w:pPr>
      <w:r>
        <w:rPr>
          <w:b/>
          <w:bCs/>
        </w:rPr>
        <w:t>Cost:</w:t>
      </w:r>
    </w:p>
    <w:tbl>
      <w:tblPr>
        <w:tblW w:w="8017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6"/>
        <w:gridCol w:w="3501"/>
      </w:tblGrid>
      <w:tr w:rsidR="00D96FF4" w14:paraId="2D285C8B" w14:textId="77777777" w:rsidTr="00ED0C86">
        <w:trPr>
          <w:trHeight w:val="233"/>
        </w:trPr>
        <w:tc>
          <w:tcPr>
            <w:tcW w:w="4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6F230" w14:textId="77777777" w:rsidR="00D96FF4" w:rsidRDefault="00D96FF4" w:rsidP="00ED0C86">
            <w:pPr>
              <w:pStyle w:val="xxxmsonormal"/>
              <w:jc w:val="center"/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3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5F1C1" w14:textId="77777777" w:rsidR="00D96FF4" w:rsidRDefault="00D96FF4" w:rsidP="00ED0C86">
            <w:pPr>
              <w:pStyle w:val="xxxmsonormal"/>
              <w:jc w:val="center"/>
            </w:pPr>
            <w:r>
              <w:rPr>
                <w:b/>
                <w:bCs/>
                <w:color w:val="FFFFFF"/>
              </w:rPr>
              <w:t>Charges</w:t>
            </w:r>
          </w:p>
        </w:tc>
      </w:tr>
      <w:tr w:rsidR="00D96FF4" w14:paraId="2E099453" w14:textId="77777777" w:rsidTr="00ED0C86">
        <w:trPr>
          <w:trHeight w:val="428"/>
        </w:trPr>
        <w:tc>
          <w:tcPr>
            <w:tcW w:w="45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31BC3" w14:textId="6CAA55AB" w:rsidR="00D96FF4" w:rsidRPr="00970CBD" w:rsidRDefault="00D96FF4" w:rsidP="00ED0C86">
            <w:pPr>
              <w:pStyle w:val="xxxmsonorma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Mobile </w:t>
            </w:r>
            <w:r w:rsidR="0006269D">
              <w:rPr>
                <w:color w:val="000000"/>
                <w:sz w:val="20"/>
                <w:szCs w:val="20"/>
              </w:rPr>
              <w:t>Webcast</w:t>
            </w:r>
            <w:r>
              <w:rPr>
                <w:color w:val="000000"/>
                <w:sz w:val="20"/>
                <w:szCs w:val="20"/>
              </w:rPr>
              <w:t xml:space="preserve"> Kit</w:t>
            </w:r>
            <w:r w:rsidRPr="00970CBD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CC475" w14:textId="4E37BC1E" w:rsidR="00D96FF4" w:rsidRPr="00970CBD" w:rsidRDefault="00D96FF4" w:rsidP="00ED0C86">
            <w:pPr>
              <w:pStyle w:val="xxxmsonormal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70CBD">
              <w:rPr>
                <w:b/>
                <w:bCs/>
                <w:color w:val="000000"/>
                <w:sz w:val="20"/>
                <w:szCs w:val="20"/>
              </w:rPr>
              <w:t>$</w:t>
            </w:r>
            <w:r>
              <w:rPr>
                <w:b/>
                <w:bCs/>
                <w:color w:val="000000"/>
                <w:sz w:val="20"/>
                <w:szCs w:val="20"/>
              </w:rPr>
              <w:t>76</w:t>
            </w:r>
          </w:p>
        </w:tc>
      </w:tr>
      <w:tr w:rsidR="00D96FF4" w14:paraId="5362BF1D" w14:textId="77777777" w:rsidTr="00ED0C86">
        <w:trPr>
          <w:trHeight w:val="428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BEE99" w14:textId="5E882935" w:rsidR="00D96FF4" w:rsidRPr="00970CBD" w:rsidRDefault="00D96FF4" w:rsidP="00ED0C86">
            <w:pPr>
              <w:pStyle w:val="xxxms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Engineer &amp; </w:t>
            </w:r>
            <w:proofErr w:type="gramStart"/>
            <w:r>
              <w:rPr>
                <w:color w:val="000000"/>
                <w:sz w:val="20"/>
                <w:szCs w:val="20"/>
              </w:rPr>
              <w:t>Travelling</w:t>
            </w:r>
            <w:proofErr w:type="gramEnd"/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D3122" w14:textId="38883868" w:rsidR="00D96FF4" w:rsidRPr="00970CBD" w:rsidRDefault="00D96FF4" w:rsidP="00ED0C86">
            <w:pPr>
              <w:pStyle w:val="xxxmsonormal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bCs/>
                <w:color w:val="000000"/>
                <w:sz w:val="20"/>
                <w:szCs w:val="20"/>
              </w:rPr>
              <w:t>Man</w:t>
            </w:r>
            <w:proofErr w:type="gramEnd"/>
            <w:r>
              <w:rPr>
                <w:b/>
                <w:bCs/>
                <w:color w:val="000000"/>
                <w:sz w:val="20"/>
                <w:szCs w:val="20"/>
              </w:rPr>
              <w:t xml:space="preserve"> Hours in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MyTe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&amp; Actuals Travel Cost</w:t>
            </w:r>
          </w:p>
        </w:tc>
      </w:tr>
    </w:tbl>
    <w:p w14:paraId="4A56DBE8" w14:textId="56F173B3" w:rsidR="00D96FF4" w:rsidRDefault="00D96FF4">
      <w:pPr>
        <w:rPr>
          <w:b/>
          <w:bCs/>
        </w:rPr>
      </w:pPr>
    </w:p>
    <w:p w14:paraId="053AB041" w14:textId="347A1BEC" w:rsidR="0006269D" w:rsidRPr="00574C9E" w:rsidRDefault="0006269D" w:rsidP="00693880">
      <w:pPr>
        <w:rPr>
          <w:b/>
          <w:bCs/>
          <w:sz w:val="20"/>
          <w:szCs w:val="20"/>
        </w:rPr>
      </w:pPr>
      <w:r w:rsidRPr="00574C9E">
        <w:rPr>
          <w:b/>
          <w:bCs/>
          <w:sz w:val="20"/>
          <w:szCs w:val="20"/>
        </w:rPr>
        <w:t>Mobile Teams Kit:</w:t>
      </w:r>
    </w:p>
    <w:p w14:paraId="7D62A25E" w14:textId="77777777" w:rsidR="0006269D" w:rsidRPr="0006269D" w:rsidRDefault="0006269D" w:rsidP="0006269D">
      <w:pPr>
        <w:spacing w:after="0" w:line="240" w:lineRule="auto"/>
        <w:rPr>
          <w:sz w:val="20"/>
          <w:szCs w:val="20"/>
        </w:rPr>
      </w:pPr>
    </w:p>
    <w:tbl>
      <w:tblPr>
        <w:tblW w:w="8017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6"/>
        <w:gridCol w:w="3501"/>
      </w:tblGrid>
      <w:tr w:rsidR="0006269D" w14:paraId="2CDA5332" w14:textId="77777777" w:rsidTr="00ED0C86">
        <w:trPr>
          <w:trHeight w:val="233"/>
        </w:trPr>
        <w:tc>
          <w:tcPr>
            <w:tcW w:w="4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67F9D" w14:textId="77777777" w:rsidR="0006269D" w:rsidRDefault="0006269D" w:rsidP="00ED0C86">
            <w:pPr>
              <w:pStyle w:val="xxxmsonormal"/>
              <w:jc w:val="center"/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3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87D8" w14:textId="77777777" w:rsidR="0006269D" w:rsidRDefault="0006269D" w:rsidP="00ED0C86">
            <w:pPr>
              <w:pStyle w:val="xxxmsonormal"/>
              <w:jc w:val="center"/>
            </w:pPr>
            <w:r>
              <w:rPr>
                <w:b/>
                <w:bCs/>
                <w:color w:val="FFFFFF"/>
              </w:rPr>
              <w:t>Charges</w:t>
            </w:r>
          </w:p>
        </w:tc>
      </w:tr>
      <w:tr w:rsidR="0006269D" w14:paraId="129C1906" w14:textId="77777777" w:rsidTr="00ED0C86">
        <w:trPr>
          <w:trHeight w:val="428"/>
        </w:trPr>
        <w:tc>
          <w:tcPr>
            <w:tcW w:w="45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66407" w14:textId="31425D18" w:rsidR="0006269D" w:rsidRPr="00970CBD" w:rsidRDefault="0006269D" w:rsidP="00ED0C86">
            <w:pPr>
              <w:pStyle w:val="xxxmsonorma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Teams Kit</w:t>
            </w:r>
            <w:r w:rsidRPr="00970CBD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84998" w14:textId="06880046" w:rsidR="0006269D" w:rsidRPr="00970CBD" w:rsidRDefault="0006269D" w:rsidP="00ED0C86">
            <w:pPr>
              <w:pStyle w:val="xxxmsonormal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70CBD">
              <w:rPr>
                <w:b/>
                <w:bCs/>
                <w:color w:val="000000"/>
                <w:sz w:val="20"/>
                <w:szCs w:val="20"/>
              </w:rPr>
              <w:t>$</w:t>
            </w:r>
            <w:r>
              <w:rPr>
                <w:b/>
                <w:bCs/>
                <w:color w:val="000000"/>
                <w:sz w:val="20"/>
                <w:szCs w:val="20"/>
              </w:rPr>
              <w:t>631</w:t>
            </w:r>
          </w:p>
        </w:tc>
      </w:tr>
      <w:tr w:rsidR="0006269D" w14:paraId="05742E9E" w14:textId="77777777" w:rsidTr="00ED0C86">
        <w:trPr>
          <w:trHeight w:val="428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8B5A1" w14:textId="77777777" w:rsidR="0006269D" w:rsidRPr="00970CBD" w:rsidRDefault="0006269D" w:rsidP="00ED0C86">
            <w:pPr>
              <w:pStyle w:val="xxxms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Engineer &amp; </w:t>
            </w:r>
            <w:proofErr w:type="gramStart"/>
            <w:r>
              <w:rPr>
                <w:color w:val="000000"/>
                <w:sz w:val="20"/>
                <w:szCs w:val="20"/>
              </w:rPr>
              <w:t>Travelling</w:t>
            </w:r>
            <w:proofErr w:type="gramEnd"/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C88AC" w14:textId="77777777" w:rsidR="0006269D" w:rsidRPr="00970CBD" w:rsidRDefault="0006269D" w:rsidP="00ED0C86">
            <w:pPr>
              <w:pStyle w:val="xxxmsonormal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bCs/>
                <w:color w:val="000000"/>
                <w:sz w:val="20"/>
                <w:szCs w:val="20"/>
              </w:rPr>
              <w:t>Man</w:t>
            </w:r>
            <w:proofErr w:type="gramEnd"/>
            <w:r>
              <w:rPr>
                <w:b/>
                <w:bCs/>
                <w:color w:val="000000"/>
                <w:sz w:val="20"/>
                <w:szCs w:val="20"/>
              </w:rPr>
              <w:t xml:space="preserve"> Hours in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MyTe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&amp; Actuals Travel Cost</w:t>
            </w:r>
          </w:p>
        </w:tc>
      </w:tr>
    </w:tbl>
    <w:p w14:paraId="5C5CADC2" w14:textId="229F269C" w:rsidR="0006269D" w:rsidRDefault="0006269D" w:rsidP="0006269D">
      <w:pPr>
        <w:spacing w:after="0" w:line="240" w:lineRule="auto"/>
        <w:rPr>
          <w:sz w:val="20"/>
          <w:szCs w:val="20"/>
        </w:rPr>
      </w:pPr>
    </w:p>
    <w:p w14:paraId="4E98E452" w14:textId="1EC23391" w:rsidR="00693880" w:rsidRDefault="00693880" w:rsidP="0006269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</w:t>
      </w:r>
    </w:p>
    <w:p w14:paraId="5919CEDC" w14:textId="77777777" w:rsidR="00693880" w:rsidRDefault="00693880" w:rsidP="00693880">
      <w:pPr>
        <w:spacing w:after="0" w:line="240" w:lineRule="auto"/>
        <w:rPr>
          <w:b/>
          <w:bCs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</w:rPr>
        <w:t xml:space="preserve">                                                                                                                                                    </w:t>
      </w:r>
    </w:p>
    <w:p w14:paraId="10FE6574" w14:textId="3BDA1416" w:rsidR="0006269D" w:rsidRDefault="00693880" w:rsidP="00F2035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</w:p>
    <w:p w14:paraId="3C084769" w14:textId="24A868C7" w:rsidR="00574C9E" w:rsidRDefault="00574C9E">
      <w:pPr>
        <w:rPr>
          <w:b/>
          <w:bCs/>
        </w:rPr>
      </w:pPr>
    </w:p>
    <w:p w14:paraId="6BC867C4" w14:textId="0241C35E" w:rsidR="00574C9E" w:rsidRDefault="00574C9E">
      <w:pPr>
        <w:rPr>
          <w:b/>
          <w:bCs/>
        </w:rPr>
      </w:pPr>
    </w:p>
    <w:p w14:paraId="2FF095B0" w14:textId="3BAB3EAE" w:rsidR="00574C9E" w:rsidRDefault="00574C9E">
      <w:pPr>
        <w:rPr>
          <w:b/>
          <w:bCs/>
        </w:rPr>
      </w:pPr>
    </w:p>
    <w:p w14:paraId="33907D77" w14:textId="77777777" w:rsidR="00574C9E" w:rsidRDefault="00574C9E">
      <w:pPr>
        <w:rPr>
          <w:b/>
          <w:bCs/>
        </w:rPr>
      </w:pPr>
    </w:p>
    <w:p w14:paraId="406083BB" w14:textId="77777777" w:rsidR="00F2035D" w:rsidRDefault="00F2035D">
      <w:pPr>
        <w:rPr>
          <w:b/>
          <w:bCs/>
        </w:rPr>
      </w:pPr>
    </w:p>
    <w:p w14:paraId="15D1A221" w14:textId="25F0961A" w:rsidR="00F2035D" w:rsidRDefault="00F2035D">
      <w:pPr>
        <w:rPr>
          <w:b/>
          <w:bCs/>
        </w:rPr>
      </w:pPr>
    </w:p>
    <w:p w14:paraId="19BB1F51" w14:textId="77777777" w:rsidR="00F2035D" w:rsidRDefault="00F2035D">
      <w:pPr>
        <w:rPr>
          <w:b/>
          <w:bCs/>
        </w:rPr>
      </w:pPr>
    </w:p>
    <w:p w14:paraId="4372DF6D" w14:textId="51AA8588" w:rsidR="00F51009" w:rsidRDefault="000C2072">
      <w:pPr>
        <w:rPr>
          <w:b/>
          <w:bCs/>
        </w:rPr>
      </w:pPr>
      <w:r w:rsidRPr="0077779F">
        <w:rPr>
          <w:b/>
          <w:bCs/>
        </w:rPr>
        <w:lastRenderedPageBreak/>
        <w:t xml:space="preserve">Teams Live </w:t>
      </w:r>
      <w:proofErr w:type="gramStart"/>
      <w:r w:rsidRPr="0077779F">
        <w:rPr>
          <w:b/>
          <w:bCs/>
        </w:rPr>
        <w:t>Event:-</w:t>
      </w:r>
      <w:proofErr w:type="gramEnd"/>
    </w:p>
    <w:tbl>
      <w:tblPr>
        <w:tblW w:w="9068" w:type="dxa"/>
        <w:tblLook w:val="04A0" w:firstRow="1" w:lastRow="0" w:firstColumn="1" w:lastColumn="0" w:noHBand="0" w:noVBand="1"/>
      </w:tblPr>
      <w:tblGrid>
        <w:gridCol w:w="1925"/>
        <w:gridCol w:w="1671"/>
        <w:gridCol w:w="1847"/>
        <w:gridCol w:w="1769"/>
        <w:gridCol w:w="1856"/>
      </w:tblGrid>
      <w:tr w:rsidR="00F51009" w:rsidRPr="00F51009" w14:paraId="17E71DB9" w14:textId="77777777" w:rsidTr="00F51009">
        <w:trPr>
          <w:trHeight w:val="1762"/>
        </w:trPr>
        <w:tc>
          <w:tcPr>
            <w:tcW w:w="1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524B17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79E87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STANDARD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96D78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MULTI SPEAKER LAYOUT</w:t>
            </w:r>
          </w:p>
        </w:tc>
        <w:tc>
          <w:tcPr>
            <w:tcW w:w="17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978EC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2D OVERLAY</w:t>
            </w:r>
          </w:p>
        </w:tc>
        <w:tc>
          <w:tcPr>
            <w:tcW w:w="1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80D7E5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3D</w:t>
            </w:r>
          </w:p>
        </w:tc>
      </w:tr>
      <w:tr w:rsidR="00F51009" w:rsidRPr="00F51009" w14:paraId="0494C80B" w14:textId="77777777" w:rsidTr="00F51009">
        <w:trPr>
          <w:trHeight w:val="703"/>
        </w:trPr>
        <w:tc>
          <w:tcPr>
            <w:tcW w:w="1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6BF828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Timelines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BE7FC" w14:textId="242DAD08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7 Days</w:t>
            </w:r>
            <w:r w:rsidR="007C62B0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F4CAC" w14:textId="0753BF29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7-10 Days</w:t>
            </w:r>
            <w:r w:rsidR="007C62B0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D16B6" w14:textId="32D944AA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10-12 Days</w:t>
            </w:r>
            <w:r w:rsidR="007C62B0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D1A3F" w14:textId="542BED25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12-15 Days</w:t>
            </w:r>
            <w:r w:rsidR="007C62B0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F51009" w:rsidRPr="00F51009" w14:paraId="558FEDBC" w14:textId="77777777" w:rsidTr="00F51009">
        <w:trPr>
          <w:trHeight w:val="703"/>
        </w:trPr>
        <w:tc>
          <w:tcPr>
            <w:tcW w:w="1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CB09B6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Base Cost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08267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INR 830/- Per Hour Per FTE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789D9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INR 830/- Per Hour Per FTE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D04146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INR 830/- Per Hour Per FTE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64BC13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INR 830/- Per Hour Per FTE</w:t>
            </w:r>
          </w:p>
        </w:tc>
      </w:tr>
      <w:tr w:rsidR="00F51009" w:rsidRPr="00F51009" w14:paraId="2A4608E4" w14:textId="77777777" w:rsidTr="00F51009">
        <w:trPr>
          <w:trHeight w:val="703"/>
        </w:trPr>
        <w:tc>
          <w:tcPr>
            <w:tcW w:w="1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A0250D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Additional Cost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A0D28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7A288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$765 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2FD92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$1,164 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068C6D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$1,625 </w:t>
            </w:r>
          </w:p>
        </w:tc>
      </w:tr>
      <w:tr w:rsidR="00F51009" w:rsidRPr="00F51009" w14:paraId="0E63A0EF" w14:textId="77777777" w:rsidTr="00F51009">
        <w:trPr>
          <w:trHeight w:val="703"/>
        </w:trPr>
        <w:tc>
          <w:tcPr>
            <w:tcW w:w="1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CFDDC1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Content Sharing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2787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A84DE5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C11A98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25E8E0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F51009" w:rsidRPr="00F51009" w14:paraId="34F812EE" w14:textId="77777777" w:rsidTr="00F51009">
        <w:trPr>
          <w:trHeight w:val="703"/>
        </w:trPr>
        <w:tc>
          <w:tcPr>
            <w:tcW w:w="1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21B636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Pre </w:t>
            </w:r>
            <w:proofErr w:type="gramStart"/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Recorded  Video</w:t>
            </w:r>
            <w:proofErr w:type="gramEnd"/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57F0BC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BB4233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E77990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2F7DC1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F51009" w:rsidRPr="00F51009" w14:paraId="02A92450" w14:textId="77777777" w:rsidTr="00F51009">
        <w:trPr>
          <w:trHeight w:val="703"/>
        </w:trPr>
        <w:tc>
          <w:tcPr>
            <w:tcW w:w="1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FB08AF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Single Video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8DB58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39A89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C2BE6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0CDDE3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F51009" w:rsidRPr="00F51009" w14:paraId="1959D0D4" w14:textId="77777777" w:rsidTr="00F51009">
        <w:trPr>
          <w:trHeight w:val="703"/>
        </w:trPr>
        <w:tc>
          <w:tcPr>
            <w:tcW w:w="1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E2B22F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Multi Speaker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DA737D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D7F05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E98FE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500844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F51009" w:rsidRPr="00F51009" w14:paraId="6C7CB142" w14:textId="77777777" w:rsidTr="00F51009">
        <w:trPr>
          <w:trHeight w:val="703"/>
        </w:trPr>
        <w:tc>
          <w:tcPr>
            <w:tcW w:w="1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AD0A5E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Background Overlay Design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38694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EC44B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BD33B6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758504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F51009" w:rsidRPr="00F51009" w14:paraId="43E25C35" w14:textId="77777777" w:rsidTr="00F51009">
        <w:trPr>
          <w:trHeight w:val="703"/>
        </w:trPr>
        <w:tc>
          <w:tcPr>
            <w:tcW w:w="1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A923C5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External Speaker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DFA89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1158F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750D35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886048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F51009" w:rsidRPr="00F51009" w14:paraId="53A18A21" w14:textId="77777777" w:rsidTr="00F51009">
        <w:trPr>
          <w:trHeight w:val="703"/>
        </w:trPr>
        <w:tc>
          <w:tcPr>
            <w:tcW w:w="1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F843FB" w14:textId="512C1FAA" w:rsidR="00F51009" w:rsidRPr="00F51009" w:rsidRDefault="007C62B0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NOTE:-</w:t>
            </w:r>
            <w:proofErr w:type="gramEnd"/>
            <w:r w:rsidR="00F51009"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4CF26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9BABEA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F1F2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34A4C2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1009" w:rsidRPr="00F51009" w14:paraId="2ED41E48" w14:textId="77777777" w:rsidTr="00F51009">
        <w:trPr>
          <w:trHeight w:val="703"/>
        </w:trPr>
        <w:tc>
          <w:tcPr>
            <w:tcW w:w="1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3D0427" w14:textId="12FB63AF" w:rsidR="00F51009" w:rsidRPr="007C62B0" w:rsidRDefault="007C62B0" w:rsidP="007C62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*Depending upon slot availability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D54925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640FBE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BCDD3E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80589C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1009" w:rsidRPr="00F51009" w14:paraId="79C2BD55" w14:textId="77777777" w:rsidTr="00F51009">
        <w:trPr>
          <w:trHeight w:val="703"/>
        </w:trPr>
        <w:tc>
          <w:tcPr>
            <w:tcW w:w="1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9A802F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43E40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4F969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11B05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165B8B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1009" w:rsidRPr="00F51009" w14:paraId="3C9FF441" w14:textId="77777777" w:rsidTr="00F51009">
        <w:trPr>
          <w:trHeight w:val="703"/>
        </w:trPr>
        <w:tc>
          <w:tcPr>
            <w:tcW w:w="1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E65DEA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DB38D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CDDE05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B4FB1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BD061B" w14:textId="77777777" w:rsidR="00F51009" w:rsidRPr="00F51009" w:rsidRDefault="00F51009" w:rsidP="00F5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0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6C6F1C69" w14:textId="512BF92E" w:rsidR="00F51009" w:rsidRDefault="00F51009">
      <w:pPr>
        <w:rPr>
          <w:b/>
          <w:bCs/>
        </w:rPr>
      </w:pPr>
    </w:p>
    <w:p w14:paraId="482ED5A3" w14:textId="7D835082" w:rsidR="006020AB" w:rsidRDefault="007C62B0" w:rsidP="000A7445">
      <w:r>
        <w:rPr>
          <w:b/>
          <w:bCs/>
        </w:rPr>
        <w:t xml:space="preserve">Link to Raise Support Request:  </w:t>
      </w:r>
      <w:hyperlink r:id="rId8" w:tgtFrame="_blank" w:history="1">
        <w:r w:rsidR="00DC0725">
          <w:rPr>
            <w:rStyle w:val="Strong"/>
            <w:color w:val="0000FF"/>
            <w:u w:val="single"/>
          </w:rPr>
          <w:t>Submit a request</w:t>
        </w:r>
      </w:hyperlink>
      <w:r w:rsidR="00DC0725">
        <w:t xml:space="preserve"> </w:t>
      </w:r>
    </w:p>
    <w:p w14:paraId="41C07DAF" w14:textId="77777777" w:rsidR="00F51009" w:rsidRDefault="00F51009">
      <w:pPr>
        <w:rPr>
          <w:b/>
          <w:bCs/>
        </w:rPr>
      </w:pPr>
    </w:p>
    <w:p w14:paraId="44973FAA" w14:textId="77777777" w:rsidR="00F51009" w:rsidRDefault="00F51009">
      <w:pPr>
        <w:rPr>
          <w:b/>
          <w:bCs/>
        </w:rPr>
      </w:pPr>
    </w:p>
    <w:p w14:paraId="2B1BBA7C" w14:textId="77777777" w:rsidR="00F51009" w:rsidRDefault="00F51009">
      <w:pPr>
        <w:rPr>
          <w:b/>
          <w:bCs/>
        </w:rPr>
      </w:pPr>
    </w:p>
    <w:p w14:paraId="57F005D7" w14:textId="1E881BED" w:rsidR="0005371A" w:rsidRDefault="00F2035D">
      <w:pPr>
        <w:rPr>
          <w:b/>
          <w:bCs/>
        </w:rPr>
      </w:pPr>
      <w:proofErr w:type="spellStart"/>
      <w:r>
        <w:rPr>
          <w:b/>
          <w:bCs/>
        </w:rPr>
        <w:lastRenderedPageBreak/>
        <w:t>C</w:t>
      </w:r>
      <w:r w:rsidR="0005371A">
        <w:rPr>
          <w:b/>
          <w:bCs/>
        </w:rPr>
        <w:t>oE</w:t>
      </w:r>
      <w:proofErr w:type="spellEnd"/>
      <w:r w:rsidR="0005371A">
        <w:rPr>
          <w:b/>
          <w:bCs/>
        </w:rPr>
        <w:t xml:space="preserve">/Boardroom: </w:t>
      </w:r>
    </w:p>
    <w:p w14:paraId="5D50D9A2" w14:textId="72724BDF" w:rsidR="00BD0B61" w:rsidRPr="00F51009" w:rsidRDefault="00BD0B61" w:rsidP="00BD0B61">
      <w:pPr>
        <w:rPr>
          <w:b/>
          <w:bCs/>
          <w:sz w:val="20"/>
          <w:szCs w:val="20"/>
          <w:lang w:val="en-US"/>
        </w:rPr>
      </w:pPr>
      <w:r w:rsidRPr="00F51009">
        <w:rPr>
          <w:b/>
          <w:bCs/>
          <w:sz w:val="20"/>
          <w:szCs w:val="20"/>
          <w:lang w:val="en-US"/>
        </w:rPr>
        <w:t>Our Go</w:t>
      </w:r>
      <w:r w:rsidR="007C04B5" w:rsidRPr="00F51009">
        <w:rPr>
          <w:b/>
          <w:bCs/>
          <w:sz w:val="20"/>
          <w:szCs w:val="20"/>
          <w:lang w:val="en-US"/>
        </w:rPr>
        <w:t>a</w:t>
      </w:r>
      <w:r w:rsidRPr="00F51009">
        <w:rPr>
          <w:b/>
          <w:bCs/>
          <w:sz w:val="20"/>
          <w:szCs w:val="20"/>
          <w:lang w:val="en-US"/>
        </w:rPr>
        <w:t>l is to:</w:t>
      </w:r>
    </w:p>
    <w:p w14:paraId="001C587D" w14:textId="77777777" w:rsidR="007C04B5" w:rsidRPr="007C04B5" w:rsidRDefault="00BD0B61" w:rsidP="00BD0B6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7C04B5">
        <w:rPr>
          <w:sz w:val="20"/>
          <w:szCs w:val="20"/>
          <w:lang w:val="en-US"/>
        </w:rPr>
        <w:t>Establish Standardize support model across India for Center of Excellence and Next generation floors.</w:t>
      </w:r>
    </w:p>
    <w:p w14:paraId="4EF0676C" w14:textId="77777777" w:rsidR="007C04B5" w:rsidRPr="007C04B5" w:rsidRDefault="00BD0B61" w:rsidP="00BD0B6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7C04B5">
        <w:rPr>
          <w:sz w:val="20"/>
          <w:szCs w:val="20"/>
          <w:lang w:val="en-US"/>
        </w:rPr>
        <w:t>Provide choice to stakeholder to select SLAs based on criticality of the showcase.</w:t>
      </w:r>
    </w:p>
    <w:p w14:paraId="3AC289E5" w14:textId="77777777" w:rsidR="007C04B5" w:rsidRPr="007C04B5" w:rsidRDefault="00BD0B61" w:rsidP="00BD0B6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7C04B5">
        <w:rPr>
          <w:sz w:val="20"/>
          <w:szCs w:val="20"/>
          <w:lang w:val="en-US"/>
        </w:rPr>
        <w:t xml:space="preserve">Single team to track AMCs, </w:t>
      </w:r>
      <w:proofErr w:type="gramStart"/>
      <w:r w:rsidRPr="007C04B5">
        <w:rPr>
          <w:sz w:val="20"/>
          <w:szCs w:val="20"/>
          <w:lang w:val="en-US"/>
        </w:rPr>
        <w:t>inventory</w:t>
      </w:r>
      <w:proofErr w:type="gramEnd"/>
      <w:r w:rsidRPr="007C04B5">
        <w:rPr>
          <w:sz w:val="20"/>
          <w:szCs w:val="20"/>
          <w:lang w:val="en-US"/>
        </w:rPr>
        <w:t xml:space="preserve"> and tech refresh.</w:t>
      </w:r>
    </w:p>
    <w:p w14:paraId="28479BBA" w14:textId="2DC39D99" w:rsidR="007C04B5" w:rsidRPr="00F51009" w:rsidRDefault="00BD0B61" w:rsidP="00FE7F5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F51009">
        <w:rPr>
          <w:sz w:val="20"/>
          <w:szCs w:val="20"/>
          <w:lang w:val="en-US"/>
        </w:rPr>
        <w:t>Enhance availability metrics.</w:t>
      </w:r>
    </w:p>
    <w:p w14:paraId="231C5FD8" w14:textId="77D4E5BD" w:rsidR="007C04B5" w:rsidRPr="007C04B5" w:rsidRDefault="007C04B5" w:rsidP="007C04B5">
      <w:pPr>
        <w:rPr>
          <w:b/>
          <w:bCs/>
        </w:rPr>
      </w:pPr>
      <w:r w:rsidRPr="007C04B5">
        <w:rPr>
          <w:b/>
          <w:bCs/>
        </w:rPr>
        <w:t>Scope of Work:</w:t>
      </w:r>
    </w:p>
    <w:p w14:paraId="2D882455" w14:textId="77777777" w:rsidR="007C04B5" w:rsidRPr="007C04B5" w:rsidRDefault="007C04B5" w:rsidP="007C04B5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7C04B5">
        <w:rPr>
          <w:sz w:val="20"/>
          <w:szCs w:val="20"/>
          <w:lang w:val="en-US"/>
        </w:rPr>
        <w:t>Establish Standardize support model across India for Center of Excellence and Next generation floors.</w:t>
      </w:r>
    </w:p>
    <w:p w14:paraId="644E3061" w14:textId="77777777" w:rsidR="007C04B5" w:rsidRPr="007C04B5" w:rsidRDefault="007C04B5" w:rsidP="007C04B5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7C04B5">
        <w:rPr>
          <w:sz w:val="20"/>
          <w:szCs w:val="20"/>
          <w:lang w:val="en-US"/>
        </w:rPr>
        <w:t>Provide choice to stakeholder to select SLAs based on criticality of the showcase.</w:t>
      </w:r>
    </w:p>
    <w:p w14:paraId="73595780" w14:textId="01CBDE93" w:rsidR="007C04B5" w:rsidRPr="007C04B5" w:rsidRDefault="007C04B5" w:rsidP="007C04B5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7C04B5">
        <w:rPr>
          <w:sz w:val="20"/>
          <w:szCs w:val="20"/>
          <w:lang w:val="en-US"/>
        </w:rPr>
        <w:t xml:space="preserve">Single team to track AMCs, </w:t>
      </w:r>
      <w:proofErr w:type="gramStart"/>
      <w:r w:rsidRPr="007C04B5">
        <w:rPr>
          <w:sz w:val="20"/>
          <w:szCs w:val="20"/>
          <w:lang w:val="en-US"/>
        </w:rPr>
        <w:t>inventory</w:t>
      </w:r>
      <w:proofErr w:type="gramEnd"/>
      <w:r w:rsidRPr="007C04B5">
        <w:rPr>
          <w:sz w:val="20"/>
          <w:szCs w:val="20"/>
          <w:lang w:val="en-US"/>
        </w:rPr>
        <w:t xml:space="preserve"> and tech refresh.</w:t>
      </w:r>
    </w:p>
    <w:p w14:paraId="555A6607" w14:textId="127C3236" w:rsidR="007C04B5" w:rsidRPr="007C04B5" w:rsidRDefault="007C04B5" w:rsidP="007C04B5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7C04B5">
        <w:rPr>
          <w:sz w:val="20"/>
          <w:szCs w:val="20"/>
          <w:lang w:val="en-US"/>
        </w:rPr>
        <w:t>Enhance availability metrics.</w:t>
      </w:r>
    </w:p>
    <w:p w14:paraId="3F0F1305" w14:textId="77777777" w:rsidR="007C04B5" w:rsidRDefault="007C04B5" w:rsidP="007C04B5">
      <w:pPr>
        <w:rPr>
          <w:b/>
          <w:bCs/>
        </w:rPr>
      </w:pPr>
    </w:p>
    <w:p w14:paraId="779EC555" w14:textId="194D219C" w:rsidR="007C04B5" w:rsidRPr="007C04B5" w:rsidRDefault="007C04B5" w:rsidP="007C04B5">
      <w:pPr>
        <w:rPr>
          <w:b/>
          <w:bCs/>
        </w:rPr>
      </w:pPr>
      <w:r w:rsidRPr="007C04B5">
        <w:rPr>
          <w:b/>
          <w:bCs/>
        </w:rPr>
        <w:t>Support Model Type / SLA:</w:t>
      </w:r>
    </w:p>
    <w:p w14:paraId="7AF2E046" w14:textId="2C1051DD" w:rsidR="007C04B5" w:rsidRDefault="007C04B5" w:rsidP="007C04B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6AA0627" wp14:editId="1198C027">
            <wp:extent cx="5731510" cy="2874010"/>
            <wp:effectExtent l="0" t="0" r="2540" b="2540"/>
            <wp:docPr id="5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9B79F4C-4A10-4893-8AD2-FF3DE8ED6E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F9B79F4C-4A10-4893-8AD2-FF3DE8ED6E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37E1" w14:textId="77777777" w:rsidR="007C04B5" w:rsidRDefault="007C04B5" w:rsidP="007C04B5">
      <w:pPr>
        <w:rPr>
          <w:sz w:val="20"/>
          <w:szCs w:val="20"/>
        </w:rPr>
      </w:pPr>
    </w:p>
    <w:p w14:paraId="4D32DF53" w14:textId="77777777" w:rsidR="00F51009" w:rsidRDefault="00F51009" w:rsidP="007C04B5">
      <w:pPr>
        <w:rPr>
          <w:b/>
          <w:bCs/>
        </w:rPr>
      </w:pPr>
    </w:p>
    <w:p w14:paraId="4A6693C1" w14:textId="77777777" w:rsidR="00F51009" w:rsidRDefault="00F51009" w:rsidP="007C04B5">
      <w:pPr>
        <w:rPr>
          <w:b/>
          <w:bCs/>
        </w:rPr>
      </w:pPr>
    </w:p>
    <w:p w14:paraId="00DFC4F8" w14:textId="77777777" w:rsidR="00F51009" w:rsidRDefault="00F51009" w:rsidP="007C04B5">
      <w:pPr>
        <w:rPr>
          <w:b/>
          <w:bCs/>
        </w:rPr>
      </w:pPr>
    </w:p>
    <w:p w14:paraId="0211241D" w14:textId="77777777" w:rsidR="00F51009" w:rsidRDefault="00F51009" w:rsidP="007C04B5">
      <w:pPr>
        <w:rPr>
          <w:b/>
          <w:bCs/>
        </w:rPr>
      </w:pPr>
    </w:p>
    <w:p w14:paraId="1AB838B6" w14:textId="77777777" w:rsidR="00F51009" w:rsidRDefault="00F51009" w:rsidP="007C04B5">
      <w:pPr>
        <w:rPr>
          <w:b/>
          <w:bCs/>
        </w:rPr>
      </w:pPr>
    </w:p>
    <w:p w14:paraId="2DB1ADD6" w14:textId="77777777" w:rsidR="00F51009" w:rsidRDefault="00F51009" w:rsidP="007C04B5">
      <w:pPr>
        <w:rPr>
          <w:b/>
          <w:bCs/>
        </w:rPr>
      </w:pPr>
    </w:p>
    <w:p w14:paraId="459BD949" w14:textId="77777777" w:rsidR="00F51009" w:rsidRDefault="00F51009" w:rsidP="007C04B5">
      <w:pPr>
        <w:rPr>
          <w:b/>
          <w:bCs/>
        </w:rPr>
      </w:pPr>
    </w:p>
    <w:p w14:paraId="15C3BB53" w14:textId="77777777" w:rsidR="00F51009" w:rsidRDefault="00F51009" w:rsidP="007C04B5">
      <w:pPr>
        <w:rPr>
          <w:b/>
          <w:bCs/>
        </w:rPr>
      </w:pPr>
    </w:p>
    <w:p w14:paraId="4CBC6A92" w14:textId="77777777" w:rsidR="00F51009" w:rsidRDefault="00F51009" w:rsidP="007C04B5">
      <w:pPr>
        <w:rPr>
          <w:b/>
          <w:bCs/>
        </w:rPr>
      </w:pPr>
    </w:p>
    <w:p w14:paraId="09215FE2" w14:textId="10F61CD2" w:rsidR="007C04B5" w:rsidRPr="007C04B5" w:rsidRDefault="007C04B5" w:rsidP="007C04B5">
      <w:pPr>
        <w:rPr>
          <w:b/>
          <w:bCs/>
        </w:rPr>
      </w:pPr>
      <w:r w:rsidRPr="007C04B5">
        <w:rPr>
          <w:b/>
          <w:bCs/>
        </w:rPr>
        <w:lastRenderedPageBreak/>
        <w:t>Delivery Model:</w:t>
      </w:r>
    </w:p>
    <w:p w14:paraId="69228549" w14:textId="5B90FFCB" w:rsidR="007C04B5" w:rsidRPr="007C04B5" w:rsidRDefault="007C04B5" w:rsidP="007C04B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4B2061B" wp14:editId="36972F88">
            <wp:extent cx="5731510" cy="2074545"/>
            <wp:effectExtent l="0" t="0" r="2540" b="1905"/>
            <wp:docPr id="57" name="table">
              <a:extLst xmlns:a="http://schemas.openxmlformats.org/drawingml/2006/main">
                <a:ext uri="{FF2B5EF4-FFF2-40B4-BE49-F238E27FC236}">
                  <a16:creationId xmlns:a16="http://schemas.microsoft.com/office/drawing/2014/main" id="{58E4A342-004C-4D75-93BF-0B421A6175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58E4A342-004C-4D75-93BF-0B421A6175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E6D8" w14:textId="77777777" w:rsidR="007C04B5" w:rsidRDefault="007C04B5" w:rsidP="007C04B5">
      <w:pPr>
        <w:rPr>
          <w:sz w:val="20"/>
          <w:szCs w:val="20"/>
        </w:rPr>
      </w:pPr>
    </w:p>
    <w:p w14:paraId="3D7E7926" w14:textId="62469CF2" w:rsidR="007C04B5" w:rsidRDefault="007C04B5" w:rsidP="007C04B5">
      <w:pPr>
        <w:rPr>
          <w:sz w:val="20"/>
          <w:szCs w:val="20"/>
        </w:rPr>
      </w:pPr>
      <w:r>
        <w:rPr>
          <w:sz w:val="20"/>
          <w:szCs w:val="20"/>
        </w:rPr>
        <w:t>For More Information</w:t>
      </w:r>
      <w:r w:rsidR="00C66007">
        <w:rPr>
          <w:sz w:val="20"/>
          <w:szCs w:val="20"/>
        </w:rPr>
        <w:t xml:space="preserve"> Contact us on:</w:t>
      </w:r>
    </w:p>
    <w:p w14:paraId="65974C56" w14:textId="7BCF45B5" w:rsidR="007C04B5" w:rsidRPr="007C04B5" w:rsidRDefault="007C04B5" w:rsidP="007C04B5">
      <w:pPr>
        <w:rPr>
          <w:sz w:val="20"/>
          <w:szCs w:val="20"/>
        </w:rPr>
      </w:pPr>
      <w:r>
        <w:rPr>
          <w:sz w:val="20"/>
          <w:szCs w:val="20"/>
        </w:rPr>
        <w:t xml:space="preserve">Mail to: </w:t>
      </w:r>
      <w:hyperlink r:id="rId11" w:history="1">
        <w:r w:rsidRPr="000518F5">
          <w:rPr>
            <w:rStyle w:val="Hyperlink"/>
            <w:sz w:val="20"/>
            <w:szCs w:val="20"/>
          </w:rPr>
          <w:t>India.COEsupport@accenture.com</w:t>
        </w:r>
      </w:hyperlink>
      <w:r>
        <w:rPr>
          <w:sz w:val="20"/>
          <w:szCs w:val="20"/>
        </w:rPr>
        <w:t xml:space="preserve"> / </w:t>
      </w:r>
      <w:hyperlink r:id="rId12" w:history="1">
        <w:r w:rsidRPr="000518F5">
          <w:rPr>
            <w:rStyle w:val="Hyperlink"/>
            <w:sz w:val="20"/>
            <w:szCs w:val="20"/>
          </w:rPr>
          <w:t>India.VirtualCollaborationTeam@accenture.com/</w:t>
        </w:r>
      </w:hyperlink>
      <w:r>
        <w:rPr>
          <w:sz w:val="20"/>
          <w:szCs w:val="20"/>
        </w:rPr>
        <w:t xml:space="preserve"> </w:t>
      </w:r>
      <w:hyperlink r:id="rId13" w:history="1">
        <w:r w:rsidRPr="000518F5">
          <w:rPr>
            <w:rStyle w:val="Hyperlink"/>
            <w:sz w:val="20"/>
            <w:szCs w:val="20"/>
          </w:rPr>
          <w:t>India.VCTeam@accenture.com</w:t>
        </w:r>
      </w:hyperlink>
      <w:r>
        <w:rPr>
          <w:sz w:val="20"/>
          <w:szCs w:val="20"/>
        </w:rPr>
        <w:br/>
      </w:r>
    </w:p>
    <w:p w14:paraId="0F0D86E8" w14:textId="77777777" w:rsidR="0005371A" w:rsidRPr="004D4119" w:rsidRDefault="0005371A">
      <w:pPr>
        <w:rPr>
          <w:b/>
          <w:bCs/>
        </w:rPr>
      </w:pPr>
    </w:p>
    <w:sectPr w:rsidR="0005371A" w:rsidRPr="004D4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D4E76" w14:textId="77777777" w:rsidR="005048C3" w:rsidRDefault="005048C3" w:rsidP="00AC1420">
      <w:pPr>
        <w:spacing w:after="0" w:line="240" w:lineRule="auto"/>
      </w:pPr>
      <w:r>
        <w:separator/>
      </w:r>
    </w:p>
  </w:endnote>
  <w:endnote w:type="continuationSeparator" w:id="0">
    <w:p w14:paraId="73A3DFE7" w14:textId="77777777" w:rsidR="005048C3" w:rsidRDefault="005048C3" w:rsidP="00AC1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DD307" w14:textId="77777777" w:rsidR="005048C3" w:rsidRDefault="005048C3" w:rsidP="00AC1420">
      <w:pPr>
        <w:spacing w:after="0" w:line="240" w:lineRule="auto"/>
      </w:pPr>
      <w:r>
        <w:separator/>
      </w:r>
    </w:p>
  </w:footnote>
  <w:footnote w:type="continuationSeparator" w:id="0">
    <w:p w14:paraId="18C478ED" w14:textId="77777777" w:rsidR="005048C3" w:rsidRDefault="005048C3" w:rsidP="00AC1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3AA1"/>
    <w:multiLevelType w:val="hybridMultilevel"/>
    <w:tmpl w:val="FF6C6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F4E7B"/>
    <w:multiLevelType w:val="hybridMultilevel"/>
    <w:tmpl w:val="CC6CC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C70DC"/>
    <w:multiLevelType w:val="hybridMultilevel"/>
    <w:tmpl w:val="25B61590"/>
    <w:lvl w:ilvl="0" w:tplc="87C29B56">
      <w:start w:val="1"/>
      <w:numFmt w:val="decimal"/>
      <w:lvlText w:val="%1)"/>
      <w:lvlJc w:val="left"/>
      <w:pPr>
        <w:ind w:left="144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F97D3B"/>
    <w:multiLevelType w:val="hybridMultilevel"/>
    <w:tmpl w:val="7CA4336A"/>
    <w:lvl w:ilvl="0" w:tplc="CA4EB4A4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F5419"/>
    <w:multiLevelType w:val="hybridMultilevel"/>
    <w:tmpl w:val="6E18FE84"/>
    <w:lvl w:ilvl="0" w:tplc="9B9C2C3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1361B"/>
    <w:multiLevelType w:val="hybridMultilevel"/>
    <w:tmpl w:val="0EC4E332"/>
    <w:lvl w:ilvl="0" w:tplc="55680EDA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1C1A"/>
    <w:multiLevelType w:val="hybridMultilevel"/>
    <w:tmpl w:val="6FAA4E00"/>
    <w:lvl w:ilvl="0" w:tplc="1F9E411E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167A4"/>
    <w:multiLevelType w:val="hybridMultilevel"/>
    <w:tmpl w:val="BF769132"/>
    <w:lvl w:ilvl="0" w:tplc="BDCAA33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23BE3"/>
    <w:multiLevelType w:val="hybridMultilevel"/>
    <w:tmpl w:val="7CA4336A"/>
    <w:lvl w:ilvl="0" w:tplc="CA4EB4A4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07F8A"/>
    <w:multiLevelType w:val="hybridMultilevel"/>
    <w:tmpl w:val="25849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75259"/>
    <w:multiLevelType w:val="hybridMultilevel"/>
    <w:tmpl w:val="43464B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C2C7D"/>
    <w:multiLevelType w:val="hybridMultilevel"/>
    <w:tmpl w:val="CC9C2E7C"/>
    <w:lvl w:ilvl="0" w:tplc="0F22E062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E5DE3"/>
    <w:multiLevelType w:val="hybridMultilevel"/>
    <w:tmpl w:val="4D90EC00"/>
    <w:lvl w:ilvl="0" w:tplc="5D143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763C1"/>
    <w:multiLevelType w:val="hybridMultilevel"/>
    <w:tmpl w:val="4EC8BC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570D0A"/>
    <w:multiLevelType w:val="hybridMultilevel"/>
    <w:tmpl w:val="BCBE4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76892"/>
    <w:multiLevelType w:val="hybridMultilevel"/>
    <w:tmpl w:val="2F7CEE16"/>
    <w:lvl w:ilvl="0" w:tplc="DF22C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E64A40"/>
    <w:multiLevelType w:val="hybridMultilevel"/>
    <w:tmpl w:val="1C869E3C"/>
    <w:lvl w:ilvl="0" w:tplc="3F38D2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753BD8"/>
    <w:multiLevelType w:val="hybridMultilevel"/>
    <w:tmpl w:val="7CA4336A"/>
    <w:lvl w:ilvl="0" w:tplc="CA4EB4A4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A2D2D"/>
    <w:multiLevelType w:val="multilevel"/>
    <w:tmpl w:val="83F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AB320C"/>
    <w:multiLevelType w:val="hybridMultilevel"/>
    <w:tmpl w:val="B82050D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6C1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0F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2A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14E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CB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AB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688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601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7F90441"/>
    <w:multiLevelType w:val="hybridMultilevel"/>
    <w:tmpl w:val="91F87FDC"/>
    <w:lvl w:ilvl="0" w:tplc="9C1EC9BC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6D6F72"/>
    <w:multiLevelType w:val="hybridMultilevel"/>
    <w:tmpl w:val="B298225C"/>
    <w:lvl w:ilvl="0" w:tplc="9678F5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AE058B"/>
    <w:multiLevelType w:val="hybridMultilevel"/>
    <w:tmpl w:val="8B90B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651AC"/>
    <w:multiLevelType w:val="hybridMultilevel"/>
    <w:tmpl w:val="8F482744"/>
    <w:lvl w:ilvl="0" w:tplc="17EAC218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3"/>
  </w:num>
  <w:num w:numId="4">
    <w:abstractNumId w:val="18"/>
  </w:num>
  <w:num w:numId="5">
    <w:abstractNumId w:val="7"/>
  </w:num>
  <w:num w:numId="6">
    <w:abstractNumId w:val="20"/>
  </w:num>
  <w:num w:numId="7">
    <w:abstractNumId w:val="10"/>
  </w:num>
  <w:num w:numId="8">
    <w:abstractNumId w:val="21"/>
  </w:num>
  <w:num w:numId="9">
    <w:abstractNumId w:val="2"/>
  </w:num>
  <w:num w:numId="10">
    <w:abstractNumId w:val="16"/>
  </w:num>
  <w:num w:numId="11">
    <w:abstractNumId w:val="3"/>
  </w:num>
  <w:num w:numId="12">
    <w:abstractNumId w:val="8"/>
  </w:num>
  <w:num w:numId="13">
    <w:abstractNumId w:val="17"/>
  </w:num>
  <w:num w:numId="14">
    <w:abstractNumId w:val="22"/>
  </w:num>
  <w:num w:numId="15">
    <w:abstractNumId w:val="4"/>
  </w:num>
  <w:num w:numId="16">
    <w:abstractNumId w:val="15"/>
  </w:num>
  <w:num w:numId="17">
    <w:abstractNumId w:val="12"/>
  </w:num>
  <w:num w:numId="18">
    <w:abstractNumId w:val="0"/>
  </w:num>
  <w:num w:numId="19">
    <w:abstractNumId w:val="0"/>
  </w:num>
  <w:num w:numId="20">
    <w:abstractNumId w:val="14"/>
  </w:num>
  <w:num w:numId="21">
    <w:abstractNumId w:val="1"/>
  </w:num>
  <w:num w:numId="22">
    <w:abstractNumId w:val="23"/>
  </w:num>
  <w:num w:numId="23">
    <w:abstractNumId w:val="5"/>
  </w:num>
  <w:num w:numId="24">
    <w:abstractNumId w:val="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77"/>
    <w:rsid w:val="00013237"/>
    <w:rsid w:val="0005371A"/>
    <w:rsid w:val="0006269D"/>
    <w:rsid w:val="00077194"/>
    <w:rsid w:val="000A7445"/>
    <w:rsid w:val="000C2072"/>
    <w:rsid w:val="000F1D55"/>
    <w:rsid w:val="00143A67"/>
    <w:rsid w:val="00166CEA"/>
    <w:rsid w:val="001B2B7E"/>
    <w:rsid w:val="00227180"/>
    <w:rsid w:val="002347E1"/>
    <w:rsid w:val="00253CDD"/>
    <w:rsid w:val="002752B4"/>
    <w:rsid w:val="002E5C1E"/>
    <w:rsid w:val="002F4582"/>
    <w:rsid w:val="003035A1"/>
    <w:rsid w:val="00364D2F"/>
    <w:rsid w:val="003771EB"/>
    <w:rsid w:val="003A74D2"/>
    <w:rsid w:val="003F11E4"/>
    <w:rsid w:val="004117DE"/>
    <w:rsid w:val="00441DF5"/>
    <w:rsid w:val="00481D01"/>
    <w:rsid w:val="004C261A"/>
    <w:rsid w:val="004D4119"/>
    <w:rsid w:val="00501D3C"/>
    <w:rsid w:val="005048C3"/>
    <w:rsid w:val="00574C9E"/>
    <w:rsid w:val="005A0F97"/>
    <w:rsid w:val="006020AB"/>
    <w:rsid w:val="0062714C"/>
    <w:rsid w:val="00640289"/>
    <w:rsid w:val="00673765"/>
    <w:rsid w:val="00693880"/>
    <w:rsid w:val="007215A4"/>
    <w:rsid w:val="007273A4"/>
    <w:rsid w:val="0077779F"/>
    <w:rsid w:val="00780477"/>
    <w:rsid w:val="007C04B5"/>
    <w:rsid w:val="007C62B0"/>
    <w:rsid w:val="007D3AB9"/>
    <w:rsid w:val="00824297"/>
    <w:rsid w:val="00824735"/>
    <w:rsid w:val="008D2DB5"/>
    <w:rsid w:val="008D4C40"/>
    <w:rsid w:val="008E55AC"/>
    <w:rsid w:val="00926265"/>
    <w:rsid w:val="00946B4D"/>
    <w:rsid w:val="00965449"/>
    <w:rsid w:val="00970CBD"/>
    <w:rsid w:val="00972A43"/>
    <w:rsid w:val="009A521D"/>
    <w:rsid w:val="009A740D"/>
    <w:rsid w:val="009D09FC"/>
    <w:rsid w:val="009D451E"/>
    <w:rsid w:val="00A42F3E"/>
    <w:rsid w:val="00A913B6"/>
    <w:rsid w:val="00AC1420"/>
    <w:rsid w:val="00AC1B5C"/>
    <w:rsid w:val="00AF4AE1"/>
    <w:rsid w:val="00B01DEF"/>
    <w:rsid w:val="00B24C20"/>
    <w:rsid w:val="00B362FA"/>
    <w:rsid w:val="00BD0B61"/>
    <w:rsid w:val="00C1553A"/>
    <w:rsid w:val="00C3709B"/>
    <w:rsid w:val="00C43207"/>
    <w:rsid w:val="00C66007"/>
    <w:rsid w:val="00CC06A5"/>
    <w:rsid w:val="00CF189A"/>
    <w:rsid w:val="00D87457"/>
    <w:rsid w:val="00D96FF4"/>
    <w:rsid w:val="00DC0725"/>
    <w:rsid w:val="00E47BAB"/>
    <w:rsid w:val="00E8519C"/>
    <w:rsid w:val="00EC24B4"/>
    <w:rsid w:val="00EE4468"/>
    <w:rsid w:val="00EF5D16"/>
    <w:rsid w:val="00F2035D"/>
    <w:rsid w:val="00F51009"/>
    <w:rsid w:val="00FA1C39"/>
    <w:rsid w:val="00FA3EFB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D22DCF"/>
  <w15:chartTrackingRefBased/>
  <w15:docId w15:val="{CF3889F5-9F91-4523-A469-7EE2B3F2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7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777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0A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C0725"/>
    <w:rPr>
      <w:b/>
      <w:bCs/>
    </w:rPr>
  </w:style>
  <w:style w:type="paragraph" w:customStyle="1" w:styleId="xxxmsonormal">
    <w:name w:val="x_x_xmsonormal"/>
    <w:basedOn w:val="Normal"/>
    <w:rsid w:val="00970CBD"/>
    <w:pPr>
      <w:spacing w:after="0" w:line="240" w:lineRule="auto"/>
    </w:pPr>
    <w:rPr>
      <w:rFonts w:ascii="Calibri" w:hAnsi="Calibri" w:cs="Calibri"/>
      <w:lang w:eastAsia="en-IN"/>
    </w:rPr>
  </w:style>
  <w:style w:type="paragraph" w:customStyle="1" w:styleId="Default">
    <w:name w:val="Default"/>
    <w:rsid w:val="00FA1C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3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80"/>
  </w:style>
  <w:style w:type="paragraph" w:styleId="Footer">
    <w:name w:val="footer"/>
    <w:basedOn w:val="Normal"/>
    <w:link w:val="FooterChar"/>
    <w:uiPriority w:val="99"/>
    <w:unhideWhenUsed/>
    <w:rsid w:val="00693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accenture.com/sites/SMBLTSSupportTeam" TargetMode="External"/><Relationship Id="rId13" Type="http://schemas.openxmlformats.org/officeDocument/2006/relationships/hyperlink" Target="mailto:India.VCTeam@accentu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dia.VirtualCollaborationTeam@accentu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dia.COEsupport@accentur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48461-7587-49FD-BA96-18F447740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464</Words>
  <Characters>2646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Nitin H.</dc:creator>
  <cp:keywords/>
  <dc:description/>
  <cp:lastModifiedBy>Achanta, Rajanna V.</cp:lastModifiedBy>
  <cp:revision>2</cp:revision>
  <cp:lastPrinted>2022-02-18T12:04:00Z</cp:lastPrinted>
  <dcterms:created xsi:type="dcterms:W3CDTF">2022-02-18T12:11:00Z</dcterms:created>
  <dcterms:modified xsi:type="dcterms:W3CDTF">2022-02-18T12:11:00Z</dcterms:modified>
</cp:coreProperties>
</file>