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Metasploit Vulnerability Report</w:t>
      </w:r>
    </w:p>
    <w:bookmarkStart w:id="27" w:name="automated-report"/>
    <w:p>
      <w:pPr>
        <w:pStyle w:val="Heading1"/>
      </w:pPr>
      <w:r>
        <w:t xml:space="preserve">Automated Report</w:t>
      </w:r>
    </w:p>
    <w:bookmarkStart w:id="20" w:name="report-summary"/>
    <w:p>
      <w:pPr>
        <w:pStyle w:val="Heading2"/>
      </w:pPr>
      <w:r>
        <w:t xml:space="preserve">Report Summary</w:t>
      </w:r>
    </w:p>
    <w:p>
      <w:pPr>
        <w:pStyle w:val="FirstParagraph"/>
      </w:pPr>
      <w:r>
        <w:t xml:space="preserve">Overall Risk Rating:</w:t>
      </w:r>
      <w:r>
        <w:t xml:space="preserve"> </w:t>
      </w:r>
      <w:r>
        <w:rPr>
          <w:b/>
          <w:bCs/>
        </w:rPr>
        <w:t xml:space="preserve">Critical</w:t>
      </w:r>
    </w:p>
    <w:p>
      <w:pPr>
        <w:pStyle w:val="BodyText"/>
      </w:pPr>
      <w:r>
        <w:t xml:space="preserve">The overall risk rating, derived from the Risk Rating Matrix, reflects the average risk levels of identified</w:t>
      </w:r>
      <w:r>
        <w:t xml:space="preserve"> </w:t>
      </w:r>
      <w:r>
        <w:t xml:space="preserve">vulnerabilities. This rating incorporates a 25% bias towards critical-level vulnerabilities and a 10% bias</w:t>
      </w:r>
      <w:r>
        <w:t xml:space="preserve"> </w:t>
      </w:r>
      <w:r>
        <w:t xml:space="preserve">towards high-level vulnerabilities, effectively emphasising the most significant risks. The ARW tool</w:t>
      </w:r>
      <w:r>
        <w:t xml:space="preserve"> </w:t>
      </w:r>
      <w:r>
        <w:t xml:space="preserve">assesses overall risk exposure, considering the potential impact of malicious actors attempting to exploit</w:t>
      </w:r>
      <w:r>
        <w:t xml:space="preserve"> </w:t>
      </w:r>
      <w:r>
        <w:t xml:space="preserve">these vulnerabilities to compromise or control resources within the information environment. As such, the</w:t>
      </w:r>
      <w:r>
        <w:t xml:space="preserve"> </w:t>
      </w:r>
      <w:r>
        <w:t xml:space="preserve">overall risk rating of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serves as an indicator for prioritising</w:t>
      </w:r>
      <w:r>
        <w:t xml:space="preserve"> </w:t>
      </w:r>
      <w:r>
        <w:t xml:space="preserve">security efforts and implementing necessary safeguards.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Average CVSS Score:</w:t>
      </w:r>
      <w:r>
        <w:t xml:space="preserve"> </w:t>
      </w:r>
      <w:r>
        <w:rPr>
          <w:b/>
          <w:bCs/>
        </w:rPr>
        <w:t xml:space="preserve">8.24</w:t>
      </w:r>
    </w:p>
    <w:p>
      <w:pPr>
        <w:pStyle w:val="BodyText"/>
      </w:pPr>
      <w:r>
        <w:t xml:space="preserve">The Average CVSS Score provides a quantitative measure of the severity of identified vulnerabilities,</w:t>
      </w:r>
      <w:r>
        <w:t xml:space="preserve"> </w:t>
      </w:r>
      <w:r>
        <w:t xml:space="preserve">calculated using the Common Vulnerability Scoring System (CVSS). The ARW tool computes the average score</w:t>
      </w:r>
      <w:r>
        <w:t xml:space="preserve"> </w:t>
      </w:r>
      <w:r>
        <w:t xml:space="preserve">based on the highest CVSS values of detected vulnerabilities. For penetration testing tools that do not</w:t>
      </w:r>
      <w:r>
        <w:t xml:space="preserve"> </w:t>
      </w:r>
      <w:r>
        <w:t xml:space="preserve">generate CVSS scores of detected vulnerabilities, the ARW will estimate the CVSS based on the risk level of</w:t>
      </w:r>
      <w:r>
        <w:t xml:space="preserve"> </w:t>
      </w:r>
      <w:r>
        <w:t xml:space="preserve">the vulnerability. An Average CVSS Score of</w:t>
      </w:r>
      <w:r>
        <w:t xml:space="preserve"> </w:t>
      </w:r>
      <w:r>
        <w:rPr>
          <w:b/>
          <w:bCs/>
        </w:rPr>
        <w:t xml:space="preserve">8.24</w:t>
      </w:r>
      <w:r>
        <w:t xml:space="preserve"> </w:t>
      </w:r>
      <w:r>
        <w:t xml:space="preserve">underscores the need for</w:t>
      </w:r>
      <w:r>
        <w:t xml:space="preserve"> </w:t>
      </w:r>
      <w:r>
        <w:t xml:space="preserve">focused attention on vulnerabilities that pose the greatest risk to the system's security and integrity.</w:t>
      </w:r>
    </w:p>
    <w:bookmarkEnd w:id="20"/>
    <w:bookmarkStart w:id="21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Based on the results achieved during the penetration tests, the automated report generator makes the following recommendations (presented in order of priority):</w:t>
      </w:r>
    </w:p>
    <w:p>
      <w:pPr>
        <w:pStyle w:val="Compact"/>
        <w:numPr>
          <w:ilvl w:val="0"/>
          <w:numId w:val="1001"/>
        </w:numPr>
      </w:pPr>
      <w:r>
        <w:t xml:space="preserve">Patch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vulnerabilities:</w:t>
      </w:r>
    </w:p>
    <w:p>
      <w:pPr>
        <w:pStyle w:val="Compact"/>
        <w:numPr>
          <w:ilvl w:val="1"/>
          <w:numId w:val="1002"/>
        </w:numPr>
      </w:pPr>
      <w:r>
        <w:t xml:space="preserve">Shellshock</w:t>
      </w:r>
    </w:p>
    <w:p>
      <w:pPr>
        <w:pStyle w:val="Compact"/>
        <w:numPr>
          <w:ilvl w:val="1"/>
          <w:numId w:val="1002"/>
        </w:numPr>
      </w:pPr>
      <w:r>
        <w:t xml:space="preserve">MS17-010</w:t>
      </w:r>
    </w:p>
    <w:p>
      <w:pPr>
        <w:pStyle w:val="Compact"/>
        <w:numPr>
          <w:ilvl w:val="1"/>
          <w:numId w:val="1002"/>
        </w:numPr>
      </w:pPr>
      <w:r>
        <w:t xml:space="preserve">BlueKeep</w:t>
      </w:r>
    </w:p>
    <w:p>
      <w:pPr>
        <w:pStyle w:val="Compact"/>
        <w:numPr>
          <w:ilvl w:val="1"/>
          <w:numId w:val="1002"/>
        </w:numPr>
      </w:pPr>
      <w:r>
        <w:t xml:space="preserve">EternalBlue</w:t>
      </w:r>
    </w:p>
    <w:p>
      <w:pPr>
        <w:pStyle w:val="Compact"/>
        <w:numPr>
          <w:ilvl w:val="0"/>
          <w:numId w:val="1001"/>
        </w:numPr>
      </w:pPr>
      <w:r>
        <w:t xml:space="preserve">Run automated penetration testing tool on a</w:t>
      </w:r>
      <w:r>
        <w:t xml:space="preserve"> </w:t>
      </w:r>
      <w:r>
        <w:rPr>
          <w:b/>
          <w:bCs/>
        </w:rPr>
        <w:t xml:space="preserve">weekly</w:t>
      </w:r>
      <w:r>
        <w:t xml:space="preserve"> </w:t>
      </w:r>
      <w:r>
        <w:t xml:space="preserve">basis depending on the overall risk rating.</w:t>
      </w:r>
    </w:p>
    <w:bookmarkEnd w:id="21"/>
    <w:bookmarkStart w:id="22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The following penetration testing tools were detected and processed by the ARW tool.</w:t>
      </w:r>
      <w:r>
        <w:t xml:space="preserve"> </w:t>
      </w:r>
      <w:r>
        <w:t xml:space="preserve">Their results were used by the ARW to generate, where needed, an approximate risk rating, CVSS score, and recommendations: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Metasploit</w:t>
      </w:r>
    </w:p>
    <w:bookmarkEnd w:id="22"/>
    <w:bookmarkStart w:id="26" w:name="metasploit-vulnerability-report"/>
    <w:p>
      <w:pPr>
        <w:pStyle w:val="Heading2"/>
      </w:pPr>
      <w:r>
        <w:t xml:space="preserve">Metasploit Vulnerability Report</w:t>
      </w:r>
    </w:p>
    <w:bookmarkStart w:id="23" w:name="host-192.168.1.50"/>
    <w:p>
      <w:pPr>
        <w:pStyle w:val="Heading3"/>
      </w:pPr>
      <w:r>
        <w:t xml:space="preserve">Host: 192.168.1.50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MS08-067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Microsoft Windows Server 2008.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Shellshock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Bash.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MS17-010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Meterpreter session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Heartbleed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OpenSSL.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Poodle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0.1 - 3.9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Man-in-the-middle attack vulnerability in SSL 3.0.</w:t>
      </w:r>
    </w:p>
    <w:p>
      <w:pPr>
        <w:pStyle w:val="BodyText"/>
      </w:pPr>
      <w:r>
        <w:t xml:space="preserve">• Result: Exploit failed: Target not vulnerable.</w:t>
      </w:r>
    </w:p>
    <w:bookmarkEnd w:id="23"/>
    <w:bookmarkStart w:id="24" w:name="host-192.168.1.51"/>
    <w:p>
      <w:pPr>
        <w:pStyle w:val="Heading3"/>
      </w:pPr>
      <w:r>
        <w:t xml:space="preserve">Host: 192.168.1.51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Apache Struts 2 OGNL 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Apache Struts 2.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BlueKeep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RDP.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Spectre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bookmarkEnd w:id="24"/>
    <w:bookmarkStart w:id="25" w:name="host-192.168.1.52"/>
    <w:p>
      <w:pPr>
        <w:pStyle w:val="Heading3"/>
      </w:pPr>
      <w:r>
        <w:t xml:space="preserve">Host: 192.168.1.52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Meltdown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EternalBlue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Remote access obtained.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has been generated by the Automated Report Writer (ARW) tool.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Metasploit Vulnerability Report</dc:title>
  <dc:creator/>
  <dc:language>en</dc:language>
  <cp:keywords/>
  <dcterms:created xsi:type="dcterms:W3CDTF">2024-07-31T13:21:33Z</dcterms:created>
  <dcterms:modified xsi:type="dcterms:W3CDTF">2024-07-31T13:21:33Z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