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46903" w14:textId="77777777" w:rsidR="002F67B9" w:rsidRDefault="00000000">
      <w:pPr>
        <w:pStyle w:val="Heading1"/>
      </w:pPr>
      <w:r>
        <w:t>Comprehensive LGP Demo Summary – Rule 21 Non‑Export</w:t>
      </w:r>
    </w:p>
    <w:p w14:paraId="1C5D899C" w14:textId="77777777" w:rsidR="002F67B9" w:rsidRDefault="00000000">
      <w:r>
        <w:t>(Ready to paste into an email or Confluence page)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3042"/>
        <w:gridCol w:w="2880"/>
      </w:tblGrid>
      <w:tr w:rsidR="002F67B9" w14:paraId="180B3CD0" w14:textId="77777777">
        <w:tc>
          <w:tcPr>
            <w:tcW w:w="2880" w:type="dxa"/>
          </w:tcPr>
          <w:p w14:paraId="4B74E057" w14:textId="77777777" w:rsidR="002F67B9" w:rsidRDefault="00000000">
            <w:r>
              <w:t>#</w:t>
            </w:r>
          </w:p>
        </w:tc>
        <w:tc>
          <w:tcPr>
            <w:tcW w:w="2880" w:type="dxa"/>
          </w:tcPr>
          <w:p w14:paraId="5DCF4C0F" w14:textId="77777777" w:rsidR="002F67B9" w:rsidRDefault="00000000">
            <w:r>
              <w:t>What was demonstrated</w:t>
            </w:r>
          </w:p>
        </w:tc>
        <w:tc>
          <w:tcPr>
            <w:tcW w:w="2880" w:type="dxa"/>
          </w:tcPr>
          <w:p w14:paraId="74A5CF36" w14:textId="77777777" w:rsidR="002F67B9" w:rsidRDefault="00000000">
            <w:r>
              <w:t>Why it matters</w:t>
            </w:r>
          </w:p>
        </w:tc>
      </w:tr>
      <w:tr w:rsidR="002F67B9" w14:paraId="6869A724" w14:textId="77777777">
        <w:tc>
          <w:tcPr>
            <w:tcW w:w="2880" w:type="dxa"/>
          </w:tcPr>
          <w:p w14:paraId="0228A426" w14:textId="77777777" w:rsidR="002F67B9" w:rsidRDefault="00000000">
            <w:r>
              <w:t>1 Scope &amp; stories</w:t>
            </w:r>
          </w:p>
        </w:tc>
        <w:tc>
          <w:tcPr>
            <w:tcW w:w="2880" w:type="dxa"/>
          </w:tcPr>
          <w:p w14:paraId="6C2DFC33" w14:textId="61A77FF4" w:rsidR="002F67B9" w:rsidRDefault="00000000">
            <w:r>
              <w:t>Walk‑through of BR‑2 → BR‑10 for the Link Generation Profile (LGP) feature.</w:t>
            </w:r>
          </w:p>
        </w:tc>
        <w:tc>
          <w:tcPr>
            <w:tcW w:w="2880" w:type="dxa"/>
          </w:tcPr>
          <w:p w14:paraId="3B312BCA" w14:textId="77777777" w:rsidR="002F67B9" w:rsidRDefault="00000000">
            <w:r>
              <w:t>Establishes the template we’ll clone for Rule 21 Export.</w:t>
            </w:r>
          </w:p>
        </w:tc>
      </w:tr>
      <w:tr w:rsidR="002F67B9" w14:paraId="2C4E6C95" w14:textId="77777777">
        <w:tc>
          <w:tcPr>
            <w:tcW w:w="2880" w:type="dxa"/>
          </w:tcPr>
          <w:p w14:paraId="383E0A36" w14:textId="77777777" w:rsidR="002F67B9" w:rsidRDefault="00000000">
            <w:r>
              <w:t>2 Conditional display</w:t>
            </w:r>
          </w:p>
        </w:tc>
        <w:tc>
          <w:tcPr>
            <w:tcW w:w="2880" w:type="dxa"/>
          </w:tcPr>
          <w:p w14:paraId="3F1A964E" w14:textId="0E4DC585" w:rsidR="002F67B9" w:rsidRDefault="00000000">
            <w:r>
              <w:t>LGP section appears only when Operating Mode = Parallel and Option 12 is selected on Facility Info. Switching to “Momentary Operation” hides the section but preserves all entered LGP data for later reuse.</w:t>
            </w:r>
          </w:p>
        </w:tc>
        <w:tc>
          <w:tcPr>
            <w:tcW w:w="2880" w:type="dxa"/>
          </w:tcPr>
          <w:p w14:paraId="7A04FC42" w14:textId="77777777" w:rsidR="002F67B9" w:rsidRDefault="00000000">
            <w:r>
              <w:t>Visibility logic to mirror in Export.</w:t>
            </w:r>
          </w:p>
        </w:tc>
      </w:tr>
      <w:tr w:rsidR="002F67B9" w14:paraId="0D6454D2" w14:textId="77777777">
        <w:tc>
          <w:tcPr>
            <w:tcW w:w="2880" w:type="dxa"/>
          </w:tcPr>
          <w:p w14:paraId="57A86CAA" w14:textId="77777777" w:rsidR="002F67B9" w:rsidRDefault="00000000">
            <w:r>
              <w:t>3 LGP Yes/No radio</w:t>
            </w:r>
          </w:p>
        </w:tc>
        <w:tc>
          <w:tcPr>
            <w:tcW w:w="2880" w:type="dxa"/>
          </w:tcPr>
          <w:p w14:paraId="735D9C1B" w14:textId="43ABE85A" w:rsidR="002F67B9" w:rsidRDefault="00000000">
            <w:proofErr w:type="gramStart"/>
            <w:r>
              <w:t>Yes</w:t>
            </w:r>
            <w:proofErr w:type="gramEnd"/>
            <w:r>
              <w:t xml:space="preserve"> exposes LGP sub‑fields; No lets the case skip LGP without blocking flow. Leaving the radio blank triggers checklist error “Additional permission limit selection is required.”</w:t>
            </w:r>
          </w:p>
        </w:tc>
        <w:tc>
          <w:tcPr>
            <w:tcW w:w="2880" w:type="dxa"/>
          </w:tcPr>
          <w:p w14:paraId="693ABCA7" w14:textId="77777777" w:rsidR="002F67B9" w:rsidRDefault="00000000">
            <w:r>
              <w:t>Branching &amp; validation.</w:t>
            </w:r>
          </w:p>
        </w:tc>
      </w:tr>
      <w:tr w:rsidR="002F67B9" w14:paraId="4C498F5A" w14:textId="77777777">
        <w:tc>
          <w:tcPr>
            <w:tcW w:w="2880" w:type="dxa"/>
          </w:tcPr>
          <w:p w14:paraId="5D16C352" w14:textId="77777777" w:rsidR="002F67B9" w:rsidRDefault="00000000">
            <w:r>
              <w:t>4 Mandatory fields &amp; defaults</w:t>
            </w:r>
          </w:p>
        </w:tc>
        <w:tc>
          <w:tcPr>
            <w:tcW w:w="2880" w:type="dxa"/>
          </w:tcPr>
          <w:p w14:paraId="4D50021F" w14:textId="15C48901" w:rsidR="002F67B9" w:rsidRDefault="00000000">
            <w:r>
              <w:t>• LG PCS Manufacturer / Model</w:t>
            </w:r>
            <w:r>
              <w:br/>
              <w:t>• LGP Configuration (demo value “223”)</w:t>
            </w:r>
            <w:r>
              <w:br/>
              <w:t>• MT Associated Feeder ID &amp; MT Associated Node</w:t>
            </w:r>
            <w:r>
              <w:br/>
              <w:t>• CSV Download Date</w:t>
            </w:r>
            <w:r>
              <w:br/>
              <w:t>• Control Name‑Plate Field Rate &amp; Max Steady‑State Rate default to 0.0000 and auto‑pad to 4 decimal places</w:t>
            </w:r>
          </w:p>
        </w:tc>
        <w:tc>
          <w:tcPr>
            <w:tcW w:w="2880" w:type="dxa"/>
          </w:tcPr>
          <w:p w14:paraId="116E373B" w14:textId="77777777" w:rsidR="002F67B9" w:rsidRDefault="00000000">
            <w:r>
              <w:t>Data‑quality guard‑rails.</w:t>
            </w:r>
          </w:p>
        </w:tc>
      </w:tr>
      <w:tr w:rsidR="002F67B9" w14:paraId="4A05616A" w14:textId="77777777">
        <w:tc>
          <w:tcPr>
            <w:tcW w:w="2880" w:type="dxa"/>
          </w:tcPr>
          <w:p w14:paraId="3D0D3D06" w14:textId="77777777" w:rsidR="002F67B9" w:rsidRDefault="00000000">
            <w:r>
              <w:t>5 “Other” option logic</w:t>
            </w:r>
          </w:p>
        </w:tc>
        <w:tc>
          <w:tcPr>
            <w:tcW w:w="2880" w:type="dxa"/>
          </w:tcPr>
          <w:p w14:paraId="3FEAD40A" w14:textId="3ED8ABE6" w:rsidR="002F67B9" w:rsidRDefault="00000000">
            <w:r>
              <w:t>Selecting Other in Manufacturer or Model clears prior values, shows a free‑text field, and displays additional guidance. If both drop‑downs = Other, extra guidance appears (BR‑6).</w:t>
            </w:r>
          </w:p>
        </w:tc>
        <w:tc>
          <w:tcPr>
            <w:tcW w:w="2880" w:type="dxa"/>
          </w:tcPr>
          <w:p w14:paraId="2ED55AB3" w14:textId="77777777" w:rsidR="002F67B9" w:rsidRDefault="00000000">
            <w:r>
              <w:t>Dynamic UI refresh.</w:t>
            </w:r>
          </w:p>
        </w:tc>
      </w:tr>
      <w:tr w:rsidR="002F67B9" w14:paraId="33FEAE7D" w14:textId="77777777">
        <w:tc>
          <w:tcPr>
            <w:tcW w:w="2880" w:type="dxa"/>
          </w:tcPr>
          <w:p w14:paraId="4B76F7EC" w14:textId="77777777" w:rsidR="002F67B9" w:rsidRDefault="00000000">
            <w:r>
              <w:t>6 Help content</w:t>
            </w:r>
          </w:p>
        </w:tc>
        <w:tc>
          <w:tcPr>
            <w:tcW w:w="2880" w:type="dxa"/>
          </w:tcPr>
          <w:p w14:paraId="2E11FF76" w14:textId="6356B3E1" w:rsidR="002F67B9" w:rsidRDefault="00000000">
            <w:r>
              <w:t xml:space="preserve">Help icon pulls business‑delegated paragraph &amp; photo content; edits via Business Admin </w:t>
            </w:r>
            <w:r>
              <w:lastRenderedPageBreak/>
              <w:t>reflect instantly in UI and footer.</w:t>
            </w:r>
          </w:p>
        </w:tc>
        <w:tc>
          <w:tcPr>
            <w:tcW w:w="2880" w:type="dxa"/>
          </w:tcPr>
          <w:p w14:paraId="03822CD6" w14:textId="77777777" w:rsidR="002F67B9" w:rsidRDefault="00000000">
            <w:r>
              <w:lastRenderedPageBreak/>
              <w:t>Keep delegated for Export.</w:t>
            </w:r>
          </w:p>
        </w:tc>
      </w:tr>
      <w:tr w:rsidR="002F67B9" w14:paraId="1CFB432C" w14:textId="77777777">
        <w:tc>
          <w:tcPr>
            <w:tcW w:w="2880" w:type="dxa"/>
          </w:tcPr>
          <w:p w14:paraId="4C78B359" w14:textId="77777777" w:rsidR="002F67B9" w:rsidRDefault="00000000">
            <w:r>
              <w:t>7 Validation rules</w:t>
            </w:r>
          </w:p>
        </w:tc>
        <w:tc>
          <w:tcPr>
            <w:tcW w:w="2880" w:type="dxa"/>
          </w:tcPr>
          <w:p w14:paraId="4D85312D" w14:textId="77DABD3D" w:rsidR="002F67B9" w:rsidRDefault="00000000">
            <w:r>
              <w:t>Checklist surfaces targeted messages (e.g., “LGP configuration selection is required,” “MT Associated Feeder ID is required.”).</w:t>
            </w:r>
          </w:p>
        </w:tc>
        <w:tc>
          <w:tcPr>
            <w:tcW w:w="2880" w:type="dxa"/>
          </w:tcPr>
          <w:p w14:paraId="09BC6F02" w14:textId="77777777" w:rsidR="002F67B9" w:rsidRDefault="00000000">
            <w:r>
              <w:t>Copy these validate/when rules.</w:t>
            </w:r>
          </w:p>
        </w:tc>
      </w:tr>
      <w:tr w:rsidR="002F67B9" w14:paraId="3E0BFF0F" w14:textId="77777777">
        <w:tc>
          <w:tcPr>
            <w:tcW w:w="2880" w:type="dxa"/>
          </w:tcPr>
          <w:p w14:paraId="6E4C9F3C" w14:textId="77777777" w:rsidR="002F67B9" w:rsidRDefault="00000000">
            <w:r>
              <w:t>8 Attachment logic (BR‑9/10)</w:t>
            </w:r>
          </w:p>
        </w:tc>
        <w:tc>
          <w:tcPr>
            <w:tcW w:w="2880" w:type="dxa"/>
          </w:tcPr>
          <w:p w14:paraId="0C85C01A" w14:textId="7E08BE59" w:rsidR="002F67B9" w:rsidRDefault="00000000">
            <w:r>
              <w:t>New LGP Profile category in Attachments. Only CSV files pass validation.</w:t>
            </w:r>
            <w:r>
              <w:br/>
              <w:t>• Customers may upload/view through Contract Development stage and only when an open task exists.</w:t>
            </w:r>
            <w:r>
              <w:br/>
              <w:t>• Internal users see it for the full lifecycle.</w:t>
            </w:r>
          </w:p>
        </w:tc>
        <w:tc>
          <w:tcPr>
            <w:tcW w:w="2880" w:type="dxa"/>
          </w:tcPr>
          <w:p w14:paraId="0227704E" w14:textId="77777777" w:rsidR="002F67B9" w:rsidRDefault="00000000">
            <w:r>
              <w:t>Security &amp; stage‑based visibility.</w:t>
            </w:r>
          </w:p>
        </w:tc>
      </w:tr>
      <w:tr w:rsidR="002F67B9" w14:paraId="1893FEAE" w14:textId="77777777">
        <w:tc>
          <w:tcPr>
            <w:tcW w:w="2880" w:type="dxa"/>
          </w:tcPr>
          <w:p w14:paraId="6D44A80F" w14:textId="77777777" w:rsidR="002F67B9" w:rsidRDefault="00000000">
            <w:r>
              <w:t>9 Property length &amp; types</w:t>
            </w:r>
          </w:p>
        </w:tc>
        <w:tc>
          <w:tcPr>
            <w:tcW w:w="2880" w:type="dxa"/>
          </w:tcPr>
          <w:p w14:paraId="7DF02E79" w14:textId="77777777" w:rsidR="002F67B9" w:rsidRDefault="00000000">
            <w:r>
              <w:t>Feeder/Node IDs: no hard max (expect 6–8+ alphanumerics). Rate fields: 4‑decimal precision enforced.</w:t>
            </w:r>
          </w:p>
        </w:tc>
        <w:tc>
          <w:tcPr>
            <w:tcW w:w="2880" w:type="dxa"/>
          </w:tcPr>
          <w:p w14:paraId="0233CEDF" w14:textId="77777777" w:rsidR="002F67B9" w:rsidRDefault="00000000">
            <w:r>
              <w:t>Confirm same props in Export.</w:t>
            </w:r>
          </w:p>
        </w:tc>
      </w:tr>
      <w:tr w:rsidR="002F67B9" w14:paraId="0280A5D5" w14:textId="77777777">
        <w:tc>
          <w:tcPr>
            <w:tcW w:w="2880" w:type="dxa"/>
          </w:tcPr>
          <w:p w14:paraId="009E1F80" w14:textId="77777777" w:rsidR="002F67B9" w:rsidRDefault="00000000">
            <w:r>
              <w:t>10 Open demo issues</w:t>
            </w:r>
          </w:p>
        </w:tc>
        <w:tc>
          <w:tcPr>
            <w:tcW w:w="2880" w:type="dxa"/>
          </w:tcPr>
          <w:p w14:paraId="4D2B2427" w14:textId="41767C26" w:rsidR="002F67B9" w:rsidRDefault="00000000">
            <w:r>
              <w:t>1. Right‑align Feeder &amp; Node values.</w:t>
            </w:r>
            <w:r>
              <w:br/>
              <w:t>2. Change error text to “LGP Profile CSV file is mandatory.”</w:t>
            </w:r>
            <w:r>
              <w:br/>
              <w:t>3. Intermittent LGP Profile category display bug—needs root‑cause fix.</w:t>
            </w:r>
          </w:p>
        </w:tc>
        <w:tc>
          <w:tcPr>
            <w:tcW w:w="2880" w:type="dxa"/>
          </w:tcPr>
          <w:p w14:paraId="0B16BDEB" w14:textId="77777777" w:rsidR="002F67B9" w:rsidRDefault="00000000">
            <w:r>
              <w:t>Resolve before cloning to Export.</w:t>
            </w:r>
          </w:p>
        </w:tc>
      </w:tr>
    </w:tbl>
    <w:p w14:paraId="1C669E78" w14:textId="77777777" w:rsidR="002F67B9" w:rsidRDefault="00000000">
      <w:pPr>
        <w:pStyle w:val="Heading2"/>
      </w:pPr>
      <w:r>
        <w:t>Action Checklist to Replicate for Rule 21 Export</w:t>
      </w:r>
    </w:p>
    <w:p w14:paraId="27DA1D04" w14:textId="77777777" w:rsidR="002F67B9" w:rsidRDefault="00000000">
      <w:pPr>
        <w:pStyle w:val="ListNumber"/>
      </w:pPr>
      <w:r>
        <w:t>Section visibility – Save‑as current `when` rules (Parallel + Option 12) into `Rule21Export`.</w:t>
      </w:r>
    </w:p>
    <w:p w14:paraId="7597EE81" w14:textId="77777777" w:rsidR="002F67B9" w:rsidRDefault="00000000">
      <w:pPr>
        <w:pStyle w:val="ListNumber"/>
      </w:pPr>
      <w:r>
        <w:t>Clone UI sections – `LGPSection`, `HelpContent`, `GuidanceText` → `SCE‑TD‑GIPT‑Work‑Rule21Export`.</w:t>
      </w:r>
    </w:p>
    <w:p w14:paraId="60A5B2B6" w14:textId="77777777" w:rsidR="002F67B9" w:rsidRDefault="00000000">
      <w:pPr>
        <w:pStyle w:val="ListNumber"/>
      </w:pPr>
      <w:r>
        <w:t>Reuse delegated paragraphs – Point Export help/footer to the same business‑editable rules.</w:t>
      </w:r>
    </w:p>
    <w:p w14:paraId="4FC5E6E1" w14:textId="11E14B9B" w:rsidR="002F67B9" w:rsidRDefault="00000000">
      <w:pPr>
        <w:pStyle w:val="ListNumber"/>
      </w:pPr>
      <w:r>
        <w:t>Validation – Duplicate field‑level and checklist validations, including CSV‑only file‑type check.</w:t>
      </w:r>
    </w:p>
    <w:p w14:paraId="76371BC1" w14:textId="1DFF7FD6" w:rsidR="002F67B9" w:rsidRDefault="00000000">
      <w:pPr>
        <w:pStyle w:val="ListNumber"/>
      </w:pPr>
      <w:r>
        <w:t>Attachment category – Add LGP Profile to Export; enforce `text/csv` MIME.</w:t>
      </w:r>
    </w:p>
    <w:p w14:paraId="3B30A909" w14:textId="77777777" w:rsidR="002F67B9" w:rsidRDefault="00000000">
      <w:pPr>
        <w:pStyle w:val="ListNumber"/>
      </w:pPr>
      <w:r>
        <w:t>Data retention – Preserve LGP data when users toggle operating modes.</w:t>
      </w:r>
    </w:p>
    <w:p w14:paraId="54D183BA" w14:textId="77777777" w:rsidR="002F67B9" w:rsidRDefault="00000000">
      <w:pPr>
        <w:pStyle w:val="ListNumber"/>
      </w:pPr>
      <w:r>
        <w:t>Stage‑based visibility – Update `AttachmentAccessControl`: customers lose LGP access after Contract Development; internal users retain full access.</w:t>
      </w:r>
    </w:p>
    <w:p w14:paraId="04B75F06" w14:textId="77777777" w:rsidR="002F67B9" w:rsidRDefault="00000000">
      <w:pPr>
        <w:pStyle w:val="ListNumber"/>
      </w:pPr>
      <w:r>
        <w:t>Property mapping – Reuse Feeder/Node properties; keep 4‑decimal precision on rate fields.</w:t>
      </w:r>
    </w:p>
    <w:p w14:paraId="09C5249A" w14:textId="05A87BD2" w:rsidR="002F67B9" w:rsidRDefault="00000000">
      <w:pPr>
        <w:pStyle w:val="ListNumber"/>
      </w:pPr>
      <w:r>
        <w:t>Regression tests – Cover no/partial LGP, wrong file type, “Other” paths, and happy path.</w:t>
      </w:r>
    </w:p>
    <w:p w14:paraId="6B19DCFE" w14:textId="77777777" w:rsidR="002F67B9" w:rsidRDefault="00000000">
      <w:pPr>
        <w:pStyle w:val="ListNumber"/>
      </w:pPr>
      <w:r>
        <w:lastRenderedPageBreak/>
        <w:t>Resolve Non‑Export issues first – Align numbers right, update CSV error copy, fix category‑display bug; then branch to Export to avoid re‑introducing defects.</w:t>
      </w:r>
    </w:p>
    <w:p w14:paraId="5A3FED30" w14:textId="77777777" w:rsidR="002F67B9" w:rsidRDefault="00000000">
      <w:pPr>
        <w:pStyle w:val="Heading2"/>
      </w:pPr>
      <w:r>
        <w:t>Next Steps for the Team</w:t>
      </w:r>
    </w:p>
    <w:p w14:paraId="617B4073" w14:textId="77777777" w:rsidR="002F67B9" w:rsidRDefault="00000000">
      <w:pPr>
        <w:pStyle w:val="ListNumber"/>
      </w:pPr>
      <w:r>
        <w:t>Patch the three open issues in the Non‑Export branch.</w:t>
      </w:r>
    </w:p>
    <w:p w14:paraId="506458D6" w14:textId="77777777" w:rsidR="002F67B9" w:rsidRDefault="00000000">
      <w:pPr>
        <w:pStyle w:val="ListNumber"/>
      </w:pPr>
      <w:r>
        <w:t>Create a Rule 21 Export branch and execute the action checklist above.</w:t>
      </w:r>
    </w:p>
    <w:p w14:paraId="34B0FA83" w14:textId="77777777" w:rsidR="002F67B9" w:rsidRDefault="00000000">
      <w:pPr>
        <w:pStyle w:val="ListNumber"/>
      </w:pPr>
      <w:r>
        <w:t>Unit‑test Export with at least one case per path (Yes, No, empty, Other, bad CSV, valid CSV).</w:t>
      </w:r>
    </w:p>
    <w:p w14:paraId="0487353B" w14:textId="77777777" w:rsidR="002F67B9" w:rsidRDefault="00000000">
      <w:pPr>
        <w:pStyle w:val="ListNumber"/>
      </w:pPr>
      <w:r>
        <w:t>Peer review &amp; merge when tests pass.</w:t>
      </w:r>
    </w:p>
    <w:p w14:paraId="5211D067" w14:textId="77777777" w:rsidR="002F67B9" w:rsidRDefault="00000000">
      <w:pPr>
        <w:pStyle w:val="ListNumber"/>
      </w:pPr>
      <w:r>
        <w:t>Demo the Export build for stakeholder sign‑off.</w:t>
      </w:r>
    </w:p>
    <w:p w14:paraId="1074F38F" w14:textId="77777777" w:rsidR="002F67B9" w:rsidRDefault="00000000">
      <w:pPr>
        <w:pStyle w:val="ListNumber"/>
      </w:pPr>
      <w:r>
        <w:t>Once these steps are complete, Rule 21 Export cases will mirror Non‑Export functionality with all validations and UI improvements in place.</w:t>
      </w:r>
    </w:p>
    <w:sectPr w:rsidR="002F67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811396">
    <w:abstractNumId w:val="8"/>
  </w:num>
  <w:num w:numId="2" w16cid:durableId="1725374158">
    <w:abstractNumId w:val="6"/>
  </w:num>
  <w:num w:numId="3" w16cid:durableId="447091050">
    <w:abstractNumId w:val="5"/>
  </w:num>
  <w:num w:numId="4" w16cid:durableId="900941352">
    <w:abstractNumId w:val="4"/>
  </w:num>
  <w:num w:numId="5" w16cid:durableId="169033276">
    <w:abstractNumId w:val="7"/>
  </w:num>
  <w:num w:numId="6" w16cid:durableId="1415976123">
    <w:abstractNumId w:val="3"/>
  </w:num>
  <w:num w:numId="7" w16cid:durableId="547768706">
    <w:abstractNumId w:val="2"/>
  </w:num>
  <w:num w:numId="8" w16cid:durableId="669215323">
    <w:abstractNumId w:val="1"/>
  </w:num>
  <w:num w:numId="9" w16cid:durableId="41579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7B9"/>
    <w:rsid w:val="00326F90"/>
    <w:rsid w:val="004427FB"/>
    <w:rsid w:val="00AA1D8D"/>
    <w:rsid w:val="00B47730"/>
    <w:rsid w:val="00BC484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390110"/>
  <w14:defaultImageDpi w14:val="300"/>
  <w15:docId w15:val="{FF05EA03-4D2B-2646-9034-1C4D6E3E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Dharani Theja Kanjeri</cp:lastModifiedBy>
  <cp:revision>2</cp:revision>
  <dcterms:created xsi:type="dcterms:W3CDTF">2013-12-23T23:15:00Z</dcterms:created>
  <dcterms:modified xsi:type="dcterms:W3CDTF">2025-05-13T17:48:00Z</dcterms:modified>
  <cp:category/>
</cp:coreProperties>
</file>